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883E1" w14:textId="77777777" w:rsidR="001E1D0B" w:rsidRDefault="001E1D0B">
      <w:pPr>
        <w:ind w:firstLine="141"/>
      </w:pPr>
    </w:p>
    <w:tbl>
      <w:tblPr>
        <w:tblStyle w:val="a"/>
        <w:tblpPr w:leftFromText="180" w:rightFromText="180" w:topFromText="180" w:bottomFromText="180" w:horzAnchor="margin" w:tblpX="75" w:tblpYSpec="top"/>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005"/>
      </w:tblGrid>
      <w:tr w:rsidR="001E1D0B" w14:paraId="04448F57" w14:textId="77777777">
        <w:tc>
          <w:tcPr>
            <w:tcW w:w="1920" w:type="dxa"/>
          </w:tcPr>
          <w:p w14:paraId="132807C3" w14:textId="77777777" w:rsidR="001E1D0B" w:rsidRDefault="00000000">
            <w:pPr>
              <w:widowControl w:val="0"/>
              <w:spacing w:line="240" w:lineRule="auto"/>
              <w:ind w:firstLine="141"/>
            </w:pPr>
            <w:r>
              <w:t>Name</w:t>
            </w:r>
          </w:p>
        </w:tc>
        <w:tc>
          <w:tcPr>
            <w:tcW w:w="7005" w:type="dxa"/>
          </w:tcPr>
          <w:p w14:paraId="01BE8016" w14:textId="77777777" w:rsidR="001E1D0B" w:rsidRDefault="001E1D0B">
            <w:pPr>
              <w:widowControl w:val="0"/>
              <w:spacing w:line="240" w:lineRule="auto"/>
              <w:ind w:firstLine="141"/>
            </w:pPr>
          </w:p>
        </w:tc>
      </w:tr>
      <w:tr w:rsidR="001E1D0B" w14:paraId="3CD31A31" w14:textId="77777777">
        <w:tc>
          <w:tcPr>
            <w:tcW w:w="1920" w:type="dxa"/>
          </w:tcPr>
          <w:p w14:paraId="553B9CE2" w14:textId="77777777" w:rsidR="001E1D0B" w:rsidRDefault="00000000">
            <w:pPr>
              <w:widowControl w:val="0"/>
              <w:spacing w:line="240" w:lineRule="auto"/>
              <w:ind w:firstLine="141"/>
            </w:pPr>
            <w:r>
              <w:t>Student ID</w:t>
            </w:r>
          </w:p>
        </w:tc>
        <w:tc>
          <w:tcPr>
            <w:tcW w:w="7005" w:type="dxa"/>
          </w:tcPr>
          <w:p w14:paraId="6AFE6770" w14:textId="77777777" w:rsidR="001E1D0B" w:rsidRDefault="001E1D0B">
            <w:pPr>
              <w:widowControl w:val="0"/>
              <w:spacing w:line="240" w:lineRule="auto"/>
              <w:ind w:firstLine="141"/>
            </w:pPr>
          </w:p>
        </w:tc>
      </w:tr>
      <w:tr w:rsidR="001E1D0B" w14:paraId="1083E982" w14:textId="77777777">
        <w:tc>
          <w:tcPr>
            <w:tcW w:w="1920" w:type="dxa"/>
          </w:tcPr>
          <w:p w14:paraId="09A08FDD" w14:textId="77777777" w:rsidR="001E1D0B" w:rsidRDefault="00000000">
            <w:pPr>
              <w:widowControl w:val="0"/>
              <w:spacing w:line="240" w:lineRule="auto"/>
              <w:ind w:firstLine="141"/>
            </w:pPr>
            <w:r>
              <w:t>Studio Session</w:t>
            </w:r>
          </w:p>
        </w:tc>
        <w:tc>
          <w:tcPr>
            <w:tcW w:w="7005" w:type="dxa"/>
          </w:tcPr>
          <w:p w14:paraId="6FBBBE64" w14:textId="77777777" w:rsidR="001E1D0B" w:rsidRDefault="001E1D0B">
            <w:pPr>
              <w:widowControl w:val="0"/>
              <w:spacing w:line="240" w:lineRule="auto"/>
              <w:ind w:firstLine="141"/>
            </w:pPr>
          </w:p>
        </w:tc>
      </w:tr>
    </w:tbl>
    <w:p w14:paraId="2FA1D859" w14:textId="77777777" w:rsidR="001E1D0B" w:rsidRDefault="009816D5">
      <w:r>
        <w:rPr>
          <w:noProof/>
        </w:rPr>
        <w:pict w14:anchorId="79C9DD84">
          <v:rect id="_x0000_i1030" alt="" style="width:444.6pt;height:.05pt;mso-width-percent:0;mso-height-percent:0;mso-width-percent:0;mso-height-percent:0" o:hrpct="950" o:hralign="center" o:hrstd="t" o:hr="t" fillcolor="#a0a0a0" stroked="f"/>
        </w:pict>
      </w:r>
    </w:p>
    <w:p w14:paraId="6EF5AA0B" w14:textId="77777777" w:rsidR="001E1D0B" w:rsidRDefault="00000000">
      <w:pPr>
        <w:pStyle w:val="Heading2"/>
      </w:pPr>
      <w:bookmarkStart w:id="0" w:name="_3f343gtfeef9" w:colFirst="0" w:colLast="0"/>
      <w:bookmarkEnd w:id="0"/>
      <w:r>
        <w:t>Part A: URL of the Visualisation</w:t>
      </w:r>
    </w:p>
    <w:p w14:paraId="61894E6C" w14:textId="77777777" w:rsidR="001E1D0B" w:rsidRDefault="001E1D0B"/>
    <w:p w14:paraId="6B926AC3" w14:textId="77777777" w:rsidR="001E1D0B" w:rsidRDefault="00000000">
      <w:pPr>
        <w:rPr>
          <w:i/>
          <w:iCs/>
          <w:color w:val="999999"/>
        </w:rPr>
      </w:pPr>
      <w:r>
        <w:rPr>
          <w:i/>
          <w:iCs/>
          <w:color w:val="999999"/>
        </w:rPr>
        <w:t xml:space="preserve">Paste your visualisation URL in the empty space below. </w:t>
      </w:r>
    </w:p>
    <w:p w14:paraId="6B169966" w14:textId="77777777" w:rsidR="001E1D0B" w:rsidRDefault="00000000">
      <w:pPr>
        <w:rPr>
          <w:i/>
          <w:iCs/>
          <w:color w:val="999999"/>
        </w:rPr>
      </w:pPr>
      <w:r>
        <w:rPr>
          <w:i/>
          <w:iCs/>
          <w:color w:val="999999"/>
        </w:rPr>
        <w:t>Tip: Test your URL in incognito mode to ensure it is a working URL</w:t>
      </w:r>
    </w:p>
    <w:p w14:paraId="5D07C0BC" w14:textId="77777777" w:rsidR="001E1D0B" w:rsidRDefault="001E1D0B">
      <w:pPr>
        <w:rPr>
          <w:i/>
          <w:iCs/>
          <w:color w:val="999999"/>
        </w:rPr>
      </w:pPr>
    </w:p>
    <w:p w14:paraId="0D79CEAE" w14:textId="77777777" w:rsidR="001E1D0B" w:rsidRDefault="001E1D0B">
      <w:pPr>
        <w:rPr>
          <w:i/>
          <w:iCs/>
          <w:color w:val="999999"/>
          <w:u w:val="single"/>
        </w:rPr>
      </w:pPr>
    </w:p>
    <w:p w14:paraId="14FAAFA6" w14:textId="77777777" w:rsidR="001E1D0B" w:rsidRDefault="001E1D0B"/>
    <w:p w14:paraId="70311CE3" w14:textId="77777777" w:rsidR="001E1D0B" w:rsidRDefault="001E1D0B"/>
    <w:p w14:paraId="272E2967" w14:textId="77777777" w:rsidR="001E1D0B" w:rsidRDefault="009816D5">
      <w:r>
        <w:rPr>
          <w:noProof/>
        </w:rPr>
        <w:pict w14:anchorId="5B78DE20">
          <v:rect id="_x0000_i1029" alt="" style="width:444.6pt;height:.05pt;mso-width-percent:0;mso-height-percent:0;mso-width-percent:0;mso-height-percent:0" o:hrpct="950" o:hralign="center" o:hrstd="t" o:hr="t" fillcolor="#a0a0a0" stroked="f"/>
        </w:pict>
      </w:r>
    </w:p>
    <w:p w14:paraId="30F70E57" w14:textId="77777777" w:rsidR="001E1D0B" w:rsidRDefault="00000000">
      <w:pPr>
        <w:pStyle w:val="Heading2"/>
      </w:pPr>
      <w:bookmarkStart w:id="1" w:name="_rrb0bosrmmlr" w:colFirst="0" w:colLast="0"/>
      <w:bookmarkEnd w:id="1"/>
      <w:r>
        <w:t>Part B: Domain Description</w:t>
      </w:r>
    </w:p>
    <w:p w14:paraId="10EDE2BF" w14:textId="77777777" w:rsidR="001E1D0B" w:rsidRDefault="001E1D0B"/>
    <w:p w14:paraId="11206346" w14:textId="77777777" w:rsidR="001E1D0B" w:rsidRDefault="00000000">
      <w:pPr>
        <w:rPr>
          <w:b/>
          <w:bCs/>
        </w:rPr>
      </w:pPr>
      <w:r>
        <w:rPr>
          <w:b/>
          <w:bCs/>
        </w:rPr>
        <w:t>Describe your domain chosen for DV II</w:t>
      </w:r>
    </w:p>
    <w:p w14:paraId="228D3C83" w14:textId="77777777" w:rsidR="001E1D0B" w:rsidRDefault="001E1D0B"/>
    <w:p w14:paraId="1F573D64" w14:textId="77777777" w:rsidR="001E1D0B" w:rsidRDefault="001E1D0B"/>
    <w:p w14:paraId="70DAE9F6" w14:textId="77777777" w:rsidR="001E1D0B" w:rsidRDefault="001E1D0B"/>
    <w:p w14:paraId="194E6AE5" w14:textId="77777777" w:rsidR="001E1D0B" w:rsidRDefault="001E1D0B">
      <w:pPr>
        <w:ind w:left="0"/>
      </w:pPr>
    </w:p>
    <w:p w14:paraId="706795A6" w14:textId="77777777" w:rsidR="001E1D0B" w:rsidRDefault="00000000">
      <w:pPr>
        <w:rPr>
          <w:b/>
          <w:bCs/>
        </w:rPr>
      </w:pPr>
      <w:r>
        <w:rPr>
          <w:b/>
          <w:bCs/>
        </w:rPr>
        <w:t>Describe the Why and Who aspects of your DV II</w:t>
      </w:r>
    </w:p>
    <w:p w14:paraId="50E505ED" w14:textId="77777777" w:rsidR="001E1D0B" w:rsidRDefault="001E1D0B">
      <w:pPr>
        <w:ind w:left="0"/>
      </w:pPr>
    </w:p>
    <w:p w14:paraId="7D214244" w14:textId="77777777" w:rsidR="001E1D0B" w:rsidRDefault="001E1D0B">
      <w:pPr>
        <w:ind w:left="0"/>
      </w:pPr>
    </w:p>
    <w:p w14:paraId="7FF81D7D" w14:textId="77777777" w:rsidR="001E1D0B" w:rsidRDefault="001E1D0B">
      <w:pPr>
        <w:ind w:left="0"/>
      </w:pPr>
    </w:p>
    <w:p w14:paraId="6C904F1A" w14:textId="77777777" w:rsidR="001E1D0B" w:rsidRDefault="001E1D0B">
      <w:pPr>
        <w:ind w:left="0"/>
      </w:pPr>
    </w:p>
    <w:p w14:paraId="77377AAC" w14:textId="77777777" w:rsidR="001E1D0B" w:rsidRDefault="00000000">
      <w:r>
        <w:rPr>
          <w:b/>
          <w:bCs/>
        </w:rPr>
        <w:t>Describe the “What” aspect of your DV II</w:t>
      </w:r>
    </w:p>
    <w:p w14:paraId="266A1DC9" w14:textId="77777777" w:rsidR="001E1D0B" w:rsidRDefault="001E1D0B"/>
    <w:p w14:paraId="71467F3A" w14:textId="40CA882E" w:rsidR="00353A54" w:rsidRPr="00412073" w:rsidRDefault="00353A54">
      <w:r w:rsidRPr="00353A54">
        <w:rPr>
          <w:b/>
          <w:bCs/>
        </w:rPr>
        <w:t>Sources</w:t>
      </w:r>
      <w:r w:rsidR="00412073">
        <w:rPr>
          <w:b/>
          <w:bCs/>
        </w:rPr>
        <w:t>:</w:t>
      </w:r>
    </w:p>
    <w:p w14:paraId="3FDB3B24" w14:textId="34D72E58" w:rsidR="00353A54" w:rsidRPr="00412073" w:rsidRDefault="00353A54">
      <w:r w:rsidRPr="00353A54">
        <w:rPr>
          <w:b/>
          <w:bCs/>
        </w:rPr>
        <w:t>Authors</w:t>
      </w:r>
      <w:r w:rsidR="00412073">
        <w:rPr>
          <w:b/>
          <w:bCs/>
        </w:rPr>
        <w:t>:</w:t>
      </w:r>
    </w:p>
    <w:p w14:paraId="7DD94A3D" w14:textId="3E19B372" w:rsidR="00353A54" w:rsidRPr="00412073" w:rsidRDefault="00353A54">
      <w:r w:rsidRPr="00353A54">
        <w:rPr>
          <w:b/>
          <w:bCs/>
        </w:rPr>
        <w:t>Relevance</w:t>
      </w:r>
      <w:r w:rsidR="00412073">
        <w:rPr>
          <w:b/>
          <w:bCs/>
        </w:rPr>
        <w:t>:</w:t>
      </w:r>
    </w:p>
    <w:p w14:paraId="4A011AA7" w14:textId="7B05EF35" w:rsidR="00353A54" w:rsidRPr="00412073" w:rsidRDefault="00353A54">
      <w:r w:rsidRPr="00353A54">
        <w:rPr>
          <w:b/>
          <w:bCs/>
        </w:rPr>
        <w:t>Creation Process</w:t>
      </w:r>
      <w:r w:rsidR="00412073">
        <w:rPr>
          <w:b/>
          <w:bCs/>
        </w:rPr>
        <w:t>:</w:t>
      </w:r>
    </w:p>
    <w:p w14:paraId="2A0C0801" w14:textId="77777777" w:rsidR="00353A54" w:rsidRDefault="00353A54"/>
    <w:p w14:paraId="1DF5CD63" w14:textId="4B278785" w:rsidR="00353A54" w:rsidRDefault="00353A54" w:rsidP="00353A54">
      <w:r w:rsidRPr="00353A54">
        <w:rPr>
          <w:b/>
          <w:bCs/>
        </w:rPr>
        <w:t>Source</w:t>
      </w:r>
      <w:r w:rsidRPr="00353A54">
        <w:rPr>
          <w:b/>
          <w:bCs/>
        </w:rPr>
        <w:t>:</w:t>
      </w:r>
      <w:r>
        <w:t xml:space="preserve"> Australia Post Freedom of information (FOI) Disclosure Log, reference </w:t>
      </w:r>
      <w:r w:rsidRPr="00DF066D">
        <w:rPr>
          <w:b/>
          <w:bCs/>
        </w:rPr>
        <w:t>2023-00569</w:t>
      </w:r>
      <w:r>
        <w:t xml:space="preserve">. The dataset contains annual domestic addressed letter volumes from </w:t>
      </w:r>
      <w:r w:rsidR="00DF066D">
        <w:t>2012/13 to 2021/22</w:t>
      </w:r>
    </w:p>
    <w:p w14:paraId="79D5001D" w14:textId="735A0BCF" w:rsidR="00353A54" w:rsidRDefault="00353A54" w:rsidP="00353A54">
      <w:r w:rsidRPr="00353A54">
        <w:rPr>
          <w:b/>
          <w:bCs/>
        </w:rPr>
        <w:t>Author</w:t>
      </w:r>
      <w:r w:rsidRPr="00353A54">
        <w:rPr>
          <w:b/>
          <w:bCs/>
        </w:rPr>
        <w:t>:</w:t>
      </w:r>
      <w:r>
        <w:t xml:space="preserve"> Australia Post</w:t>
      </w:r>
    </w:p>
    <w:p w14:paraId="7B725EBA" w14:textId="2970DED6" w:rsidR="00353A54" w:rsidRDefault="00353A54" w:rsidP="00353A54">
      <w:r w:rsidRPr="00353A54">
        <w:rPr>
          <w:b/>
          <w:bCs/>
        </w:rPr>
        <w:lastRenderedPageBreak/>
        <w:t>Relevance</w:t>
      </w:r>
      <w:r w:rsidRPr="00353A54">
        <w:rPr>
          <w:b/>
          <w:bCs/>
        </w:rPr>
        <w:t>:</w:t>
      </w:r>
      <w:r>
        <w:t xml:space="preserve"> The dataset shows how the volume of traditional addressed letters in Australia has changed over a ten-year period. It demonstrates the decline in traditional mail services and provides a basis for later comparison with the growth of online shopping and parcel delivery. </w:t>
      </w:r>
    </w:p>
    <w:p w14:paraId="6DA9120F" w14:textId="608911AF" w:rsidR="00353A54" w:rsidRDefault="00353A54" w:rsidP="00353A54">
      <w:r w:rsidRPr="00353A54">
        <w:rPr>
          <w:b/>
          <w:bCs/>
        </w:rPr>
        <w:t>Creation Process</w:t>
      </w:r>
      <w:r w:rsidRPr="00353A54">
        <w:rPr>
          <w:b/>
          <w:bCs/>
        </w:rPr>
        <w:t>:</w:t>
      </w:r>
      <w:r>
        <w:t xml:space="preserve"> The data originates from Australia Post’s records of </w:t>
      </w:r>
      <w:r w:rsidRPr="00DF066D">
        <w:rPr>
          <w:b/>
          <w:bCs/>
        </w:rPr>
        <w:t>domestic addressed letter volum</w:t>
      </w:r>
      <w:r w:rsidR="00DF066D">
        <w:rPr>
          <w:b/>
          <w:bCs/>
        </w:rPr>
        <w:t>e</w:t>
      </w:r>
      <w:r w:rsidRPr="00DF066D">
        <w:rPr>
          <w:b/>
          <w:bCs/>
        </w:rPr>
        <w:t>s</w:t>
      </w:r>
      <w:r>
        <w:t xml:space="preserve">. It was compiled and released by Australia Post following an FOI request asking for the total number of letters delivered each year over the pervious ten years. The published values are used directly, without estimating or reconstructing missing values. </w:t>
      </w:r>
    </w:p>
    <w:p w14:paraId="38227BD8" w14:textId="77777777" w:rsidR="00353A54" w:rsidRDefault="00353A54"/>
    <w:p w14:paraId="1F186D99" w14:textId="6894B2CE" w:rsidR="008077B8" w:rsidRPr="008077B8" w:rsidRDefault="008077B8" w:rsidP="008077B8">
      <w:r w:rsidRPr="00353A54">
        <w:rPr>
          <w:b/>
          <w:bCs/>
        </w:rPr>
        <w:t>Sources</w:t>
      </w:r>
      <w:r>
        <w:rPr>
          <w:b/>
          <w:bCs/>
        </w:rPr>
        <w:t xml:space="preserve">: </w:t>
      </w:r>
      <w:r>
        <w:t>Australia Post Letter Volume Demand Update (2024), published through  Australian Competition and Consumer Commission (ACCC). Table 3.3.1 provides the percentage share of demostic addressed letter volumnes by segment for 2006/07 and 2023/24, as well as the actual segment volumnes for 2023/24.</w:t>
      </w:r>
    </w:p>
    <w:p w14:paraId="073154A9" w14:textId="12DA3DED" w:rsidR="008077B8" w:rsidRDefault="008077B8" w:rsidP="008077B8">
      <w:r w:rsidRPr="00353A54">
        <w:rPr>
          <w:b/>
          <w:bCs/>
        </w:rPr>
        <w:t>Authors</w:t>
      </w:r>
      <w:r>
        <w:rPr>
          <w:b/>
          <w:bCs/>
        </w:rPr>
        <w:t xml:space="preserve">: </w:t>
      </w:r>
      <w:r>
        <w:t>Diversified Specifics Pty Ltd</w:t>
      </w:r>
    </w:p>
    <w:p w14:paraId="1661347A" w14:textId="26A7DA59" w:rsidR="00412073" w:rsidRPr="00412073" w:rsidRDefault="00412073" w:rsidP="008077B8">
      <w:r>
        <w:rPr>
          <w:b/>
          <w:bCs/>
        </w:rPr>
        <w:t>Data:</w:t>
      </w:r>
      <w:r>
        <w:t xml:space="preserve"> Five domestic addressed letter segments are included: Other (Ordinary) Small, PreSort Small, Other (Ordinary) Large, PreSort Large, and Print Post</w:t>
      </w:r>
    </w:p>
    <w:p w14:paraId="0A899537" w14:textId="3060EE9E" w:rsidR="008077B8" w:rsidRPr="00412073" w:rsidRDefault="008077B8" w:rsidP="008077B8">
      <w:r w:rsidRPr="00353A54">
        <w:rPr>
          <w:b/>
          <w:bCs/>
        </w:rPr>
        <w:t>Relevance</w:t>
      </w:r>
      <w:r w:rsidR="00412073">
        <w:rPr>
          <w:b/>
          <w:bCs/>
        </w:rPr>
        <w:t xml:space="preserve">: </w:t>
      </w:r>
      <w:r w:rsidR="00412073">
        <w:t xml:space="preserve">The data shows how the composition of Australia’s traditional letter service has changed. It shows which types of letter make up a larger or smaller share of the remaining letter market </w:t>
      </w:r>
    </w:p>
    <w:p w14:paraId="5B2E0CD6" w14:textId="3C32DDF7" w:rsidR="008077B8" w:rsidRPr="00412073" w:rsidRDefault="008077B8" w:rsidP="008077B8">
      <w:pPr>
        <w:rPr>
          <w:i/>
          <w:iCs/>
        </w:rPr>
      </w:pPr>
      <w:r w:rsidRPr="00412073">
        <w:rPr>
          <w:b/>
          <w:bCs/>
          <w:i/>
          <w:iCs/>
        </w:rPr>
        <w:t>Creation Process</w:t>
      </w:r>
      <w:r w:rsidR="00412073" w:rsidRPr="00412073">
        <w:rPr>
          <w:b/>
          <w:bCs/>
          <w:i/>
          <w:iCs/>
        </w:rPr>
        <w:t>:</w:t>
      </w:r>
      <w:r w:rsidR="00412073" w:rsidRPr="00412073">
        <w:rPr>
          <w:i/>
          <w:iCs/>
        </w:rPr>
        <w:t xml:space="preserve"> No missing values will be estimated or reconstructred.</w:t>
      </w:r>
    </w:p>
    <w:p w14:paraId="500560E4" w14:textId="77777777" w:rsidR="001E1D0B" w:rsidRPr="00353A54" w:rsidRDefault="001E1D0B">
      <w:pPr>
        <w:ind w:left="0"/>
        <w:rPr>
          <w:lang w:val="en-US"/>
        </w:rPr>
      </w:pPr>
    </w:p>
    <w:p w14:paraId="4C549B68" w14:textId="27D5DFE7" w:rsidR="004524EA" w:rsidRPr="00412073" w:rsidRDefault="004524EA" w:rsidP="004524EA">
      <w:r w:rsidRPr="00353A54">
        <w:rPr>
          <w:b/>
          <w:bCs/>
        </w:rPr>
        <w:t>Sources</w:t>
      </w:r>
      <w:r>
        <w:rPr>
          <w:b/>
          <w:bCs/>
        </w:rPr>
        <w:t>:</w:t>
      </w:r>
      <w:r>
        <w:rPr>
          <w:b/>
          <w:bCs/>
        </w:rPr>
        <w:t xml:space="preserve"> </w:t>
      </w:r>
      <w:r w:rsidRPr="00FC21CF">
        <w:t>Australia</w:t>
      </w:r>
      <w:r w:rsidR="00FC21CF" w:rsidRPr="00FC21CF">
        <w:t xml:space="preserve"> Post Annual Report 2024</w:t>
      </w:r>
    </w:p>
    <w:p w14:paraId="64DAC450" w14:textId="492FB795" w:rsidR="004524EA" w:rsidRDefault="004524EA" w:rsidP="004524EA">
      <w:r w:rsidRPr="00353A54">
        <w:rPr>
          <w:b/>
          <w:bCs/>
        </w:rPr>
        <w:t>Authors</w:t>
      </w:r>
      <w:r>
        <w:rPr>
          <w:b/>
          <w:bCs/>
        </w:rPr>
        <w:t>:</w:t>
      </w:r>
      <w:r w:rsidR="00FC21CF">
        <w:rPr>
          <w:b/>
          <w:bCs/>
        </w:rPr>
        <w:t xml:space="preserve"> </w:t>
      </w:r>
      <w:r w:rsidR="00FC21CF">
        <w:t>Australia Post</w:t>
      </w:r>
    </w:p>
    <w:p w14:paraId="1C3C3877" w14:textId="34BDDF1A" w:rsidR="00FC21CF" w:rsidRPr="00FC21CF" w:rsidRDefault="00FC21CF" w:rsidP="004524EA">
      <w:pPr>
        <w:rPr>
          <w:b/>
          <w:bCs/>
        </w:rPr>
      </w:pPr>
      <w:r>
        <w:rPr>
          <w:b/>
          <w:bCs/>
        </w:rPr>
        <w:t>Data:</w:t>
      </w:r>
      <w:r>
        <w:t xml:space="preserve"> </w:t>
      </w:r>
      <w:r>
        <w:t>The dataset contains two variables for each year: addressed letter volumn, measured in billions of letters, and delivery points, measured in millions.</w:t>
      </w:r>
    </w:p>
    <w:p w14:paraId="37AA219B" w14:textId="4B7CDC0E" w:rsidR="004524EA" w:rsidRPr="00FC21CF" w:rsidRDefault="004524EA" w:rsidP="004524EA">
      <w:r w:rsidRPr="00353A54">
        <w:rPr>
          <w:b/>
          <w:bCs/>
        </w:rPr>
        <w:t>Relevance</w:t>
      </w:r>
      <w:r>
        <w:rPr>
          <w:b/>
          <w:bCs/>
        </w:rPr>
        <w:t>:</w:t>
      </w:r>
      <w:r w:rsidR="00FC21CF">
        <w:rPr>
          <w:b/>
          <w:bCs/>
        </w:rPr>
        <w:t xml:space="preserve"> </w:t>
      </w:r>
      <w:r w:rsidR="00FC21CF">
        <w:t xml:space="preserve">The data shows the contrast between declining traditional letter demand and Australia’s expanding postal delivery network. Although fewer addressed letters are being delivered, Australia Post still needs to service an increasing number of delivery points. This extends Chart 1 by showing the network challenge created by declining letter volumnes. </w:t>
      </w:r>
    </w:p>
    <w:p w14:paraId="14D80A68" w14:textId="3E4486EE" w:rsidR="004524EA" w:rsidRDefault="004524EA" w:rsidP="004524EA">
      <w:r w:rsidRPr="00353A54">
        <w:rPr>
          <w:b/>
          <w:bCs/>
        </w:rPr>
        <w:t>Creation Process</w:t>
      </w:r>
      <w:r>
        <w:rPr>
          <w:b/>
          <w:bCs/>
        </w:rPr>
        <w:t>:</w:t>
      </w:r>
      <w:r w:rsidR="00FC21CF">
        <w:rPr>
          <w:b/>
          <w:bCs/>
        </w:rPr>
        <w:t xml:space="preserve"> </w:t>
      </w:r>
    </w:p>
    <w:p w14:paraId="403560D2" w14:textId="771E08F9" w:rsidR="00FC21CF" w:rsidRDefault="003526CF" w:rsidP="004524EA">
      <w:r>
        <w:tab/>
      </w:r>
    </w:p>
    <w:p w14:paraId="25367832" w14:textId="6E5B9FBB" w:rsidR="003526CF" w:rsidRDefault="003526CF" w:rsidP="004524EA">
      <w:r>
        <w:t>Chart 10</w:t>
      </w:r>
    </w:p>
    <w:p w14:paraId="79F74115" w14:textId="1EE4C3B2" w:rsidR="003526CF" w:rsidRPr="00412073" w:rsidRDefault="003526CF" w:rsidP="003526CF">
      <w:r w:rsidRPr="00353A54">
        <w:rPr>
          <w:b/>
          <w:bCs/>
        </w:rPr>
        <w:t>Sources</w:t>
      </w:r>
      <w:r>
        <w:rPr>
          <w:b/>
          <w:bCs/>
        </w:rPr>
        <w:t xml:space="preserve">: </w:t>
      </w:r>
      <w:r w:rsidRPr="00FC21CF">
        <w:t xml:space="preserve">Australia Post Annual Report </w:t>
      </w:r>
      <w:r>
        <w:t xml:space="preserve">2023, </w:t>
      </w:r>
      <w:r w:rsidRPr="00FC21CF">
        <w:t>2024</w:t>
      </w:r>
      <w:r>
        <w:t>, and 2025. The reports provide annual information about Australia Post’s delivery network, parcel infrastructure and online-shopping activity</w:t>
      </w:r>
    </w:p>
    <w:p w14:paraId="1D88CDA0" w14:textId="77777777" w:rsidR="003526CF" w:rsidRDefault="003526CF" w:rsidP="003526CF">
      <w:r w:rsidRPr="00353A54">
        <w:rPr>
          <w:b/>
          <w:bCs/>
        </w:rPr>
        <w:t>Authors</w:t>
      </w:r>
      <w:r>
        <w:rPr>
          <w:b/>
          <w:bCs/>
        </w:rPr>
        <w:t xml:space="preserve">: </w:t>
      </w:r>
      <w:r>
        <w:t>Australia Post</w:t>
      </w:r>
    </w:p>
    <w:p w14:paraId="24452481" w14:textId="1830D765" w:rsidR="003526CF" w:rsidRPr="00FC21CF" w:rsidRDefault="003526CF" w:rsidP="003526CF">
      <w:pPr>
        <w:rPr>
          <w:b/>
          <w:bCs/>
        </w:rPr>
      </w:pPr>
      <w:r>
        <w:rPr>
          <w:b/>
          <w:bCs/>
        </w:rPr>
        <w:t>Data:</w:t>
      </w:r>
      <w:r>
        <w:t xml:space="preserve"> </w:t>
      </w:r>
      <w:r>
        <w:t>Four variables were collected for FY2023-FY2025: online-shopping households, parcel-locker banks, delivery points, and Post Offices.</w:t>
      </w:r>
    </w:p>
    <w:p w14:paraId="0B96373E" w14:textId="44BB1398" w:rsidR="003526CF" w:rsidRPr="00FC21CF" w:rsidRDefault="003526CF" w:rsidP="003526CF">
      <w:r w:rsidRPr="00353A54">
        <w:rPr>
          <w:b/>
          <w:bCs/>
        </w:rPr>
        <w:t>Relevance</w:t>
      </w:r>
      <w:r>
        <w:rPr>
          <w:b/>
          <w:bCs/>
        </w:rPr>
        <w:t xml:space="preserve">: </w:t>
      </w:r>
      <w:r>
        <w:t xml:space="preserve">The data shows </w:t>
      </w:r>
      <w:r>
        <w:t>ow different parts of Australia’s postal network changes as online shopping became more widespread. It helps connect the growth of digital commerce and parcel services with changes in Australia Post’s physical delivery and retail network.</w:t>
      </w:r>
    </w:p>
    <w:p w14:paraId="1CD1F8DA" w14:textId="2EC1E1EE" w:rsidR="003526CF" w:rsidRDefault="003526CF" w:rsidP="003526CF">
      <w:r w:rsidRPr="00353A54">
        <w:rPr>
          <w:b/>
          <w:bCs/>
        </w:rPr>
        <w:lastRenderedPageBreak/>
        <w:t>Creation Process</w:t>
      </w:r>
      <w:r>
        <w:rPr>
          <w:b/>
          <w:bCs/>
        </w:rPr>
        <w:t xml:space="preserve">: </w:t>
      </w:r>
      <w:r>
        <w:t xml:space="preserve">Data was manually compiled from the 2023, 2024, and 2025 </w:t>
      </w:r>
      <w:r w:rsidRPr="00FC21CF">
        <w:t>Australia Post Annual Report</w:t>
      </w:r>
      <w:r>
        <w:t xml:space="preserve">. For each financial year, the published values for </w:t>
      </w:r>
      <w:r>
        <w:t>online-shopping households, parcel-locker banks, delivery points, and Post Offices</w:t>
      </w:r>
      <w:r>
        <w:t xml:space="preserve"> were extracted and combined into one dataset. Only variables that were reported using comparable definitions and units across all three years were retained. No missing values were estimated or reconstrucuted, and the published values were retained in their original units.</w:t>
      </w:r>
    </w:p>
    <w:p w14:paraId="1D484E79" w14:textId="77777777" w:rsidR="003526CF" w:rsidRDefault="003526CF" w:rsidP="004524EA"/>
    <w:p w14:paraId="2A1F565D" w14:textId="518CD353" w:rsidR="003526CF" w:rsidRDefault="003526CF" w:rsidP="003526CF">
      <w:r>
        <w:t>Chart 4</w:t>
      </w:r>
    </w:p>
    <w:p w14:paraId="522A08C7" w14:textId="4D47F338" w:rsidR="003526CF" w:rsidRPr="00412073" w:rsidRDefault="003526CF" w:rsidP="003526CF">
      <w:r w:rsidRPr="00353A54">
        <w:rPr>
          <w:b/>
          <w:bCs/>
        </w:rPr>
        <w:t>Sources</w:t>
      </w:r>
      <w:r>
        <w:rPr>
          <w:b/>
          <w:bCs/>
        </w:rPr>
        <w:t xml:space="preserve">: </w:t>
      </w:r>
      <w:r w:rsidRPr="00FC21CF">
        <w:t xml:space="preserve">Australia Post Annual Report </w:t>
      </w:r>
      <w:r>
        <w:t>202</w:t>
      </w:r>
      <w:r>
        <w:t>1-</w:t>
      </w:r>
      <w:r>
        <w:t>2025</w:t>
      </w:r>
      <w:r>
        <w:t>, Letter/non-letter services</w:t>
      </w:r>
    </w:p>
    <w:p w14:paraId="319F9110" w14:textId="77777777" w:rsidR="003526CF" w:rsidRDefault="003526CF" w:rsidP="003526CF">
      <w:r w:rsidRPr="00353A54">
        <w:rPr>
          <w:b/>
          <w:bCs/>
        </w:rPr>
        <w:t>Authors</w:t>
      </w:r>
      <w:r>
        <w:rPr>
          <w:b/>
          <w:bCs/>
        </w:rPr>
        <w:t xml:space="preserve">: </w:t>
      </w:r>
      <w:r>
        <w:t>Australia Post</w:t>
      </w:r>
    </w:p>
    <w:p w14:paraId="7EAD1E57" w14:textId="661CBB34" w:rsidR="00FC21CF" w:rsidRDefault="00681E9A" w:rsidP="004524EA">
      <w:r>
        <w:rPr>
          <w:b/>
          <w:bCs/>
        </w:rPr>
        <w:t>Data:</w:t>
      </w:r>
      <w:r>
        <w:t xml:space="preserve"> Aunnual revenue, expenditure and profit/loss before income tax, finance costs and share of net profiits of equity-accounted investees for Letters and Non-Letters services</w:t>
      </w:r>
    </w:p>
    <w:p w14:paraId="5548518B" w14:textId="7389B61D" w:rsidR="00681E9A" w:rsidRPr="00681E9A" w:rsidRDefault="00681E9A" w:rsidP="00681E9A">
      <w:r w:rsidRPr="00353A54">
        <w:rPr>
          <w:b/>
          <w:bCs/>
        </w:rPr>
        <w:t>Relevance</w:t>
      </w:r>
      <w:r>
        <w:rPr>
          <w:b/>
          <w:bCs/>
        </w:rPr>
        <w:t>:</w:t>
      </w:r>
      <w:r>
        <w:t xml:space="preserve"> Shows the financial difference between Australia Post’s traditional Letters business and its broader Non=Letters business. It strengthens our story by showing the transformation is not only visible in letter volumes, onlie shopping and parcel activity, but also in the financial structure of Australia Post</w:t>
      </w:r>
    </w:p>
    <w:p w14:paraId="526D1DF5" w14:textId="7362A9FF" w:rsidR="00681E9A" w:rsidRPr="00681E9A" w:rsidRDefault="00681E9A" w:rsidP="00681E9A">
      <w:r w:rsidRPr="00353A54">
        <w:rPr>
          <w:b/>
          <w:bCs/>
        </w:rPr>
        <w:t>Creation Process</w:t>
      </w:r>
      <w:r>
        <w:rPr>
          <w:b/>
          <w:bCs/>
        </w:rPr>
        <w:t>:</w:t>
      </w:r>
      <w:r>
        <w:rPr>
          <w:b/>
          <w:bCs/>
        </w:rPr>
        <w:t xml:space="preserve"> </w:t>
      </w:r>
      <w:r>
        <w:t xml:space="preserve">Extract the published Letters and Non-Letters revenue, expenditure and profit/loss figures from Australia Post’s annual reports. Use FY2021-2025 because the same financial categories are availabel across all five years. Values are retained in millions of dollars and no missing values are estimated or reconstructed. </w:t>
      </w:r>
    </w:p>
    <w:p w14:paraId="6A0B79B0" w14:textId="77777777" w:rsidR="00681E9A" w:rsidRPr="00681E9A" w:rsidRDefault="00681E9A" w:rsidP="004524EA"/>
    <w:p w14:paraId="7962DF7E" w14:textId="77777777" w:rsidR="001E1D0B" w:rsidRDefault="001E1D0B">
      <w:pPr>
        <w:ind w:left="0"/>
      </w:pPr>
    </w:p>
    <w:p w14:paraId="6124EEB7" w14:textId="77777777" w:rsidR="001E1D0B" w:rsidRDefault="001E1D0B"/>
    <w:p w14:paraId="60E6CBC1" w14:textId="77777777" w:rsidR="001E1D0B" w:rsidRDefault="00000000">
      <w:pPr>
        <w:rPr>
          <w:b/>
          <w:bCs/>
        </w:rPr>
      </w:pPr>
      <w:r>
        <w:rPr>
          <w:b/>
          <w:bCs/>
        </w:rPr>
        <w:t>Describe the “How” aspect of your DV II</w:t>
      </w:r>
    </w:p>
    <w:p w14:paraId="11238CD3" w14:textId="77777777" w:rsidR="001E1D0B" w:rsidRDefault="001E1D0B">
      <w:pPr>
        <w:rPr>
          <w:b/>
          <w:bCs/>
        </w:rPr>
      </w:pPr>
    </w:p>
    <w:p w14:paraId="1BDE28BC" w14:textId="77777777" w:rsidR="001E1D0B" w:rsidRDefault="001E1D0B">
      <w:pPr>
        <w:rPr>
          <w:b/>
          <w:bCs/>
        </w:rPr>
      </w:pPr>
    </w:p>
    <w:p w14:paraId="34CD82F9" w14:textId="77777777" w:rsidR="001E1D0B" w:rsidRDefault="001E1D0B">
      <w:pPr>
        <w:ind w:left="0"/>
        <w:rPr>
          <w:b/>
          <w:bCs/>
        </w:rPr>
      </w:pPr>
    </w:p>
    <w:p w14:paraId="4B2659A8" w14:textId="77777777" w:rsidR="001E1D0B" w:rsidRDefault="009816D5">
      <w:pPr>
        <w:ind w:left="0"/>
        <w:rPr>
          <w:b/>
          <w:bCs/>
        </w:rPr>
      </w:pPr>
      <w:r>
        <w:rPr>
          <w:noProof/>
        </w:rPr>
        <w:pict w14:anchorId="416FA7C5">
          <v:rect id="_x0000_i1028" alt="" style="width:451.6pt;height:.05pt;mso-width-percent:0;mso-height-percent:0;mso-width-percent:0;mso-height-percent:0" o:hrpct="965" o:hralign="center" o:hrstd="t" o:hr="t" fillcolor="#a0a0a0" stroked="f"/>
        </w:pict>
      </w:r>
    </w:p>
    <w:p w14:paraId="194A5BA6" w14:textId="77777777" w:rsidR="001E1D0B" w:rsidRDefault="00000000">
      <w:pPr>
        <w:pStyle w:val="Heading2"/>
      </w:pPr>
      <w:bookmarkStart w:id="2" w:name="_89ruwr7ixhsv" w:colFirst="0" w:colLast="0"/>
      <w:bookmarkEnd w:id="2"/>
      <w:r>
        <w:t>Part C: Sketch</w:t>
      </w:r>
    </w:p>
    <w:p w14:paraId="54AAAC12" w14:textId="77777777" w:rsidR="001E1D0B" w:rsidRDefault="00000000">
      <w:pPr>
        <w:jc w:val="both"/>
        <w:rPr>
          <w:i/>
          <w:iCs/>
          <w:color w:val="999999"/>
        </w:rPr>
      </w:pPr>
      <w:r>
        <w:rPr>
          <w:i/>
          <w:iCs/>
          <w:color w:val="999999"/>
        </w:rPr>
        <w:t>A URL to a PDF document with an image of your sketch on your GitHub account.</w:t>
      </w:r>
    </w:p>
    <w:p w14:paraId="3298144B" w14:textId="77777777" w:rsidR="001E1D0B" w:rsidRDefault="00000000">
      <w:pPr>
        <w:rPr>
          <w:i/>
          <w:iCs/>
          <w:color w:val="999999"/>
        </w:rPr>
      </w:pPr>
      <w:r>
        <w:rPr>
          <w:i/>
          <w:iCs/>
          <w:color w:val="999999"/>
        </w:rPr>
        <w:t>Tip: Test your URL in incognito mode to ensure it is a working URL</w:t>
      </w:r>
    </w:p>
    <w:p w14:paraId="0F4F4E5A" w14:textId="77777777" w:rsidR="001E1D0B" w:rsidRDefault="001E1D0B">
      <w:pPr>
        <w:ind w:left="0"/>
        <w:jc w:val="both"/>
        <w:rPr>
          <w:i/>
          <w:iCs/>
          <w:color w:val="999999"/>
        </w:rPr>
      </w:pPr>
    </w:p>
    <w:p w14:paraId="707D82A6" w14:textId="77777777" w:rsidR="001E1D0B" w:rsidRDefault="001E1D0B">
      <w:pPr>
        <w:jc w:val="both"/>
      </w:pPr>
    </w:p>
    <w:p w14:paraId="1A09FDBD" w14:textId="77777777" w:rsidR="001E1D0B" w:rsidRDefault="009816D5">
      <w:pPr>
        <w:jc w:val="both"/>
        <w:rPr>
          <w:i/>
          <w:iCs/>
          <w:color w:val="999999"/>
        </w:rPr>
      </w:pPr>
      <w:r>
        <w:rPr>
          <w:noProof/>
        </w:rPr>
        <w:pict w14:anchorId="2B53AC2C">
          <v:rect id="_x0000_i1027" alt="" style="width:444.6pt;height:.05pt;mso-width-percent:0;mso-height-percent:0;mso-width-percent:0;mso-height-percent:0" o:hrpct="950" o:hralign="center" o:hrstd="t" o:hr="t" fillcolor="#a0a0a0" stroked="f"/>
        </w:pict>
      </w:r>
    </w:p>
    <w:p w14:paraId="0C57F0A3" w14:textId="77777777" w:rsidR="001E1D0B" w:rsidRDefault="00000000">
      <w:pPr>
        <w:jc w:val="both"/>
        <w:rPr>
          <w:i/>
          <w:iCs/>
          <w:color w:val="999999"/>
        </w:rPr>
      </w:pPr>
      <w:r>
        <w:rPr>
          <w:i/>
          <w:iCs/>
          <w:color w:val="999999"/>
        </w:rPr>
        <w:t>Paste a screenshot of your sketch for your DV II.</w:t>
      </w:r>
    </w:p>
    <w:p w14:paraId="24B760CD" w14:textId="77777777" w:rsidR="001E1D0B" w:rsidRDefault="00000000">
      <w:pPr>
        <w:jc w:val="both"/>
      </w:pPr>
      <w:r>
        <w:rPr>
          <w:i/>
          <w:iCs/>
          <w:color w:val="999999"/>
        </w:rPr>
        <w:t>Note: Use the entire page here for the screenshot and ensure that it is clearly legible and visible</w:t>
      </w:r>
    </w:p>
    <w:p w14:paraId="2A096C2B" w14:textId="77777777" w:rsidR="001E1D0B" w:rsidRDefault="009816D5">
      <w:pPr>
        <w:jc w:val="both"/>
      </w:pPr>
      <w:r>
        <w:rPr>
          <w:noProof/>
        </w:rPr>
        <w:pict w14:anchorId="6E5AFB3E">
          <v:rect id="_x0000_i1026" alt="" style="width:444.6pt;height:.05pt;mso-width-percent:0;mso-height-percent:0;mso-width-percent:0;mso-height-percent:0" o:hrpct="950" o:hralign="center" o:hrstd="t" o:hr="t" fillcolor="#a0a0a0" stroked="f"/>
        </w:pict>
      </w:r>
    </w:p>
    <w:p w14:paraId="46878357" w14:textId="77777777" w:rsidR="001E1D0B" w:rsidRDefault="00000000">
      <w:pPr>
        <w:jc w:val="both"/>
      </w:pPr>
      <w:r>
        <w:br w:type="page"/>
      </w:r>
    </w:p>
    <w:p w14:paraId="57C672A7" w14:textId="77777777" w:rsidR="001E1D0B" w:rsidRDefault="00000000">
      <w:pPr>
        <w:pStyle w:val="Heading2"/>
      </w:pPr>
      <w:bookmarkStart w:id="3" w:name="_6kzcpxp7cuxo" w:colFirst="0" w:colLast="0"/>
      <w:bookmarkEnd w:id="3"/>
      <w:r>
        <w:lastRenderedPageBreak/>
        <w:t>Part D: Full-size screenshot of your DV II</w:t>
      </w:r>
    </w:p>
    <w:p w14:paraId="73294688" w14:textId="77777777" w:rsidR="001E1D0B" w:rsidRDefault="00000000">
      <w:pPr>
        <w:jc w:val="both"/>
        <w:rPr>
          <w:i/>
          <w:iCs/>
          <w:color w:val="999999"/>
        </w:rPr>
      </w:pPr>
      <w:r>
        <w:rPr>
          <w:i/>
          <w:iCs/>
          <w:color w:val="999999"/>
        </w:rPr>
        <w:t>Paste a full-size screenshot of your DV II assignment from the URL here</w:t>
      </w:r>
    </w:p>
    <w:p w14:paraId="1183D5C1" w14:textId="77777777" w:rsidR="001E1D0B" w:rsidRDefault="001E1D0B">
      <w:pPr>
        <w:jc w:val="both"/>
        <w:rPr>
          <w:i/>
          <w:iCs/>
          <w:color w:val="999999"/>
        </w:rPr>
      </w:pPr>
    </w:p>
    <w:p w14:paraId="09AC1AD1" w14:textId="77777777" w:rsidR="001E1D0B" w:rsidRDefault="001E1D0B">
      <w:pPr>
        <w:jc w:val="both"/>
      </w:pPr>
    </w:p>
    <w:p w14:paraId="2A8D8544" w14:textId="77777777" w:rsidR="001E1D0B" w:rsidRDefault="009816D5">
      <w:pPr>
        <w:jc w:val="both"/>
        <w:rPr>
          <w:color w:val="999999"/>
        </w:rPr>
      </w:pPr>
      <w:r>
        <w:rPr>
          <w:noProof/>
        </w:rPr>
        <w:pict w14:anchorId="53D6CA87">
          <v:rect id="_x0000_i1025" alt="" style="width:444.6pt;height:.05pt;mso-width-percent:0;mso-height-percent:0;mso-width-percent:0;mso-height-percent:0" o:hrpct="950" o:hralign="center" o:hrstd="t" o:hr="t" fillcolor="#a0a0a0" stroked="f"/>
        </w:pict>
      </w:r>
    </w:p>
    <w:p w14:paraId="123E442B" w14:textId="77777777" w:rsidR="001E1D0B" w:rsidRDefault="001E1D0B"/>
    <w:p w14:paraId="745F90BE" w14:textId="77777777" w:rsidR="00DF066D" w:rsidRDefault="00DF066D"/>
    <w:p w14:paraId="7AE5254D" w14:textId="77777777" w:rsidR="00DF066D" w:rsidRDefault="00DF066D"/>
    <w:p w14:paraId="5AC37564" w14:textId="668CB22F" w:rsidR="00DF066D" w:rsidRDefault="00DF066D" w:rsidP="00DF066D">
      <w:pPr>
        <w:ind w:left="0"/>
      </w:pPr>
      <w:r>
        <w:t>References</w:t>
      </w:r>
    </w:p>
    <w:p w14:paraId="1B65EF85" w14:textId="55B3BD87" w:rsidR="00DF066D" w:rsidRDefault="00DF066D" w:rsidP="00DF066D">
      <w:pPr>
        <w:ind w:left="0"/>
      </w:pPr>
      <w:hyperlink r:id="rId6" w:history="1">
        <w:r w:rsidRPr="00A26415">
          <w:rPr>
            <w:rStyle w:val="Hyperlink"/>
          </w:rPr>
          <w:t>https://auspost.com.au/content/dam/auspost_corp/media/documents/foi/domestic-addressed-letters-fy13-to-fy22.pdf</w:t>
        </w:r>
      </w:hyperlink>
    </w:p>
    <w:p w14:paraId="579BD5C9" w14:textId="77777777" w:rsidR="00DF066D" w:rsidRDefault="00DF066D" w:rsidP="00DF066D">
      <w:pPr>
        <w:ind w:left="0"/>
      </w:pPr>
    </w:p>
    <w:p w14:paraId="5D95694A" w14:textId="77777777" w:rsidR="008077B8" w:rsidRDefault="008077B8" w:rsidP="00DF066D">
      <w:pPr>
        <w:ind w:left="0"/>
      </w:pPr>
    </w:p>
    <w:p w14:paraId="236E47EE" w14:textId="15BD56CB" w:rsidR="008077B8" w:rsidRDefault="008077B8" w:rsidP="00DF066D">
      <w:pPr>
        <w:ind w:left="0"/>
      </w:pPr>
      <w:hyperlink r:id="rId7" w:history="1">
        <w:r w:rsidRPr="00A26415">
          <w:rPr>
            <w:rStyle w:val="Hyperlink"/>
          </w:rPr>
          <w:t>https://www.accc.gov.au/system/files/diversified-specifics-report-australia-post-letter-volume-demand-update-public-version-updated-november-2024.pdf?ref=0&amp;download=y</w:t>
        </w:r>
      </w:hyperlink>
    </w:p>
    <w:p w14:paraId="320E2241" w14:textId="77777777" w:rsidR="008077B8" w:rsidRDefault="008077B8" w:rsidP="00DF066D">
      <w:pPr>
        <w:ind w:left="0"/>
      </w:pPr>
    </w:p>
    <w:sectPr w:rsidR="008077B8">
      <w:headerReference w:type="default" r:id="rId8"/>
      <w:footerReference w:type="default" r:id="rId9"/>
      <w:pgSz w:w="11909" w:h="16834"/>
      <w:pgMar w:top="1275" w:right="1440" w:bottom="971"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E42C2" w14:textId="77777777" w:rsidR="009816D5" w:rsidRDefault="009816D5">
      <w:pPr>
        <w:spacing w:line="240" w:lineRule="auto"/>
      </w:pPr>
      <w:r>
        <w:separator/>
      </w:r>
    </w:p>
  </w:endnote>
  <w:endnote w:type="continuationSeparator" w:id="0">
    <w:p w14:paraId="22904812" w14:textId="77777777" w:rsidR="009816D5" w:rsidRDefault="009816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19E53FD7-8351-0549-B7F0-34D8C1EAD916}"/>
    <w:embedBold r:id="rId2" w:fontKey="{122D74F8-B6F8-F24C-B6F7-8279CED2E478}"/>
    <w:embedItalic r:id="rId3" w:fontKey="{9EC0E721-0490-0F42-8EFE-3C43EA70A4DD}"/>
    <w:embedBoldItalic r:id="rId4" w:fontKey="{274745D0-77A8-DF41-B10A-9BC1C73553E4}"/>
  </w:font>
  <w:font w:name="Times New Roman">
    <w:panose1 w:val="02020603050405020304"/>
    <w:charset w:val="00"/>
    <w:family w:val="roman"/>
    <w:pitch w:val="variable"/>
    <w:sig w:usb0="E0002EFF" w:usb1="C000785B" w:usb2="00000009" w:usb3="00000000" w:csb0="000001FF" w:csb1="00000000"/>
    <w:embedRegular r:id="rId5" w:fontKey="{60E5C576-C943-FE47-9465-362E58A5E27B}"/>
  </w:font>
  <w:font w:name="Arial">
    <w:panose1 w:val="020B0604020202020204"/>
    <w:charset w:val="00"/>
    <w:family w:val="swiss"/>
    <w:pitch w:val="variable"/>
    <w:sig w:usb0="E0002AFF" w:usb1="C0007843" w:usb2="00000009" w:usb3="00000000" w:csb0="000001FF" w:csb1="00000000"/>
    <w:embedRegular r:id="rId6" w:fontKey="{1064D87B-AABE-B244-A2DB-2BE5D8B6D60D}"/>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notTrueType/>
    <w:pitch w:val="default"/>
    <w:embedRegular r:id="rId7" w:fontKey="{14AFE3CA-BC55-1848-80C5-2B5D62A123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BFE32" w14:textId="77777777" w:rsidR="001E1D0B" w:rsidRDefault="00000000">
    <w:pPr>
      <w:jc w:val="right"/>
    </w:pPr>
    <w:r>
      <w:fldChar w:fldCharType="begin"/>
    </w:r>
    <w:r>
      <w:instrText>PAGE</w:instrText>
    </w:r>
    <w:r>
      <w:fldChar w:fldCharType="separate"/>
    </w:r>
    <w:r w:rsidR="00353A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5035A" w14:textId="77777777" w:rsidR="009816D5" w:rsidRDefault="009816D5">
      <w:pPr>
        <w:spacing w:line="240" w:lineRule="auto"/>
      </w:pPr>
      <w:r>
        <w:separator/>
      </w:r>
    </w:p>
  </w:footnote>
  <w:footnote w:type="continuationSeparator" w:id="0">
    <w:p w14:paraId="286473F0" w14:textId="77777777" w:rsidR="009816D5" w:rsidRDefault="009816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64E08" w14:textId="77777777" w:rsidR="001E1D0B" w:rsidRDefault="00000000">
    <w:pPr>
      <w:pStyle w:val="Subtitle"/>
      <w:keepNext w:val="0"/>
      <w:keepLines w:val="0"/>
      <w:spacing w:after="240" w:line="240" w:lineRule="auto"/>
      <w:rPr>
        <w:rFonts w:ascii="Calibri" w:eastAsia="Calibri" w:hAnsi="Calibri" w:cs="Calibri"/>
        <w:color w:val="5B9BD5"/>
        <w:sz w:val="28"/>
        <w:szCs w:val="28"/>
      </w:rPr>
    </w:pPr>
    <w:r>
      <w:rPr>
        <w:rFonts w:ascii="Calibri" w:eastAsia="Calibri" w:hAnsi="Calibri" w:cs="Calibri"/>
        <w:color w:val="5B9BD5"/>
        <w:sz w:val="28"/>
        <w:szCs w:val="28"/>
      </w:rPr>
      <w:t>FIT2179 Data Visualisation, Monash University</w:t>
    </w:r>
  </w:p>
  <w:p w14:paraId="6F6C7194" w14:textId="77777777" w:rsidR="001E1D0B" w:rsidRDefault="001E1D0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D0B"/>
    <w:rsid w:val="001E1D0B"/>
    <w:rsid w:val="003526CF"/>
    <w:rsid w:val="00353A54"/>
    <w:rsid w:val="00412073"/>
    <w:rsid w:val="004524EA"/>
    <w:rsid w:val="00681E9A"/>
    <w:rsid w:val="008077B8"/>
    <w:rsid w:val="009816D5"/>
    <w:rsid w:val="00DF066D"/>
    <w:rsid w:val="00FA1A8A"/>
    <w:rsid w:val="00FC21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B7B7B"/>
  <w15:docId w15:val="{B2761A5A-8918-8D48-8D8B-92DF541B5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zh-CN" w:bidi="ar-SA"/>
      </w:rPr>
    </w:rPrDefault>
    <w:pPrDefault>
      <w:pPr>
        <w:spacing w:line="276" w:lineRule="auto"/>
        <w:ind w:left="14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color w:val="1F4E79"/>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DF066D"/>
    <w:rPr>
      <w:color w:val="0000FF" w:themeColor="hyperlink"/>
      <w:u w:val="single"/>
    </w:rPr>
  </w:style>
  <w:style w:type="character" w:styleId="UnresolvedMention">
    <w:name w:val="Unresolved Mention"/>
    <w:basedOn w:val="DefaultParagraphFont"/>
    <w:uiPriority w:val="99"/>
    <w:semiHidden/>
    <w:unhideWhenUsed/>
    <w:rsid w:val="00DF06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accc.gov.au/system/files/diversified-specifics-report-australia-post-letter-volume-demand-update-public-version-updated-november-2024.pdf?ref=0&amp;download=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uspost.com.au/content/dam/auspost_corp/media/documents/foi/domestic-addressed-letters-fy13-to-fy22.pdf"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864</Words>
  <Characters>4929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Joyce Ling</cp:lastModifiedBy>
  <cp:revision>3</cp:revision>
  <dcterms:created xsi:type="dcterms:W3CDTF">2026-09-28T01:44:00Z</dcterms:created>
  <dcterms:modified xsi:type="dcterms:W3CDTF">2026-09-30T01:26:00Z</dcterms:modified>
</cp:coreProperties>
</file>