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b/>
          <w:bCs/>
          <w:color w:val="1B2A4A"/>
          <w:sz w:val="40"/>
          <w:szCs w:val="40"/>
        </w:rPr>
        <w:t>MÓDULO 1</w:t>
      </w:r>
    </w:p>
    <w:p>
      <w:pPr>
        <w:pStyle w:val="Normal"/>
        <w:spacing w:before="0" w:after="80"/>
        <w:rPr/>
      </w:pPr>
      <w:r>
        <w:rPr>
          <w:color w:val="333333"/>
          <w:sz w:val="24"/>
          <w:szCs w:val="24"/>
        </w:rPr>
        <w:t>Fundamentos de IA e o Cenário Jurídico Brasileiro</w:t>
      </w:r>
    </w:p>
    <w:p>
      <w:pPr>
        <w:pStyle w:val="Normal"/>
        <w:pBdr>
          <w:bottom w:val="single" w:sz="10" w:space="8" w:color="B08D3E"/>
        </w:pBdr>
        <w:spacing w:before="0" w:after="200"/>
        <w:rPr/>
      </w:pPr>
      <w:r>
        <w:rPr>
          <w:i/>
          <w:iCs/>
          <w:color w:val="B08D3E"/>
          <w:sz w:val="20"/>
          <w:szCs w:val="20"/>
        </w:rPr>
        <w:t>Material de apoio para capacitação em uso de IA no cotidiano jurídico</w:t>
      </w:r>
    </w:p>
    <w:tbl>
      <w:tblPr>
        <w:tblW w:w="5000" w:type="pct"/>
        <w:jc w:val="start"/>
        <w:tblInd w:w="0" w:type="dxa"/>
        <w:tblLayout w:type="fixed"/>
        <w:tblCellMar>
          <w:top w:w="150" w:type="dxa"/>
          <w:start w:w="150" w:type="dxa"/>
          <w:bottom w:w="150" w:type="dxa"/>
          <w:end w:w="150" w:type="dxa"/>
        </w:tblCellMar>
      </w:tblPr>
      <w:tblGrid>
        <w:gridCol w:w="10206"/>
      </w:tblGrid>
      <w:tr>
        <w:trPr/>
        <w:tc>
          <w:tcPr>
            <w:tcW w:w="10206" w:type="dxa"/>
            <w:tcBorders/>
            <w:shd w:fill="1B2A4A" w:val="clear"/>
          </w:tcPr>
          <w:p>
            <w:pPr>
              <w:pStyle w:val="Normal"/>
              <w:rPr/>
            </w:pPr>
            <w:r>
              <w:rPr>
                <w:b/>
                <w:bCs/>
                <w:color w:val="B08D3E"/>
                <w:sz w:val="30"/>
                <w:szCs w:val="30"/>
              </w:rPr>
              <w:t xml:space="preserve">1.0   </w:t>
            </w:r>
            <w:r>
              <w:rPr>
                <w:b/>
                <w:bCs/>
                <w:color w:val="FFFFFF"/>
                <w:sz w:val="30"/>
                <w:szCs w:val="30"/>
              </w:rPr>
              <w:t>O que é IA?</w:t>
            </w:r>
          </w:p>
        </w:tc>
      </w:tr>
    </w:tbl>
    <w:p>
      <w:pPr>
        <w:pStyle w:val="Normal"/>
        <w:spacing w:before="0" w:after="200"/>
        <w:rPr/>
      </w:pPr>
      <w:r>
        <w:rPr/>
      </w:r>
    </w:p>
    <w:tbl>
      <w:tblPr>
        <w:tblW w:w="5000" w:type="pct"/>
        <w:jc w:val="start"/>
        <w:tblInd w:w="0" w:type="dxa"/>
        <w:tblLayout w:type="fixed"/>
        <w:tblCellMar>
          <w:top w:w="200" w:type="dxa"/>
          <w:start w:w="250" w:type="dxa"/>
          <w:bottom w:w="200" w:type="dxa"/>
          <w:end w:w="250" w:type="dxa"/>
        </w:tblCellMar>
      </w:tblPr>
      <w:tblGrid>
        <w:gridCol w:w="10206"/>
      </w:tblGrid>
      <w:tr>
        <w:trPr/>
        <w:tc>
          <w:tcPr>
            <w:tcW w:w="10206" w:type="dxa"/>
            <w:tcBorders>
              <w:top w:val="single" w:sz="8" w:space="0" w:color="B08D3E"/>
              <w:start w:val="single" w:sz="8" w:space="0" w:color="B08D3E"/>
              <w:bottom w:val="single" w:sz="8" w:space="0" w:color="B08D3E"/>
              <w:end w:val="single" w:sz="8" w:space="0" w:color="B08D3E"/>
            </w:tcBorders>
            <w:shd w:fill="F4F1E8" w:val="clear"/>
          </w:tcPr>
          <w:p>
            <w:pPr>
              <w:pStyle w:val="Normal"/>
              <w:spacing w:before="0" w:after="100"/>
              <w:rPr/>
            </w:pPr>
            <w:r>
              <w:rPr>
                <w:b/>
                <w:bCs/>
                <w:color w:val="1B2A4A"/>
                <w:sz w:val="21"/>
                <w:szCs w:val="21"/>
              </w:rPr>
              <w:t>Alan Turing e o Teste de Turing (1950)</w:t>
            </w:r>
          </w:p>
          <w:p>
            <w:pPr>
              <w:pStyle w:val="Normal"/>
              <w:spacing w:lineRule="auto" w:line="262" w:before="0" w:after="120"/>
              <w:jc w:val="both"/>
              <w:rPr/>
            </w:pPr>
            <w:r>
              <w:rPr>
                <w:b w:val="false"/>
                <w:bCs w:val="false"/>
                <w:i w:val="false"/>
                <w:iCs w:val="false"/>
                <w:color w:val="333333"/>
                <w:sz w:val="19"/>
                <w:szCs w:val="19"/>
              </w:rPr>
              <w:t xml:space="preserve">Antes de qualquer definição técnica, gosto de começar essa conversa com uma pergunta que já incomoda a gente há mais de 70 anos. Em 1950, o matemático britânico Alan Turing se fez a seguinte pergunta: </w:t>
            </w:r>
            <w:r>
              <w:rPr>
                <w:b w:val="false"/>
                <w:bCs w:val="false"/>
                <w:i/>
                <w:iCs/>
                <w:color w:val="333333"/>
                <w:sz w:val="19"/>
                <w:szCs w:val="19"/>
              </w:rPr>
              <w:t>"como saber se uma máquina pensa?"</w:t>
            </w:r>
            <w:r>
              <w:rPr>
                <w:b w:val="false"/>
                <w:bCs w:val="false"/>
                <w:i w:val="false"/>
                <w:iCs w:val="false"/>
                <w:color w:val="333333"/>
                <w:sz w:val="19"/>
                <w:szCs w:val="19"/>
              </w:rPr>
              <w:t xml:space="preserve"> A ideia que ele teve foi quase um jogo: colocar uma pessoa para conversar, por texto, com um humano de um lado e uma máquina do outro, sem revelar qual é qual. Se essa pessoa não conseguir descobrir quem é quem, dizemos que a máquina "passou no teste".</w:t>
            </w:r>
          </w:p>
          <w:p>
            <w:pPr>
              <w:pStyle w:val="Normal"/>
              <w:spacing w:lineRule="auto" w:line="262" w:before="0" w:after="120"/>
              <w:jc w:val="both"/>
              <w:rPr/>
            </w:pPr>
            <w:r>
              <w:rPr>
                <w:b w:val="false"/>
                <w:bCs w:val="false"/>
                <w:i w:val="false"/>
                <w:iCs w:val="false"/>
                <w:color w:val="333333"/>
                <w:sz w:val="19"/>
                <w:szCs w:val="19"/>
              </w:rPr>
              <w:t xml:space="preserve">Só que repare numa coisa sutil: o teste não pergunta se a máquina pensa de verdade. Ele pergunta apenas se ela consegue </w:t>
            </w:r>
            <w:r>
              <w:rPr>
                <w:b w:val="false"/>
                <w:bCs w:val="false"/>
                <w:i/>
                <w:iCs/>
                <w:color w:val="333333"/>
                <w:sz w:val="19"/>
                <w:szCs w:val="19"/>
              </w:rPr>
              <w:t>parecer</w:t>
            </w:r>
            <w:r>
              <w:rPr>
                <w:b w:val="false"/>
                <w:bCs w:val="false"/>
                <w:i w:val="false"/>
                <w:iCs w:val="false"/>
                <w:color w:val="333333"/>
                <w:sz w:val="19"/>
                <w:szCs w:val="19"/>
              </w:rPr>
              <w:t xml:space="preserve"> que pensa. É exatamente essa mesma sensação que muita gente tem hoje conversando com o ChatGPT, a conversa flui tão bem que parece que a máquina "entende" o que estamos dizendo.</w:t>
            </w:r>
          </w:p>
        </w:tc>
      </w:tr>
    </w:tbl>
    <w:p>
      <w:pPr>
        <w:pStyle w:val="Normal"/>
        <w:spacing w:before="0" w:after="200"/>
        <w:rPr/>
      </w:pPr>
      <w:r>
        <w:rPr/>
      </w:r>
    </w:p>
    <w:p>
      <w:pPr>
        <w:pStyle w:val="Heading2"/>
        <w:spacing w:before="260" w:after="120"/>
        <w:rPr/>
      </w:pPr>
      <w:r>
        <w:rPr>
          <w:b/>
          <w:bCs/>
          <w:color w:val="1B2A4A"/>
          <w:sz w:val="24"/>
          <w:szCs w:val="24"/>
        </w:rPr>
        <w:t>Conceitos base - IA, Machine Learning, Deep Learning e LLM</w:t>
      </w:r>
    </w:p>
    <w:p>
      <w:pPr>
        <w:pStyle w:val="Normal"/>
        <w:spacing w:lineRule="auto" w:line="276" w:before="0" w:after="160"/>
        <w:jc w:val="both"/>
        <w:rPr/>
      </w:pPr>
      <w:r>
        <w:rPr>
          <w:color w:val="333333"/>
          <w:sz w:val="20"/>
          <w:szCs w:val="20"/>
        </w:rPr>
        <w:t>Você provavelmente já ouviu essas quatro siglas sendo usadas quase como sinônimos, como se IA, Machine Learning, Deep Learning e LLM fossem só formas diferentes de dizer a mesma coisa. Não são. A forma mais fácil de entender a relação entre elas é pensar em camadas, uma dentro da outra: cada termo é um subconjunto mais específico do anterior, não uma alternativa a ele. Vamos passar por cada uma com calma.</w:t>
      </w:r>
    </w:p>
    <w:p>
      <w:pPr>
        <w:pStyle w:val="Heading2"/>
        <w:spacing w:before="260" w:after="120"/>
        <w:rPr/>
      </w:pPr>
      <w:r>
        <w:rPr>
          <w:b/>
          <w:bCs/>
          <w:color w:val="1B2A4A"/>
          <w:sz w:val="24"/>
          <w:szCs w:val="24"/>
        </w:rPr>
        <w:t>IA - o guarda-chuva de tudo</w:t>
      </w:r>
    </w:p>
    <w:p>
      <w:pPr>
        <w:pStyle w:val="Normal"/>
        <w:spacing w:lineRule="auto" w:line="276" w:before="0" w:after="160"/>
        <w:jc w:val="both"/>
        <w:rPr/>
      </w:pPr>
      <w:r>
        <w:rPr>
          <w:color w:val="333333"/>
          <w:sz w:val="20"/>
          <w:szCs w:val="20"/>
        </w:rPr>
        <w:t>Inteligência Artificial é o termo mais amplo dos quatro, pense nele como um guarda-chuva enorme. Sempre que uma máquina faz algo que naturalmente esperaríamos de uma pessoa, reconhecer um rosto, tomar uma decisão, prever um resultado, manter uma conversa, chamamos isso de IA, independentemente de como ela chegou lá por dentro. É parecido com a palavra "veículo": carro, moto, bicicleta e caminhão são todos veículos, mas esse nome sozinho não te diz nada sobre o motor, o combustível ou como cada um efetivamente roda.</w:t>
      </w:r>
    </w:p>
    <w:p>
      <w:pPr>
        <w:pStyle w:val="Normal"/>
        <w:spacing w:lineRule="auto" w:line="276" w:before="0" w:after="160"/>
        <w:jc w:val="both"/>
        <w:rPr/>
      </w:pPr>
      <w:r>
        <w:rPr>
          <w:color w:val="333333"/>
          <w:sz w:val="20"/>
          <w:szCs w:val="20"/>
        </w:rPr>
        <w:t>E aqui já vale desfazer um mal-entendido bem comum, que é ótimo trazer logo no início da aula: nem toda IA aprende sozinha. Um sistema com um punhado de regras fixas, programadas manualmente, "se o cliente disser X, responda Y" já é, tecnicamente, Inteligência Artificial, mesmo sem nenhum tipo de aprendizado envolvido. Muita gente acha que "IA" é sinônimo de "a máquina aprendeu sozinha", e essa é apenas parte da história.</w:t>
      </w:r>
    </w:p>
    <w:p>
      <w:pPr>
        <w:pStyle w:val="Heading2"/>
        <w:spacing w:before="260" w:after="120"/>
        <w:rPr/>
      </w:pPr>
      <w:r>
        <w:rPr>
          <w:b/>
          <w:bCs/>
          <w:color w:val="1B2A4A"/>
          <w:sz w:val="24"/>
          <w:szCs w:val="24"/>
        </w:rPr>
        <w:t>Machine Learning - aprender com exemplos, não com regras</w:t>
      </w:r>
    </w:p>
    <w:p>
      <w:pPr>
        <w:pStyle w:val="Normal"/>
        <w:spacing w:lineRule="auto" w:line="276" w:before="0" w:after="160"/>
        <w:jc w:val="both"/>
        <w:rPr/>
      </w:pPr>
      <w:r>
        <w:rPr>
          <w:color w:val="333333"/>
          <w:sz w:val="20"/>
          <w:szCs w:val="20"/>
        </w:rPr>
        <w:t>Dentro desse guarda-chuva, entra o Machine Learning, e é aqui que a coisa começa a ficar mais interessante. Em vez de um programador escrever regra por regra ("se isso, então aquilo"), o sistema aprende sozinho os padrões, só de observar muitos exemplos.</w:t>
      </w:r>
    </w:p>
    <w:p>
      <w:pPr>
        <w:pStyle w:val="Normal"/>
        <w:spacing w:lineRule="auto" w:line="276" w:before="0" w:after="160"/>
        <w:jc w:val="both"/>
        <w:rPr/>
      </w:pPr>
      <w:r>
        <w:rPr>
          <w:color w:val="333333"/>
          <w:sz w:val="20"/>
          <w:szCs w:val="20"/>
        </w:rPr>
        <w:t>Pense em como você ensinaria uma criança pequena a diferenciar maçã de banana. Você não senta com ela e lista regras físicas, "maçã é redonda, banana é curva e alongada". Você simplesmente mostra várias fotos, dizendo "isso é maçã", "isso é banana", até ela conseguir generalizar sozinha e acertar até frutas que nunca tinha visto antes. É basicamente isso que o Machine Learning faz, só que com dados no lugar das fotos.</w:t>
      </w:r>
    </w:p>
    <w:p>
      <w:pPr>
        <w:pStyle w:val="Normal"/>
        <w:spacing w:lineRule="auto" w:line="276" w:before="0" w:after="160"/>
        <w:jc w:val="both"/>
        <w:rPr/>
      </w:pPr>
      <w:r>
        <w:rPr>
          <w:color w:val="333333"/>
          <w:sz w:val="20"/>
          <w:szCs w:val="20"/>
        </w:rPr>
        <w:t xml:space="preserve">Tem uma pegadinha importante aqui, porém: no Machine Learning mais tradicional, ainda é um humano quem decide quais características a máquina deve observar, </w:t>
      </w:r>
      <w:r>
        <w:rPr>
          <w:color w:val="333333"/>
          <w:sz w:val="20"/>
          <w:szCs w:val="20"/>
        </w:rPr>
        <w:t>por exemplo:</w:t>
      </w:r>
      <w:r>
        <w:rPr>
          <w:color w:val="333333"/>
          <w:sz w:val="20"/>
          <w:szCs w:val="20"/>
        </w:rPr>
        <w:t xml:space="preserve"> cor, forma, tamanho. É um aprendizado guiado; a máquina aprende os padrões, mas o humano ainda escolhe onde ela deve prestar atenção.</w:t>
      </w:r>
    </w:p>
    <w:p>
      <w:pPr>
        <w:pStyle w:val="Heading2"/>
        <w:spacing w:before="260" w:after="120"/>
        <w:rPr/>
      </w:pPr>
      <w:r>
        <w:rPr>
          <w:b/>
          <w:bCs/>
          <w:color w:val="1B2A4A"/>
          <w:sz w:val="24"/>
          <w:szCs w:val="24"/>
        </w:rPr>
        <w:t>Deep Learning - redes neurais organizadas em camadas</w:t>
      </w:r>
    </w:p>
    <w:p>
      <w:pPr>
        <w:pStyle w:val="Normal"/>
        <w:spacing w:lineRule="auto" w:line="276" w:before="0" w:after="160"/>
        <w:jc w:val="both"/>
        <w:rPr/>
      </w:pPr>
      <w:r>
        <w:rPr>
          <w:color w:val="333333"/>
          <w:sz w:val="20"/>
          <w:szCs w:val="20"/>
        </w:rPr>
        <w:t>O Deep Learning é uma versão mais avançada do Machine Learning, que usa redes neurais artificiais, estruturas vagamente inspiradas no funcionamento do cérebro, organizadas em várias camadas sucessivas.</w:t>
      </w:r>
    </w:p>
    <w:p>
      <w:pPr>
        <w:pStyle w:val="Normal"/>
        <w:spacing w:lineRule="auto" w:line="276" w:before="0" w:after="160"/>
        <w:jc w:val="both"/>
        <w:rPr/>
      </w:pPr>
      <w:r>
        <w:rPr>
          <w:color w:val="333333"/>
          <w:sz w:val="20"/>
          <w:szCs w:val="20"/>
        </w:rPr>
        <w:t>Uma boa forma de visualizar isso é imaginar uma linha de montagem de reconhecimento facial, com várias estações em sequência. Na primeira estação, o sistema identifica apenas bordas e contornos numa imagem. Na segunda, ele junta essas bordas em formas, um olho aqui, um nariz ali. Na terceira, ele junta essas formas e finalmente reconhece: "isso é um rosto".</w:t>
      </w:r>
    </w:p>
    <w:p>
      <w:pPr>
        <w:pStyle w:val="Normal"/>
        <w:spacing w:lineRule="auto" w:line="276" w:before="0" w:after="160"/>
        <w:jc w:val="both"/>
        <w:rPr/>
      </w:pPr>
      <w:r>
        <w:rPr>
          <w:color w:val="333333"/>
          <w:sz w:val="20"/>
          <w:szCs w:val="20"/>
        </w:rPr>
        <w:t xml:space="preserve">Cada uma dessas "estações" é uma camada da rede neural, e o mais interessante é que cada camada aprende sozinha, sem que nenhum humano precise dizer "procure bordas primeiro". É essa automação, a máquina decidindo por conta própria quais características importam, que diferencia o Deep Learning do Machine Learning mais tradicional. E de onde vem o "Deep" (profundo) do nome? Justamente do número de camadas dessa rede: quanto mais camadas, mais "profunda" ela é. Isso só se tornou viável na prática há cerca de 15 anos, quando as “GPUs” </w:t>
      </w:r>
      <w:r>
        <w:rPr>
          <w:color w:val="333333"/>
          <w:sz w:val="20"/>
          <w:szCs w:val="20"/>
        </w:rPr>
        <w:t>(</w:t>
      </w:r>
      <w:r>
        <w:rPr>
          <w:color w:val="333333"/>
          <w:sz w:val="20"/>
          <w:szCs w:val="20"/>
        </w:rPr>
        <w:t>as placas de vídeo, originalmente feitas para jogos</w:t>
      </w:r>
      <w:r>
        <w:rPr>
          <w:color w:val="333333"/>
          <w:sz w:val="20"/>
          <w:szCs w:val="20"/>
        </w:rPr>
        <w:t>)</w:t>
      </w:r>
      <w:r>
        <w:rPr>
          <w:color w:val="333333"/>
          <w:sz w:val="20"/>
          <w:szCs w:val="20"/>
        </w:rPr>
        <w:t xml:space="preserve"> se mostraram ótimas também para processar essa quantidade absurda de cálculos em paralelo.</w:t>
      </w:r>
    </w:p>
    <w:p>
      <w:pPr>
        <w:pStyle w:val="Heading2"/>
        <w:spacing w:before="260" w:after="120"/>
        <w:rPr/>
      </w:pPr>
      <w:r>
        <w:rPr>
          <w:b/>
          <w:bCs/>
          <w:color w:val="1B2A4A"/>
          <w:sz w:val="24"/>
          <w:szCs w:val="24"/>
        </w:rPr>
        <w:t xml:space="preserve">LLM - </w:t>
      </w:r>
      <w:r>
        <w:rPr>
          <w:b/>
          <w:bCs/>
          <w:color w:val="1B2A4A"/>
          <w:sz w:val="24"/>
          <w:szCs w:val="24"/>
        </w:rPr>
        <w:t>o</w:t>
      </w:r>
      <w:r>
        <w:rPr>
          <w:b/>
          <w:bCs/>
          <w:color w:val="1B2A4A"/>
          <w:sz w:val="24"/>
          <w:szCs w:val="24"/>
        </w:rPr>
        <w:t xml:space="preserve"> Deep Learning que aprendeu a falar</w:t>
      </w:r>
    </w:p>
    <w:p>
      <w:pPr>
        <w:pStyle w:val="Normal"/>
        <w:spacing w:lineRule="auto" w:line="276" w:before="0" w:after="160"/>
        <w:jc w:val="both"/>
        <w:rPr/>
      </w:pPr>
      <w:r>
        <w:rPr>
          <w:color w:val="333333"/>
          <w:sz w:val="20"/>
          <w:szCs w:val="20"/>
        </w:rPr>
        <w:t xml:space="preserve">E chegamos, finalmente, ao LLM (Large Language Model): um Deep Learning especializado, só que em vez de reconhecer rostos ou objetos, ele foi treinado para lidar com linguagem </w:t>
      </w:r>
      <w:r>
        <w:rPr>
          <w:color w:val="333333"/>
          <w:sz w:val="20"/>
          <w:szCs w:val="20"/>
        </w:rPr>
        <w:t>de</w:t>
      </w:r>
      <w:r>
        <w:rPr>
          <w:color w:val="333333"/>
          <w:sz w:val="20"/>
          <w:szCs w:val="20"/>
        </w:rPr>
        <w:t xml:space="preserve"> texto.</w:t>
      </w:r>
    </w:p>
    <w:p>
      <w:pPr>
        <w:pStyle w:val="Normal"/>
        <w:spacing w:lineRule="auto" w:line="276" w:before="0" w:after="160"/>
        <w:jc w:val="both"/>
        <w:rPr/>
      </w:pPr>
      <w:r>
        <w:rPr>
          <w:color w:val="333333"/>
          <w:sz w:val="20"/>
          <w:szCs w:val="20"/>
        </w:rPr>
        <w:t>Um LLM "engole" uma quantidade descomunal de texto durante o treinamento, um recorte gigantesco da internet, livros, artigos; e aprende algo bem específico: qual é a palavra (ou pedaço de palavra, chamado de token) mais provável de vir a seguir, dado tudo o que já foi escrito antes. Ele constrói a resposta assim, uma peça de cada vez, sempre calculando estatisticamente qual sequência parece mais plausível.</w:t>
      </w:r>
    </w:p>
    <w:p>
      <w:pPr>
        <w:pStyle w:val="Normal"/>
        <w:spacing w:lineRule="auto" w:line="276" w:before="0" w:after="160"/>
        <w:jc w:val="both"/>
        <w:rPr/>
      </w:pPr>
      <w:r>
        <w:rPr>
          <w:color w:val="333333"/>
          <w:sz w:val="20"/>
          <w:szCs w:val="20"/>
        </w:rPr>
        <w:t>E esse é um ponto realmente crucial de entender, principalmente pensando no Direito: o LLM não "sabe" fatos do jeito que um banco de dados sabe. Ele não está consultando uma fonte e te dizendo o que encontrou, ele está calculando, com base em padrões estatísticos, qual sequência de palavras parece mais correta. Na maioria das vezes isso coincide com a verdade, porque o texto usado no treinamento geralmente é factual. Mas quando não coincide, é aí que nascem as alucinações: o modelo "inventa" com total confiança, porque, estatisticamente, aquela sequência de palavras simplesmente parecia plausível.</w:t>
      </w:r>
    </w:p>
    <w:p>
      <w:pPr>
        <w:pStyle w:val="Heading2"/>
        <w:spacing w:before="260" w:after="120"/>
        <w:rPr/>
      </w:pPr>
      <w:r>
        <w:rPr>
          <w:b/>
          <w:bCs/>
          <w:color w:val="1B2A4A"/>
          <w:sz w:val="24"/>
          <w:szCs w:val="24"/>
        </w:rPr>
        <w:t>Ferramentas generativas - diferenças práticas relevantes ao Direito</w:t>
      </w:r>
    </w:p>
    <w:tbl>
      <w:tblPr>
        <w:tblW w:w="5000" w:type="pct"/>
        <w:jc w:val="start"/>
        <w:tblInd w:w="0" w:type="dxa"/>
        <w:tblLayout w:type="fixed"/>
        <w:tblCellMar>
          <w:top w:w="100" w:type="dxa"/>
          <w:start w:w="100" w:type="dxa"/>
          <w:bottom w:w="100" w:type="dxa"/>
          <w:end w:w="100" w:type="dxa"/>
        </w:tblCellMar>
      </w:tblPr>
      <w:tblGrid>
        <w:gridCol w:w="5102"/>
        <w:gridCol w:w="5104"/>
      </w:tblGrid>
      <w:tr>
        <w:trPr>
          <w:tblHeader w:val="true"/>
        </w:trPr>
        <w:tc>
          <w:tcPr>
            <w:tcW w:w="5102"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sz w:val="18"/>
                <w:szCs w:val="18"/>
              </w:rPr>
              <w:t>Ferramenta</w:t>
            </w:r>
          </w:p>
        </w:tc>
        <w:tc>
          <w:tcPr>
            <w:tcW w:w="5104"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sz w:val="18"/>
                <w:szCs w:val="18"/>
              </w:rPr>
              <w:t>Ponto relevante para uso jurídico</w:t>
            </w:r>
          </w:p>
        </w:tc>
      </w:tr>
      <w:tr>
        <w:trPr/>
        <w:tc>
          <w:tcPr>
            <w:tcW w:w="510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333333"/>
                <w:sz w:val="18"/>
                <w:szCs w:val="18"/>
              </w:rPr>
              <w:t>ChatGPT (OpenAI)</w:t>
            </w:r>
          </w:p>
        </w:tc>
        <w:tc>
          <w:tcPr>
            <w:tcW w:w="510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333333"/>
                <w:sz w:val="18"/>
                <w:szCs w:val="18"/>
              </w:rPr>
              <w:t>Mais popular e versátil; ampla adoção também significa mais casos documentados de má utilização em peças processuais.</w:t>
            </w:r>
          </w:p>
        </w:tc>
      </w:tr>
      <w:tr>
        <w:trPr/>
        <w:tc>
          <w:tcPr>
            <w:tcW w:w="5102" w:type="dxa"/>
            <w:tcBorders>
              <w:top w:val="single" w:sz="4" w:space="0" w:color="000000"/>
              <w:start w:val="single" w:sz="4" w:space="0" w:color="000000"/>
              <w:bottom w:val="single" w:sz="4" w:space="0" w:color="000000"/>
              <w:end w:val="single" w:sz="4" w:space="0" w:color="000000"/>
            </w:tcBorders>
            <w:shd w:fill="F4F1E8" w:val="clear"/>
          </w:tcPr>
          <w:p>
            <w:pPr>
              <w:pStyle w:val="Normal"/>
              <w:rPr/>
            </w:pPr>
            <w:r>
              <w:rPr>
                <w:b w:val="false"/>
                <w:bCs w:val="false"/>
                <w:color w:val="333333"/>
                <w:sz w:val="18"/>
                <w:szCs w:val="18"/>
              </w:rPr>
              <w:t>Claude (Anthropic)</w:t>
            </w:r>
          </w:p>
        </w:tc>
        <w:tc>
          <w:tcPr>
            <w:tcW w:w="5104" w:type="dxa"/>
            <w:tcBorders>
              <w:top w:val="single" w:sz="4" w:space="0" w:color="000000"/>
              <w:start w:val="single" w:sz="4" w:space="0" w:color="000000"/>
              <w:bottom w:val="single" w:sz="4" w:space="0" w:color="000000"/>
              <w:end w:val="single" w:sz="4" w:space="0" w:color="000000"/>
            </w:tcBorders>
            <w:shd w:fill="F4F1E8" w:val="clear"/>
          </w:tcPr>
          <w:p>
            <w:pPr>
              <w:pStyle w:val="Normal"/>
              <w:rPr/>
            </w:pPr>
            <w:r>
              <w:rPr>
                <w:b w:val="false"/>
                <w:bCs w:val="false"/>
                <w:color w:val="333333"/>
                <w:sz w:val="18"/>
                <w:szCs w:val="18"/>
              </w:rPr>
              <w:t>Costuma ser citado por maior cautela em respostas incertas e por lidar bem com documentos longos (úteis para revisão de contratos e autos).</w:t>
            </w:r>
          </w:p>
        </w:tc>
      </w:tr>
      <w:tr>
        <w:trPr/>
        <w:tc>
          <w:tcPr>
            <w:tcW w:w="510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333333"/>
                <w:sz w:val="18"/>
                <w:szCs w:val="18"/>
              </w:rPr>
              <w:t>Gemini (Google)</w:t>
            </w:r>
          </w:p>
        </w:tc>
        <w:tc>
          <w:tcPr>
            <w:tcW w:w="510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333333"/>
                <w:sz w:val="18"/>
                <w:szCs w:val="18"/>
              </w:rPr>
              <w:t>Integração nativa com buscas e produtos Google; pode trazer informação mais recente, mas com os mesmos riscos de alucinação.</w:t>
            </w:r>
          </w:p>
        </w:tc>
      </w:tr>
      <w:tr>
        <w:trPr/>
        <w:tc>
          <w:tcPr>
            <w:tcW w:w="5102" w:type="dxa"/>
            <w:tcBorders>
              <w:top w:val="single" w:sz="4" w:space="0" w:color="000000"/>
              <w:start w:val="single" w:sz="4" w:space="0" w:color="000000"/>
              <w:bottom w:val="single" w:sz="4" w:space="0" w:color="000000"/>
              <w:end w:val="single" w:sz="4" w:space="0" w:color="000000"/>
            </w:tcBorders>
            <w:shd w:fill="F4F1E8" w:val="clear"/>
          </w:tcPr>
          <w:p>
            <w:pPr>
              <w:pStyle w:val="Normal"/>
              <w:rPr/>
            </w:pPr>
            <w:r>
              <w:rPr>
                <w:b w:val="false"/>
                <w:bCs w:val="false"/>
                <w:color w:val="333333"/>
                <w:sz w:val="18"/>
                <w:szCs w:val="18"/>
              </w:rPr>
              <w:t>Copilot (Microsoft)</w:t>
            </w:r>
          </w:p>
        </w:tc>
        <w:tc>
          <w:tcPr>
            <w:tcW w:w="5104" w:type="dxa"/>
            <w:tcBorders>
              <w:top w:val="single" w:sz="4" w:space="0" w:color="000000"/>
              <w:start w:val="single" w:sz="4" w:space="0" w:color="000000"/>
              <w:bottom w:val="single" w:sz="4" w:space="0" w:color="000000"/>
              <w:end w:val="single" w:sz="4" w:space="0" w:color="000000"/>
            </w:tcBorders>
            <w:shd w:fill="F4F1E8" w:val="clear"/>
          </w:tcPr>
          <w:p>
            <w:pPr>
              <w:pStyle w:val="Normal"/>
              <w:rPr/>
            </w:pPr>
            <w:r>
              <w:rPr>
                <w:b w:val="false"/>
                <w:bCs w:val="false"/>
                <w:color w:val="333333"/>
                <w:sz w:val="18"/>
                <w:szCs w:val="18"/>
              </w:rPr>
              <w:t>Forte integração com Word/Outlook, interessante para o fluxo de redação do escritório, com as mesmas ressalvas de verificação.</w:t>
            </w:r>
          </w:p>
        </w:tc>
      </w:tr>
    </w:tbl>
    <w:p>
      <w:pPr>
        <w:pStyle w:val="Normal"/>
        <w:spacing w:before="100" w:after="100"/>
        <w:rPr/>
      </w:pPr>
      <w:r>
        <w:rPr>
          <w:i/>
          <w:iCs/>
          <w:color w:val="666666"/>
          <w:sz w:val="16"/>
          <w:szCs w:val="16"/>
        </w:rPr>
        <w:t xml:space="preserve">OBS: </w:t>
      </w:r>
      <w:r>
        <w:rPr>
          <w:i/>
          <w:iCs/>
          <w:color w:val="666666"/>
          <w:sz w:val="16"/>
          <w:szCs w:val="16"/>
        </w:rPr>
        <w:t>Nenhuma dessas ferramentas, na versão generalista, foi construída com base jurisprudencial validada, todas exigem verificação humana das fontes citadas.</w:t>
      </w:r>
    </w:p>
    <w:p>
      <w:pPr>
        <w:pStyle w:val="Normal"/>
        <w:spacing w:before="0" w:after="300"/>
        <w:rPr/>
      </w:pPr>
      <w:r>
        <w:rPr/>
      </w:r>
    </w:p>
    <w:tbl>
      <w:tblPr>
        <w:tblW w:w="5000" w:type="pct"/>
        <w:jc w:val="start"/>
        <w:tblInd w:w="0" w:type="dxa"/>
        <w:tblLayout w:type="fixed"/>
        <w:tblCellMar>
          <w:top w:w="150" w:type="dxa"/>
          <w:start w:w="150" w:type="dxa"/>
          <w:bottom w:w="150" w:type="dxa"/>
          <w:end w:w="150" w:type="dxa"/>
        </w:tblCellMar>
      </w:tblPr>
      <w:tblGrid>
        <w:gridCol w:w="10206"/>
      </w:tblGrid>
      <w:tr>
        <w:trPr/>
        <w:tc>
          <w:tcPr>
            <w:tcW w:w="10206" w:type="dxa"/>
            <w:tcBorders/>
            <w:shd w:fill="1B2A4A" w:val="clear"/>
          </w:tcPr>
          <w:p>
            <w:pPr>
              <w:pStyle w:val="Normal"/>
              <w:rPr/>
            </w:pPr>
            <w:r>
              <w:rPr>
                <w:b/>
                <w:bCs/>
                <w:color w:val="B08D3E"/>
                <w:sz w:val="30"/>
                <w:szCs w:val="30"/>
              </w:rPr>
              <w:t xml:space="preserve">1.1   </w:t>
            </w:r>
            <w:r>
              <w:rPr>
                <w:b/>
                <w:bCs/>
                <w:color w:val="FFFFFF"/>
                <w:sz w:val="30"/>
                <w:szCs w:val="30"/>
              </w:rPr>
              <w:t>Limitações críticas</w:t>
            </w:r>
          </w:p>
        </w:tc>
      </w:tr>
    </w:tbl>
    <w:p>
      <w:pPr>
        <w:pStyle w:val="Normal"/>
        <w:spacing w:before="0" w:after="200"/>
        <w:rPr/>
      </w:pPr>
      <w:r>
        <w:rPr/>
      </w:r>
    </w:p>
    <w:p>
      <w:pPr>
        <w:pStyle w:val="Heading2"/>
        <w:spacing w:before="260" w:after="120"/>
        <w:rPr/>
      </w:pPr>
      <w:r>
        <w:rPr>
          <w:b/>
          <w:bCs/>
          <w:color w:val="1B2A4A"/>
          <w:sz w:val="24"/>
          <w:szCs w:val="24"/>
        </w:rPr>
        <w:t>Alucinações</w:t>
      </w:r>
    </w:p>
    <w:p>
      <w:pPr>
        <w:pStyle w:val="Normal"/>
        <w:spacing w:lineRule="auto" w:line="276" w:before="0" w:after="160"/>
        <w:jc w:val="both"/>
        <w:rPr/>
      </w:pPr>
      <w:r>
        <w:rPr>
          <w:color w:val="333333"/>
          <w:sz w:val="20"/>
          <w:szCs w:val="20"/>
        </w:rPr>
        <w:t>Você já deve ter ouvido essa palavra em algum lugar: alucinação. É o termo técnico usado para quando um modelo generativo produz uma informação falsa com total aparência de verdade, com a mesma confiança de uma resposta correta, sem nenhum sinal de dúvida. E é exatamente esse tom de certeza que torna a alucinação tão perigosa em contexto jurídico.</w:t>
      </w:r>
    </w:p>
    <w:tbl>
      <w:tblPr>
        <w:tblW w:w="5000" w:type="pct"/>
        <w:jc w:val="start"/>
        <w:tblInd w:w="0" w:type="dxa"/>
        <w:tblLayout w:type="fixed"/>
        <w:tblCellMar>
          <w:top w:w="200" w:type="dxa"/>
          <w:start w:w="250" w:type="dxa"/>
          <w:bottom w:w="200" w:type="dxa"/>
          <w:end w:w="250" w:type="dxa"/>
        </w:tblCellMar>
      </w:tblPr>
      <w:tblGrid>
        <w:gridCol w:w="10206"/>
      </w:tblGrid>
      <w:tr>
        <w:trPr/>
        <w:tc>
          <w:tcPr>
            <w:tcW w:w="10206" w:type="dxa"/>
            <w:tcBorders>
              <w:top w:val="single" w:sz="8" w:space="0" w:color="B08D3E"/>
              <w:start w:val="single" w:sz="8" w:space="0" w:color="B08D3E"/>
              <w:bottom w:val="single" w:sz="8" w:space="0" w:color="B08D3E"/>
              <w:end w:val="single" w:sz="8" w:space="0" w:color="B08D3E"/>
            </w:tcBorders>
            <w:shd w:fill="F4F1E8" w:val="clear"/>
          </w:tcPr>
          <w:p>
            <w:pPr>
              <w:pStyle w:val="Normal"/>
              <w:spacing w:before="0" w:after="100"/>
              <w:rPr/>
            </w:pPr>
            <w:r>
              <w:rPr>
                <w:b/>
                <w:bCs/>
                <w:color w:val="1B2A4A"/>
                <w:sz w:val="21"/>
                <w:szCs w:val="21"/>
              </w:rPr>
              <w:t>Caso real - Vara do Trabalho de Concórdia (SC), outubro de 2025</w:t>
            </w:r>
          </w:p>
          <w:p>
            <w:pPr>
              <w:pStyle w:val="Normal"/>
              <w:spacing w:lineRule="auto" w:line="276" w:before="0" w:after="160"/>
              <w:jc w:val="both"/>
              <w:rPr/>
            </w:pPr>
            <w:r>
              <w:rPr>
                <w:color w:val="333333"/>
                <w:sz w:val="20"/>
                <w:szCs w:val="20"/>
              </w:rPr>
              <w:t>Uma petição inicial trazia decisões, doutrina e até o nome de um magistrado que não existia, elementos aparentemente gerados por IA generativa sem qualquer checagem humana. O juiz aplicou multa por litigância de má-fé à parte autora e determinou ofício à OAB para apurar a conduta da advogada, citando expressamente a Recomendação nº 001/2024 do Conselho Federal da OAB.</w:t>
            </w:r>
          </w:p>
          <w:p>
            <w:pPr>
              <w:pStyle w:val="Normal"/>
              <w:spacing w:lineRule="auto" w:line="276" w:before="0" w:after="160"/>
              <w:jc w:val="both"/>
              <w:rPr/>
            </w:pPr>
            <w:r>
              <w:rPr>
                <w:color w:val="333333"/>
                <w:sz w:val="20"/>
                <w:szCs w:val="20"/>
              </w:rPr>
              <w:t>Casos semelhantes já foram registrados em outros tribunais brasileiros (TJSC, TRF3, TRF4) e também no exterior nos Estados Unidos, advogados já foram multados por citarem jurisprudência inexistente gerada por IA em processos federais.</w:t>
            </w:r>
          </w:p>
        </w:tc>
      </w:tr>
    </w:tbl>
    <w:p>
      <w:pPr>
        <w:pStyle w:val="Normal"/>
        <w:bidi w:val="0"/>
        <w:spacing w:before="100" w:after="100"/>
        <w:rPr/>
      </w:pPr>
      <w:r>
        <w:rPr>
          <w:i/>
          <w:iCs/>
          <w:color w:val="666666"/>
          <w:sz w:val="16"/>
          <w:szCs w:val="16"/>
        </w:rPr>
        <w:t>Referência: https://portal.trt12.jus.br/noticias/autora-de-acao-e-multada-apos-advogada-inventar-jurisprudencia-e-desembargador</w:t>
      </w:r>
    </w:p>
    <w:p>
      <w:pPr>
        <w:pStyle w:val="Heading2"/>
        <w:spacing w:before="260" w:after="120"/>
        <w:rPr/>
      </w:pPr>
      <w:r>
        <w:rPr>
          <w:b/>
          <w:bCs/>
          <w:color w:val="1B2A4A"/>
          <w:sz w:val="24"/>
          <w:szCs w:val="24"/>
        </w:rPr>
        <w:t>Vieses</w:t>
      </w:r>
    </w:p>
    <w:p>
      <w:pPr>
        <w:pStyle w:val="Normal"/>
        <w:spacing w:lineRule="auto" w:line="276" w:before="0" w:after="160"/>
        <w:jc w:val="both"/>
        <w:rPr/>
      </w:pPr>
      <w:r>
        <w:rPr>
          <w:color w:val="333333"/>
          <w:sz w:val="20"/>
          <w:szCs w:val="20"/>
        </w:rPr>
        <w:t>Um modelo aprende padrões a partir dos dados com que foi treinado. Se esses dados carregam vieses históricos ou sociais, o modelo tende a reproduzi-los nas respostas de forma sutil e sem sinalizar que está fazendo isso. Em contexto jurídico, isso pode se traduzir em sugestões de pena, análises de risco ou interpretações que reforçam desigualdades já existentes na jurisprudência ou nos dados de treinamento.</w:t>
      </w:r>
    </w:p>
    <w:p>
      <w:pPr>
        <w:pStyle w:val="Heading2"/>
        <w:spacing w:before="260" w:after="120"/>
        <w:rPr/>
      </w:pPr>
      <w:r>
        <w:rPr>
          <w:b/>
          <w:bCs/>
          <w:color w:val="1B2A4A"/>
          <w:sz w:val="24"/>
          <w:szCs w:val="24"/>
        </w:rPr>
        <w:t>Por que IA generalista erra no Direito</w:t>
      </w:r>
    </w:p>
    <w:p>
      <w:pPr>
        <w:pStyle w:val="ListParagraph"/>
        <w:numPr>
          <w:ilvl w:val="0"/>
          <w:numId w:val="3"/>
        </w:numPr>
        <w:spacing w:lineRule="auto" w:line="262" w:before="0" w:after="100"/>
        <w:rPr/>
      </w:pPr>
      <w:r>
        <w:rPr>
          <w:b/>
          <w:bCs/>
          <w:color w:val="333333"/>
          <w:sz w:val="19"/>
          <w:szCs w:val="19"/>
        </w:rPr>
        <w:t xml:space="preserve">Falta de acesso a bases atualizadas: </w:t>
      </w:r>
      <w:r>
        <w:rPr>
          <w:b w:val="false"/>
          <w:bCs w:val="false"/>
          <w:color w:val="333333"/>
          <w:sz w:val="19"/>
          <w:szCs w:val="19"/>
        </w:rPr>
        <w:t>o modelo pode não conhecer decisões e mudanças legislativas recentes.</w:t>
      </w:r>
    </w:p>
    <w:p>
      <w:pPr>
        <w:pStyle w:val="ListParagraph"/>
        <w:numPr>
          <w:ilvl w:val="0"/>
          <w:numId w:val="1"/>
        </w:numPr>
        <w:spacing w:lineRule="auto" w:line="262" w:before="0" w:after="100"/>
        <w:rPr/>
      </w:pPr>
      <w:r>
        <w:rPr>
          <w:b/>
          <w:bCs/>
          <w:color w:val="333333"/>
          <w:sz w:val="19"/>
          <w:szCs w:val="19"/>
        </w:rPr>
        <w:t xml:space="preserve">Ausência de jurisprudência local: </w:t>
      </w:r>
      <w:r>
        <w:rPr>
          <w:b w:val="false"/>
          <w:bCs w:val="false"/>
          <w:color w:val="333333"/>
          <w:sz w:val="19"/>
          <w:szCs w:val="19"/>
        </w:rPr>
        <w:t>ferramentas generalistas não são treinadas especificamente com as bases dos tribunais brasileiros.</w:t>
      </w:r>
    </w:p>
    <w:p>
      <w:pPr>
        <w:pStyle w:val="ListParagraph"/>
        <w:numPr>
          <w:ilvl w:val="0"/>
          <w:numId w:val="1"/>
        </w:numPr>
        <w:spacing w:lineRule="auto" w:line="262" w:before="0" w:after="100"/>
        <w:rPr/>
      </w:pPr>
      <w:r>
        <w:rPr>
          <w:b/>
          <w:bCs/>
          <w:color w:val="333333"/>
          <w:sz w:val="19"/>
          <w:szCs w:val="19"/>
        </w:rPr>
        <w:t xml:space="preserve">Especificidade normativa brasileira: </w:t>
      </w:r>
      <w:r>
        <w:rPr>
          <w:b w:val="false"/>
          <w:bCs w:val="false"/>
          <w:color w:val="333333"/>
          <w:sz w:val="19"/>
          <w:szCs w:val="19"/>
        </w:rPr>
        <w:t>peculiaridades processuais e terminológicas do Direito brasileiro nem sempre são bem capturadas por modelos treinados majoritariamente em outros idiomas e sistemas jurídicos.</w:t>
      </w:r>
    </w:p>
    <w:p>
      <w:pPr>
        <w:pStyle w:val="Normal"/>
        <w:spacing w:before="0" w:after="300"/>
        <w:rPr/>
      </w:pPr>
      <w:r>
        <w:rPr/>
      </w:r>
    </w:p>
    <w:tbl>
      <w:tblPr>
        <w:tblW w:w="5000" w:type="pct"/>
        <w:jc w:val="start"/>
        <w:tblInd w:w="0" w:type="dxa"/>
        <w:tblLayout w:type="fixed"/>
        <w:tblCellMar>
          <w:top w:w="150" w:type="dxa"/>
          <w:start w:w="150" w:type="dxa"/>
          <w:bottom w:w="150" w:type="dxa"/>
          <w:end w:w="150" w:type="dxa"/>
        </w:tblCellMar>
      </w:tblPr>
      <w:tblGrid>
        <w:gridCol w:w="10206"/>
      </w:tblGrid>
      <w:tr>
        <w:trPr/>
        <w:tc>
          <w:tcPr>
            <w:tcW w:w="10206" w:type="dxa"/>
            <w:tcBorders/>
            <w:shd w:fill="1B2A4A" w:val="clear"/>
          </w:tcPr>
          <w:p>
            <w:pPr>
              <w:pStyle w:val="Normal"/>
              <w:rPr/>
            </w:pPr>
            <w:r>
              <w:rPr>
                <w:b/>
                <w:bCs/>
                <w:color w:val="B08D3E"/>
                <w:sz w:val="30"/>
                <w:szCs w:val="30"/>
              </w:rPr>
              <w:t xml:space="preserve">1.2   </w:t>
            </w:r>
            <w:r>
              <w:rPr>
                <w:b/>
                <w:bCs/>
                <w:color w:val="FFFFFF"/>
                <w:sz w:val="30"/>
                <w:szCs w:val="30"/>
              </w:rPr>
              <w:t>Panorama jurídico brasileiro</w:t>
            </w:r>
          </w:p>
        </w:tc>
      </w:tr>
    </w:tbl>
    <w:p>
      <w:pPr>
        <w:pStyle w:val="Normal"/>
        <w:spacing w:before="0" w:after="200"/>
        <w:rPr/>
      </w:pPr>
      <w:r>
        <w:rPr/>
      </w:r>
    </w:p>
    <w:p>
      <w:pPr>
        <w:pStyle w:val="Heading2"/>
        <w:spacing w:before="260" w:after="120"/>
        <w:rPr/>
      </w:pPr>
      <w:r>
        <w:rPr>
          <w:b/>
          <w:bCs/>
          <w:color w:val="1B2A4A"/>
          <w:sz w:val="24"/>
          <w:szCs w:val="24"/>
        </w:rPr>
        <w:t>Casos reais de uso indevido</w:t>
      </w:r>
    </w:p>
    <w:p>
      <w:pPr>
        <w:pStyle w:val="Normal"/>
        <w:spacing w:lineRule="auto" w:line="276" w:before="0" w:after="160"/>
        <w:jc w:val="both"/>
        <w:rPr/>
      </w:pPr>
      <w:r>
        <w:rPr>
          <w:color w:val="333333"/>
          <w:sz w:val="20"/>
          <w:szCs w:val="20"/>
        </w:rPr>
        <w:t>Nos últimos dois anos, cresceu o número de decisões brasileiras envolvendo advogados sancionados por uso indevido de IA, em especial citação de precedentes inexistentes, jurisprudência fabricada ou fundamentos jurídicos incorretos gerados sem verificação. Tribunais como TJSC, TRF3 e TRF4 já aplicaram multas e, em alguns casos, determinaram encaminhamento à OAB para apuração disciplinar.</w:t>
      </w:r>
    </w:p>
    <w:p>
      <w:pPr>
        <w:pStyle w:val="Heading2"/>
        <w:spacing w:before="260" w:after="120"/>
        <w:rPr/>
      </w:pPr>
      <w:r>
        <w:rPr>
          <w:b/>
          <w:bCs/>
          <w:color w:val="1B2A4A"/>
          <w:sz w:val="24"/>
          <w:szCs w:val="24"/>
        </w:rPr>
        <w:t>Casos de uso bem-sucedido</w:t>
      </w:r>
    </w:p>
    <w:p>
      <w:pPr>
        <w:pStyle w:val="Normal"/>
        <w:spacing w:lineRule="auto" w:line="276" w:before="0" w:after="160"/>
        <w:jc w:val="both"/>
        <w:rPr/>
      </w:pPr>
      <w:r>
        <w:rPr>
          <w:color w:val="333333"/>
          <w:sz w:val="20"/>
          <w:szCs w:val="20"/>
        </w:rPr>
        <w:t>Felizmente, a história não é só de tropeços. Usada com responsabilidade, a IA tem trazido ganhos reais de produtividade para quem trabalha com Direito: triagem de grandes volumes documentais, pesquisa assistida como primeiro filtro (sempre com checagem posterior) e apoio na estruturação inicial de peças, sempre com revisão humana antes do protocolo. O que separa um caso de sucesso de um caso de constrangimento público, no fim das contas, não é a ferramenta, é o cuidado de quem está por trás dela.</w:t>
      </w:r>
    </w:p>
    <w:p>
      <w:pPr>
        <w:pStyle w:val="Normal"/>
        <w:spacing w:before="0" w:after="300"/>
        <w:rPr/>
      </w:pPr>
      <w:r>
        <w:rPr/>
      </w:r>
    </w:p>
    <w:tbl>
      <w:tblPr>
        <w:tblW w:w="5000" w:type="pct"/>
        <w:jc w:val="start"/>
        <w:tblInd w:w="0" w:type="dxa"/>
        <w:tblLayout w:type="fixed"/>
        <w:tblCellMar>
          <w:top w:w="150" w:type="dxa"/>
          <w:start w:w="150" w:type="dxa"/>
          <w:bottom w:w="150" w:type="dxa"/>
          <w:end w:w="150" w:type="dxa"/>
        </w:tblCellMar>
      </w:tblPr>
      <w:tblGrid>
        <w:gridCol w:w="10206"/>
      </w:tblGrid>
      <w:tr>
        <w:trPr/>
        <w:tc>
          <w:tcPr>
            <w:tcW w:w="10206" w:type="dxa"/>
            <w:tcBorders/>
            <w:shd w:fill="1B2A4A" w:val="clear"/>
          </w:tcPr>
          <w:p>
            <w:pPr>
              <w:pStyle w:val="Normal"/>
              <w:rPr/>
            </w:pPr>
            <w:r>
              <w:rPr>
                <w:b/>
                <w:bCs/>
                <w:color w:val="B08D3E"/>
                <w:sz w:val="30"/>
                <w:szCs w:val="30"/>
              </w:rPr>
              <w:t xml:space="preserve">1.3   </w:t>
            </w:r>
            <w:r>
              <w:rPr>
                <w:b/>
                <w:bCs/>
                <w:color w:val="FFFFFF"/>
                <w:sz w:val="30"/>
                <w:szCs w:val="30"/>
              </w:rPr>
              <w:t>Regulamentação</w:t>
            </w:r>
          </w:p>
        </w:tc>
      </w:tr>
    </w:tbl>
    <w:p>
      <w:pPr>
        <w:pStyle w:val="Normal"/>
        <w:spacing w:before="0" w:after="200"/>
        <w:rPr/>
      </w:pPr>
      <w:r>
        <w:rPr/>
      </w:r>
    </w:p>
    <w:tbl>
      <w:tblPr>
        <w:tblW w:w="5000" w:type="pct"/>
        <w:jc w:val="start"/>
        <w:tblInd w:w="0" w:type="dxa"/>
        <w:tblLayout w:type="fixed"/>
        <w:tblCellMar>
          <w:top w:w="100" w:type="dxa"/>
          <w:start w:w="100" w:type="dxa"/>
          <w:bottom w:w="100" w:type="dxa"/>
          <w:end w:w="100" w:type="dxa"/>
        </w:tblCellMar>
      </w:tblPr>
      <w:tblGrid>
        <w:gridCol w:w="5102"/>
        <w:gridCol w:w="5104"/>
      </w:tblGrid>
      <w:tr>
        <w:trPr>
          <w:tblHeader w:val="true"/>
        </w:trPr>
        <w:tc>
          <w:tcPr>
            <w:tcW w:w="5102"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sz w:val="18"/>
                <w:szCs w:val="18"/>
              </w:rPr>
              <w:t>Norma</w:t>
            </w:r>
          </w:p>
        </w:tc>
        <w:tc>
          <w:tcPr>
            <w:tcW w:w="5104"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sz w:val="18"/>
                <w:szCs w:val="18"/>
              </w:rPr>
              <w:t>O que estabelece</w:t>
            </w:r>
          </w:p>
        </w:tc>
      </w:tr>
      <w:tr>
        <w:trPr/>
        <w:tc>
          <w:tcPr>
            <w:tcW w:w="510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333333"/>
                <w:sz w:val="18"/>
                <w:szCs w:val="18"/>
              </w:rPr>
              <w:t>Recomendação OAB nº 001/2024</w:t>
            </w:r>
          </w:p>
        </w:tc>
        <w:tc>
          <w:tcPr>
            <w:tcW w:w="510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333333"/>
                <w:sz w:val="18"/>
                <w:szCs w:val="18"/>
              </w:rPr>
              <w:t>Diretrizes éticas do Conselho Federal da OAB para uso de IA generativa na prática jurídica: entendimento adequado das limitações da ferramenta, verificação rigorosa das informações geradas, transparência com clientes e vedação à delegação de atos privativos da profissão sem supervisão qualificada.</w:t>
            </w:r>
          </w:p>
        </w:tc>
      </w:tr>
      <w:tr>
        <w:trPr/>
        <w:tc>
          <w:tcPr>
            <w:tcW w:w="5102" w:type="dxa"/>
            <w:tcBorders>
              <w:top w:val="single" w:sz="4" w:space="0" w:color="000000"/>
              <w:start w:val="single" w:sz="4" w:space="0" w:color="000000"/>
              <w:bottom w:val="single" w:sz="4" w:space="0" w:color="000000"/>
              <w:end w:val="single" w:sz="4" w:space="0" w:color="000000"/>
            </w:tcBorders>
            <w:shd w:fill="F4F1E8" w:val="clear"/>
          </w:tcPr>
          <w:p>
            <w:pPr>
              <w:pStyle w:val="Normal"/>
              <w:rPr/>
            </w:pPr>
            <w:r>
              <w:rPr>
                <w:b w:val="false"/>
                <w:bCs w:val="false"/>
                <w:color w:val="333333"/>
                <w:sz w:val="18"/>
                <w:szCs w:val="18"/>
              </w:rPr>
              <w:t>Resolução CNJ nº 615/2025</w:t>
            </w:r>
          </w:p>
        </w:tc>
        <w:tc>
          <w:tcPr>
            <w:tcW w:w="5104" w:type="dxa"/>
            <w:tcBorders>
              <w:top w:val="single" w:sz="4" w:space="0" w:color="000000"/>
              <w:start w:val="single" w:sz="4" w:space="0" w:color="000000"/>
              <w:bottom w:val="single" w:sz="4" w:space="0" w:color="000000"/>
              <w:end w:val="single" w:sz="4" w:space="0" w:color="000000"/>
            </w:tcBorders>
            <w:shd w:fill="F4F1E8" w:val="clear"/>
          </w:tcPr>
          <w:p>
            <w:pPr>
              <w:pStyle w:val="Normal"/>
              <w:rPr/>
            </w:pPr>
            <w:r>
              <w:rPr>
                <w:b w:val="false"/>
                <w:bCs w:val="false"/>
                <w:color w:val="333333"/>
                <w:sz w:val="18"/>
                <w:szCs w:val="18"/>
              </w:rPr>
              <w:t>Publicada em março de 2025, substitui a Resolução CNJ nº 332/2020. Estabelece diretrizes de governança, classificação de risco, auditoria, transparência e supervisão humana obrigatória para soluções de IA usadas no Poder Judiciário, com atenção especial ao uso de LLMs e IA generativa na fundamentação de decisões.</w:t>
            </w:r>
          </w:p>
        </w:tc>
      </w:tr>
      <w:tr>
        <w:trPr/>
        <w:tc>
          <w:tcPr>
            <w:tcW w:w="510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333333"/>
                <w:sz w:val="18"/>
                <w:szCs w:val="18"/>
              </w:rPr>
              <w:t>LGPD (Lei nº 13.709/2018)</w:t>
            </w:r>
          </w:p>
        </w:tc>
        <w:tc>
          <w:tcPr>
            <w:tcW w:w="510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333333"/>
                <w:sz w:val="18"/>
                <w:szCs w:val="18"/>
              </w:rPr>
              <w:t>Regula o tratamento de dados pessoais no Brasil. Relevante sempre que dados de clientes, partes ou processos forem inseridos em ferramentas de IA, especialmente em ferramentas generalistas cujos termos de uso podem prever reaproveitamento de dados para treinamento.</w:t>
            </w:r>
          </w:p>
        </w:tc>
      </w:tr>
      <w:tr>
        <w:trPr/>
        <w:tc>
          <w:tcPr>
            <w:tcW w:w="5102" w:type="dxa"/>
            <w:tcBorders>
              <w:top w:val="single" w:sz="4" w:space="0" w:color="000000"/>
              <w:start w:val="single" w:sz="4" w:space="0" w:color="000000"/>
              <w:bottom w:val="single" w:sz="4" w:space="0" w:color="000000"/>
              <w:end w:val="single" w:sz="4" w:space="0" w:color="000000"/>
            </w:tcBorders>
            <w:shd w:fill="F4F1E8" w:val="clear"/>
          </w:tcPr>
          <w:p>
            <w:pPr>
              <w:pStyle w:val="Normal"/>
              <w:rPr/>
            </w:pPr>
            <w:r>
              <w:rPr>
                <w:b w:val="false"/>
                <w:bCs w:val="false"/>
                <w:color w:val="333333"/>
                <w:sz w:val="18"/>
                <w:szCs w:val="18"/>
              </w:rPr>
              <w:t>PL 2.338/2023</w:t>
            </w:r>
          </w:p>
        </w:tc>
        <w:tc>
          <w:tcPr>
            <w:tcW w:w="5104" w:type="dxa"/>
            <w:tcBorders>
              <w:top w:val="single" w:sz="4" w:space="0" w:color="000000"/>
              <w:start w:val="single" w:sz="4" w:space="0" w:color="000000"/>
              <w:bottom w:val="single" w:sz="4" w:space="0" w:color="000000"/>
              <w:end w:val="single" w:sz="4" w:space="0" w:color="000000"/>
            </w:tcBorders>
            <w:shd w:fill="F4F1E8" w:val="clear"/>
          </w:tcPr>
          <w:p>
            <w:pPr>
              <w:pStyle w:val="Normal"/>
              <w:rPr/>
            </w:pPr>
            <w:r>
              <w:rPr>
                <w:b w:val="false"/>
                <w:bCs w:val="false"/>
                <w:color w:val="333333"/>
                <w:sz w:val="18"/>
                <w:szCs w:val="18"/>
              </w:rPr>
              <w:t>Projeto de lei que institui o marco regulatório da Inteligência Artificial no Brasil, em tramitação no Congresso Nacional. Define princípios, direitos, categorias de risco e regras de governança para sistemas de IA de forma ampla, panorama do que pode vir a se tornar lei geral sobre o tema.</w:t>
            </w:r>
          </w:p>
        </w:tc>
      </w:tr>
    </w:tbl>
    <w:p>
      <w:pPr>
        <w:pStyle w:val="Normal"/>
        <w:spacing w:before="100" w:after="100"/>
        <w:rPr/>
      </w:pPr>
      <w:r>
        <w:rPr>
          <w:i/>
          <w:iCs/>
          <w:color w:val="666666"/>
          <w:sz w:val="16"/>
          <w:szCs w:val="16"/>
        </w:rPr>
        <w:t>Normas em constante atualização,</w:t>
      </w:r>
      <w:r>
        <w:rPr>
          <w:i/>
          <w:iCs/>
          <w:color w:val="666666"/>
          <w:sz w:val="16"/>
          <w:szCs w:val="16"/>
        </w:rPr>
        <w:t xml:space="preserve"> vale checar a versão vigente de cada uma próximo à data da aula.</w:t>
      </w:r>
    </w:p>
    <w:sectPr>
      <w:type w:val="nextPage"/>
      <w:pgSz w:w="11906" w:h="16838"/>
      <w:pgMar w:left="850" w:right="850"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pt-BR"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Noto Serif CJK SC" w:cs="Noto Sans Devanagari"/>
      <w:color w:val="auto"/>
      <w:kern w:val="0"/>
      <w:sz w:val="20"/>
      <w:szCs w:val="20"/>
      <w:lang w:val="pt-BR"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pt-BR"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LibreOffice/26.8.0.3$Linux_X86_64 LibreOffice_project/e34ffb33db0c92181c79084d759a90d6bf45d9b3</Application>
  <AppVersion>15.0000</AppVersion>
  <Pages>4</Pages>
  <Words>1775</Words>
  <Characters>9564</Characters>
  <CharactersWithSpaces>11278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2026-09-12T15:42:00Z</dcterms:created>
  <dc:creator>Un-named</dc:creator>
  <dc:description/>
  <dc:language>pt-BR</dc:language>
  <cp:lastModifiedBy/>
  <dcterms:modified xsi:type="dcterms:W3CDTF">2026-09-12T13:21:33Z</dcterms:modified>
  <cp:revision>3</cp:revision>
  <dc:subject/>
  <dc:title/>
</cp:coreProperties>
</file>