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0B" w:rsidRPr="001E2BE5" w:rsidRDefault="0094130B" w:rsidP="00381058">
      <w:pPr>
        <w:ind w:right="-1"/>
        <w:rPr>
          <w:rFonts w:cs="Times New Roman"/>
        </w:rPr>
      </w:pPr>
    </w:p>
    <w:p w:rsidR="0094130B" w:rsidRPr="001E2BE5" w:rsidRDefault="0094130B" w:rsidP="00070494">
      <w:pPr>
        <w:spacing w:line="360" w:lineRule="auto"/>
        <w:ind w:right="-1"/>
        <w:jc w:val="center"/>
        <w:rPr>
          <w:rFonts w:cs="Times New Roman"/>
          <w:b/>
          <w:sz w:val="32"/>
          <w:szCs w:val="32"/>
        </w:rPr>
      </w:pPr>
      <w:r w:rsidRPr="001E2BE5">
        <w:rPr>
          <w:rFonts w:cs="Times New Roman"/>
          <w:b/>
          <w:noProof/>
          <w:sz w:val="32"/>
          <w:szCs w:val="32"/>
          <w:lang w:eastAsia="pt-BR"/>
        </w:rPr>
        <w:drawing>
          <wp:inline distT="0" distB="0" distL="0" distR="0">
            <wp:extent cx="1140031" cy="1104405"/>
            <wp:effectExtent l="19050" t="0" r="2969" b="0"/>
            <wp:docPr id="6" name="Imagem 1"/>
            <wp:cNvGraphicFramePr/>
            <a:graphic xmlns:a="http://schemas.openxmlformats.org/drawingml/2006/main">
              <a:graphicData uri="http://schemas.openxmlformats.org/drawingml/2006/picture">
                <pic:pic xmlns:pic="http://schemas.openxmlformats.org/drawingml/2006/picture">
                  <pic:nvPicPr>
                    <pic:cNvPr id="1025" name="Imagem 15"/>
                    <pic:cNvPicPr>
                      <a:picLocks noChangeAspect="1" noChangeArrowheads="1"/>
                    </pic:cNvPicPr>
                  </pic:nvPicPr>
                  <pic:blipFill>
                    <a:blip r:embed="rId10" cstate="print"/>
                    <a:srcRect/>
                    <a:stretch>
                      <a:fillRect/>
                    </a:stretch>
                  </pic:blipFill>
                  <pic:spPr bwMode="auto">
                    <a:xfrm>
                      <a:off x="0" y="0"/>
                      <a:ext cx="1143832" cy="1108087"/>
                    </a:xfrm>
                    <a:prstGeom prst="rect">
                      <a:avLst/>
                    </a:prstGeom>
                    <a:noFill/>
                    <a:ln w="9525">
                      <a:noFill/>
                      <a:miter lim="800000"/>
                      <a:headEnd/>
                      <a:tailEnd/>
                    </a:ln>
                  </pic:spPr>
                </pic:pic>
              </a:graphicData>
            </a:graphic>
          </wp:inline>
        </w:drawing>
      </w:r>
    </w:p>
    <w:p w:rsidR="00352664" w:rsidRPr="001E2BE5" w:rsidRDefault="00352664" w:rsidP="00070494">
      <w:pPr>
        <w:spacing w:line="360" w:lineRule="auto"/>
        <w:ind w:right="-1"/>
        <w:jc w:val="center"/>
        <w:rPr>
          <w:rFonts w:cs="Times New Roman"/>
          <w:b/>
          <w:sz w:val="32"/>
          <w:szCs w:val="32"/>
        </w:rPr>
      </w:pPr>
      <w:r w:rsidRPr="001E2BE5">
        <w:rPr>
          <w:rFonts w:cs="Times New Roman"/>
          <w:b/>
          <w:sz w:val="32"/>
          <w:szCs w:val="32"/>
        </w:rPr>
        <w:t>Corpo de Bombeiros Militar de Alagoas</w:t>
      </w:r>
    </w:p>
    <w:p w:rsidR="00102DF1" w:rsidRDefault="00102DF1" w:rsidP="008F73E9">
      <w:pPr>
        <w:jc w:val="center"/>
        <w:rPr>
          <w:rFonts w:cs="Times New Roman"/>
          <w:sz w:val="40"/>
          <w:szCs w:val="40"/>
        </w:rPr>
      </w:pPr>
    </w:p>
    <w:p w:rsidR="00352664" w:rsidRPr="00204D01" w:rsidRDefault="00352664" w:rsidP="008F73E9">
      <w:pPr>
        <w:jc w:val="center"/>
        <w:rPr>
          <w:rFonts w:cs="Times New Roman"/>
          <w:sz w:val="40"/>
          <w:szCs w:val="40"/>
        </w:rPr>
      </w:pPr>
      <w:r w:rsidRPr="00204D01">
        <w:rPr>
          <w:rFonts w:cs="Times New Roman"/>
          <w:sz w:val="40"/>
          <w:szCs w:val="40"/>
        </w:rPr>
        <w:t>INSTRUÇÃO TÉCNICA Nº 0</w:t>
      </w:r>
      <w:r w:rsidR="008F4690" w:rsidRPr="00204D01">
        <w:rPr>
          <w:rFonts w:cs="Times New Roman"/>
          <w:sz w:val="40"/>
          <w:szCs w:val="40"/>
        </w:rPr>
        <w:t>1</w:t>
      </w:r>
      <w:r w:rsidR="001E2BE5" w:rsidRPr="00204D01">
        <w:rPr>
          <w:rFonts w:cs="Times New Roman"/>
          <w:sz w:val="40"/>
          <w:szCs w:val="40"/>
        </w:rPr>
        <w:t>/202</w:t>
      </w:r>
      <w:r w:rsidR="0028359C" w:rsidRPr="00204D01">
        <w:rPr>
          <w:rFonts w:cs="Times New Roman"/>
          <w:sz w:val="40"/>
          <w:szCs w:val="40"/>
        </w:rPr>
        <w:t>1</w:t>
      </w:r>
    </w:p>
    <w:p w:rsidR="00204D01" w:rsidRDefault="00204D01" w:rsidP="00070494">
      <w:pPr>
        <w:spacing w:line="360" w:lineRule="auto"/>
        <w:ind w:right="-1"/>
        <w:jc w:val="center"/>
        <w:rPr>
          <w:rFonts w:cs="Times New Roman"/>
          <w:b/>
          <w:bCs/>
          <w:sz w:val="40"/>
          <w:szCs w:val="40"/>
        </w:rPr>
      </w:pPr>
    </w:p>
    <w:p w:rsidR="008F1674" w:rsidRPr="00204D01" w:rsidRDefault="008F1674" w:rsidP="00070494">
      <w:pPr>
        <w:spacing w:line="360" w:lineRule="auto"/>
        <w:ind w:right="-1"/>
        <w:jc w:val="center"/>
        <w:rPr>
          <w:rFonts w:cs="Times New Roman"/>
          <w:b/>
          <w:bCs/>
          <w:sz w:val="40"/>
          <w:szCs w:val="40"/>
        </w:rPr>
      </w:pPr>
      <w:r w:rsidRPr="00204D01">
        <w:rPr>
          <w:rFonts w:cs="Times New Roman"/>
          <w:b/>
          <w:bCs/>
          <w:sz w:val="40"/>
          <w:szCs w:val="40"/>
        </w:rPr>
        <w:t>Procedimentos Administrativos</w:t>
      </w:r>
    </w:p>
    <w:p w:rsidR="00070494" w:rsidRPr="00204D01" w:rsidRDefault="008F1674" w:rsidP="00070494">
      <w:pPr>
        <w:autoSpaceDE/>
        <w:autoSpaceDN/>
        <w:adjustRightInd/>
        <w:spacing w:line="360" w:lineRule="auto"/>
        <w:ind w:right="-1"/>
        <w:jc w:val="center"/>
        <w:rPr>
          <w:rFonts w:eastAsia="Times New Roman" w:cs="Times New Roman"/>
          <w:color w:val="auto"/>
          <w:sz w:val="40"/>
          <w:szCs w:val="40"/>
          <w:lang w:eastAsia="pt-BR"/>
        </w:rPr>
      </w:pPr>
      <w:r w:rsidRPr="00204D01">
        <w:rPr>
          <w:rFonts w:eastAsia="Times New Roman" w:cs="Times New Roman"/>
          <w:b/>
          <w:color w:val="auto"/>
          <w:sz w:val="40"/>
          <w:szCs w:val="40"/>
          <w:lang w:eastAsia="pt-BR"/>
        </w:rPr>
        <w:t>Parte 03: V</w:t>
      </w:r>
      <w:r w:rsidR="00070494" w:rsidRPr="00204D01">
        <w:rPr>
          <w:rFonts w:eastAsia="Times New Roman" w:cs="Times New Roman"/>
          <w:b/>
          <w:color w:val="auto"/>
          <w:sz w:val="40"/>
          <w:szCs w:val="40"/>
          <w:lang w:eastAsia="pt-BR"/>
        </w:rPr>
        <w:t>istoria</w:t>
      </w:r>
      <w:r w:rsidR="00CC624B" w:rsidRPr="00204D01">
        <w:rPr>
          <w:rFonts w:eastAsia="Times New Roman" w:cs="Times New Roman"/>
          <w:b/>
          <w:color w:val="auto"/>
          <w:sz w:val="40"/>
          <w:szCs w:val="40"/>
          <w:lang w:eastAsia="pt-BR"/>
        </w:rPr>
        <w:t>s</w:t>
      </w:r>
      <w:r w:rsidR="00070494" w:rsidRPr="00204D01">
        <w:rPr>
          <w:rFonts w:eastAsia="Times New Roman" w:cs="Times New Roman"/>
          <w:b/>
          <w:color w:val="auto"/>
          <w:sz w:val="40"/>
          <w:szCs w:val="40"/>
          <w:lang w:eastAsia="pt-BR"/>
        </w:rPr>
        <w:t xml:space="preserve"> técnica</w:t>
      </w:r>
      <w:r w:rsidR="00CC624B" w:rsidRPr="00204D01">
        <w:rPr>
          <w:rFonts w:eastAsia="Times New Roman" w:cs="Times New Roman"/>
          <w:b/>
          <w:color w:val="auto"/>
          <w:sz w:val="40"/>
          <w:szCs w:val="40"/>
          <w:lang w:eastAsia="pt-BR"/>
        </w:rPr>
        <w:t>s</w:t>
      </w:r>
      <w:r w:rsidR="00070494" w:rsidRPr="00204D01">
        <w:rPr>
          <w:rFonts w:eastAsia="Times New Roman" w:cs="Times New Roman"/>
          <w:b/>
          <w:color w:val="auto"/>
          <w:sz w:val="40"/>
          <w:szCs w:val="40"/>
          <w:lang w:eastAsia="pt-BR"/>
        </w:rPr>
        <w:t xml:space="preserve">, penalidades e </w:t>
      </w:r>
      <w:r w:rsidR="00CC624B" w:rsidRPr="00204D01">
        <w:rPr>
          <w:rFonts w:eastAsia="Times New Roman" w:cs="Times New Roman"/>
          <w:b/>
          <w:color w:val="auto"/>
          <w:sz w:val="40"/>
          <w:szCs w:val="40"/>
          <w:lang w:eastAsia="pt-BR"/>
        </w:rPr>
        <w:t xml:space="preserve">direito de </w:t>
      </w:r>
      <w:proofErr w:type="gramStart"/>
      <w:r w:rsidR="00CC624B" w:rsidRPr="00204D01">
        <w:rPr>
          <w:rFonts w:eastAsia="Times New Roman" w:cs="Times New Roman"/>
          <w:b/>
          <w:color w:val="auto"/>
          <w:sz w:val="40"/>
          <w:szCs w:val="40"/>
          <w:lang w:eastAsia="pt-BR"/>
        </w:rPr>
        <w:t>defesa</w:t>
      </w:r>
      <w:proofErr w:type="gramEnd"/>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SUMÁRIO</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1 </w:t>
      </w:r>
      <w:r w:rsidRPr="00070494">
        <w:rPr>
          <w:rFonts w:eastAsia="Times New Roman" w:cs="Times New Roman"/>
          <w:lang w:eastAsia="pt-BR"/>
        </w:rPr>
        <w:t>Objetivo</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2 </w:t>
      </w:r>
      <w:r w:rsidRPr="00070494">
        <w:rPr>
          <w:rFonts w:eastAsia="Times New Roman" w:cs="Times New Roman"/>
          <w:lang w:eastAsia="pt-BR"/>
        </w:rPr>
        <w:t>Aplicação</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3 </w:t>
      </w:r>
      <w:r w:rsidRPr="00070494">
        <w:rPr>
          <w:rFonts w:eastAsia="Times New Roman" w:cs="Times New Roman"/>
          <w:lang w:eastAsia="pt-BR"/>
        </w:rPr>
        <w:t>Referências normativas e bibliográficas</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4 </w:t>
      </w:r>
      <w:r w:rsidRPr="00070494">
        <w:rPr>
          <w:rFonts w:eastAsia="Times New Roman" w:cs="Times New Roman"/>
          <w:lang w:eastAsia="pt-BR"/>
        </w:rPr>
        <w:t>Definições</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5 </w:t>
      </w:r>
      <w:r w:rsidR="006A0F37">
        <w:rPr>
          <w:rFonts w:eastAsia="Times New Roman" w:cs="Times New Roman"/>
          <w:lang w:eastAsia="pt-BR"/>
        </w:rPr>
        <w:t>Vistoria Técnica de Regularização</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6 </w:t>
      </w:r>
      <w:r w:rsidR="006A0F37">
        <w:rPr>
          <w:rFonts w:eastAsia="Times New Roman" w:cs="Times New Roman"/>
          <w:lang w:eastAsia="pt-BR"/>
        </w:rPr>
        <w:t>Vis</w:t>
      </w:r>
      <w:r w:rsidRPr="00070494">
        <w:rPr>
          <w:rFonts w:eastAsia="Times New Roman" w:cs="Times New Roman"/>
          <w:lang w:eastAsia="pt-BR"/>
        </w:rPr>
        <w:t>toria</w:t>
      </w:r>
      <w:r w:rsidR="006A0F37">
        <w:rPr>
          <w:rFonts w:eastAsia="Times New Roman" w:cs="Times New Roman"/>
          <w:lang w:eastAsia="pt-BR"/>
        </w:rPr>
        <w:t xml:space="preserve"> Técnica de Fiscalização</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7 </w:t>
      </w:r>
      <w:r w:rsidR="006A0F37">
        <w:rPr>
          <w:rFonts w:eastAsia="Times New Roman" w:cs="Times New Roman"/>
          <w:lang w:eastAsia="pt-BR"/>
        </w:rPr>
        <w:t>Sanções Administrativas</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8 </w:t>
      </w:r>
      <w:r w:rsidR="006A0F37">
        <w:rPr>
          <w:rFonts w:eastAsia="Times New Roman" w:cs="Times New Roman"/>
          <w:lang w:eastAsia="pt-BR"/>
        </w:rPr>
        <w:t>Direito de Defesa</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9 </w:t>
      </w:r>
      <w:r w:rsidR="006A0F37">
        <w:rPr>
          <w:rFonts w:eastAsia="Times New Roman" w:cs="Times New Roman"/>
          <w:lang w:eastAsia="pt-BR"/>
        </w:rPr>
        <w:t>Prorrogação de Prazo</w:t>
      </w:r>
    </w:p>
    <w:p w:rsidR="00070494" w:rsidRPr="00070494" w:rsidRDefault="00070494" w:rsidP="00070494">
      <w:pPr>
        <w:pBdr>
          <w:top w:val="nil"/>
          <w:left w:val="nil"/>
          <w:bottom w:val="nil"/>
          <w:right w:val="nil"/>
          <w:between w:val="nil"/>
        </w:pBdr>
        <w:autoSpaceDE/>
        <w:autoSpaceDN/>
        <w:adjustRightInd/>
        <w:spacing w:before="80" w:after="0"/>
        <w:ind w:right="-1"/>
        <w:rPr>
          <w:rFonts w:eastAsia="Times New Roman" w:cs="Times New Roman"/>
          <w:lang w:eastAsia="pt-BR"/>
        </w:rPr>
      </w:pPr>
      <w:r w:rsidRPr="00070494">
        <w:rPr>
          <w:rFonts w:eastAsia="Times New Roman" w:cs="Times New Roman"/>
          <w:b/>
          <w:lang w:eastAsia="pt-BR"/>
        </w:rPr>
        <w:t xml:space="preserve">10 </w:t>
      </w:r>
      <w:r w:rsidR="006A0F37">
        <w:rPr>
          <w:rFonts w:eastAsia="Times New Roman" w:cs="Times New Roman"/>
          <w:lang w:eastAsia="pt-BR"/>
        </w:rPr>
        <w:t>Termo de Autorização para Adequação do Corpo de Bombeiros (TAACB)</w:t>
      </w:r>
    </w:p>
    <w:p w:rsidR="00070494" w:rsidRPr="00070494" w:rsidRDefault="00070494" w:rsidP="00070494">
      <w:pPr>
        <w:autoSpaceDE/>
        <w:autoSpaceDN/>
        <w:adjustRightInd/>
        <w:spacing w:before="80" w:after="0" w:line="276" w:lineRule="auto"/>
        <w:ind w:right="-1"/>
        <w:rPr>
          <w:rFonts w:eastAsia="Times New Roman" w:cs="Times New Roman"/>
          <w:color w:val="auto"/>
          <w:lang w:eastAsia="pt-BR"/>
        </w:rPr>
      </w:pPr>
    </w:p>
    <w:p w:rsidR="00070494" w:rsidRPr="00070494" w:rsidRDefault="00070494" w:rsidP="00070494">
      <w:pPr>
        <w:autoSpaceDE/>
        <w:autoSpaceDN/>
        <w:adjustRightInd/>
        <w:spacing w:before="80" w:after="0" w:line="276" w:lineRule="auto"/>
        <w:ind w:right="-1"/>
        <w:rPr>
          <w:rFonts w:eastAsia="Times New Roman" w:cs="Times New Roman"/>
          <w:color w:val="auto"/>
          <w:lang w:eastAsia="pt-BR"/>
        </w:rPr>
      </w:pPr>
      <w:r w:rsidRPr="00070494">
        <w:rPr>
          <w:rFonts w:eastAsia="Times New Roman" w:cs="Times New Roman"/>
          <w:b/>
          <w:color w:val="auto"/>
          <w:lang w:eastAsia="pt-BR"/>
        </w:rPr>
        <w:t>ANEXOS</w:t>
      </w:r>
    </w:p>
    <w:p w:rsidR="00070494" w:rsidRPr="00070494" w:rsidRDefault="00070494" w:rsidP="00070494">
      <w:pPr>
        <w:autoSpaceDE/>
        <w:autoSpaceDN/>
        <w:adjustRightInd/>
        <w:spacing w:before="80" w:after="0" w:line="276" w:lineRule="auto"/>
        <w:ind w:right="-1"/>
        <w:rPr>
          <w:rFonts w:eastAsia="Times New Roman" w:cs="Times New Roman"/>
          <w:color w:val="auto"/>
          <w:lang w:eastAsia="pt-BR"/>
        </w:rPr>
      </w:pPr>
      <w:proofErr w:type="gramStart"/>
      <w:r w:rsidRPr="00070494">
        <w:rPr>
          <w:rFonts w:eastAsia="Times New Roman" w:cs="Times New Roman"/>
          <w:b/>
          <w:color w:val="auto"/>
          <w:lang w:eastAsia="pt-BR"/>
        </w:rPr>
        <w:t xml:space="preserve">A </w:t>
      </w:r>
      <w:r w:rsidR="00166978">
        <w:rPr>
          <w:rFonts w:eastAsia="Times New Roman" w:cs="Times New Roman"/>
          <w:color w:val="auto"/>
          <w:lang w:eastAsia="pt-BR"/>
        </w:rPr>
        <w:t>Fluxograma</w:t>
      </w:r>
      <w:proofErr w:type="gramEnd"/>
      <w:r w:rsidR="00166978">
        <w:rPr>
          <w:rFonts w:eastAsia="Times New Roman" w:cs="Times New Roman"/>
          <w:color w:val="auto"/>
          <w:lang w:eastAsia="pt-BR"/>
        </w:rPr>
        <w:t xml:space="preserve"> de Processo de Vistoria Técnica de Regularização</w:t>
      </w:r>
    </w:p>
    <w:p w:rsidR="00070494" w:rsidRDefault="00070494" w:rsidP="00070494">
      <w:pPr>
        <w:autoSpaceDE/>
        <w:autoSpaceDN/>
        <w:adjustRightInd/>
        <w:spacing w:before="80" w:after="0" w:line="276" w:lineRule="auto"/>
        <w:ind w:right="-1"/>
        <w:rPr>
          <w:rFonts w:eastAsia="Times New Roman" w:cs="Times New Roman"/>
          <w:color w:val="auto"/>
          <w:lang w:eastAsia="pt-BR"/>
        </w:rPr>
      </w:pPr>
      <w:r w:rsidRPr="00070494">
        <w:rPr>
          <w:rFonts w:eastAsia="Times New Roman" w:cs="Times New Roman"/>
          <w:b/>
          <w:color w:val="auto"/>
          <w:lang w:eastAsia="pt-BR"/>
        </w:rPr>
        <w:t xml:space="preserve">B </w:t>
      </w:r>
      <w:r w:rsidR="00166978" w:rsidRPr="00166978">
        <w:rPr>
          <w:rFonts w:eastAsia="Times New Roman" w:cs="Times New Roman"/>
          <w:color w:val="auto"/>
          <w:lang w:eastAsia="pt-BR"/>
        </w:rPr>
        <w:t xml:space="preserve">Fluxograma </w:t>
      </w:r>
      <w:r w:rsidR="00166978">
        <w:rPr>
          <w:rFonts w:eastAsia="Times New Roman" w:cs="Times New Roman"/>
          <w:color w:val="auto"/>
          <w:lang w:eastAsia="pt-BR"/>
        </w:rPr>
        <w:t>de P</w:t>
      </w:r>
      <w:r w:rsidR="00166978" w:rsidRPr="00166978">
        <w:rPr>
          <w:rFonts w:eastAsia="Times New Roman" w:cs="Times New Roman"/>
          <w:color w:val="auto"/>
          <w:lang w:eastAsia="pt-BR"/>
        </w:rPr>
        <w:t xml:space="preserve">rocesso de Vistoria Técnica de </w:t>
      </w:r>
      <w:r w:rsidR="00166978">
        <w:rPr>
          <w:rFonts w:eastAsia="Times New Roman" w:cs="Times New Roman"/>
          <w:color w:val="auto"/>
          <w:lang w:eastAsia="pt-BR"/>
        </w:rPr>
        <w:t>Fiscalização</w:t>
      </w: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204D01" w:rsidRDefault="00204D01" w:rsidP="00070494">
      <w:pPr>
        <w:autoSpaceDE/>
        <w:autoSpaceDN/>
        <w:adjustRightInd/>
        <w:spacing w:before="80" w:after="0" w:line="276" w:lineRule="auto"/>
        <w:ind w:right="-1"/>
        <w:rPr>
          <w:rFonts w:eastAsia="Times New Roman" w:cs="Times New Roman"/>
          <w:color w:val="auto"/>
          <w:lang w:eastAsia="pt-BR"/>
        </w:rPr>
      </w:pPr>
    </w:p>
    <w:p w:rsidR="00070494" w:rsidRPr="00070494" w:rsidRDefault="00070494" w:rsidP="00070494">
      <w:pPr>
        <w:pStyle w:val="Ttulo1"/>
        <w:rPr>
          <w:lang w:eastAsia="pt-BR"/>
        </w:rPr>
      </w:pPr>
      <w:r w:rsidRPr="00070494">
        <w:rPr>
          <w:lang w:eastAsia="pt-BR"/>
        </w:rPr>
        <w:lastRenderedPageBreak/>
        <w:t>OBJETIVO</w:t>
      </w:r>
    </w:p>
    <w:p w:rsidR="00070494" w:rsidRPr="00070494" w:rsidRDefault="00070494" w:rsidP="00070494">
      <w:pPr>
        <w:rPr>
          <w:lang w:eastAsia="pt-BR"/>
        </w:rPr>
      </w:pPr>
      <w:r w:rsidRPr="00070494">
        <w:rPr>
          <w:lang w:eastAsia="pt-BR"/>
        </w:rPr>
        <w:t>Estabelecer os critérios e procedimentos para vistoria técnica e fiscalização do C</w:t>
      </w:r>
      <w:r>
        <w:rPr>
          <w:lang w:eastAsia="pt-BR"/>
        </w:rPr>
        <w:t xml:space="preserve">BMAL, bem como regulamentar as </w:t>
      </w:r>
      <w:r w:rsidRPr="00070494">
        <w:rPr>
          <w:lang w:eastAsia="pt-BR"/>
        </w:rPr>
        <w:t>sanções e recursos previstos no Decreto Estadual n° 55.175 de 15 de setembro de 2017 – INSTITUI O CÓDIGO DE SEGURANÇA CONTRA INCÊNDIO E EMERGÊNCIAS – COSCIE no Estado de Alagoas.</w:t>
      </w:r>
    </w:p>
    <w:p w:rsidR="00070494" w:rsidRPr="00070494" w:rsidRDefault="00070494" w:rsidP="00070494">
      <w:pPr>
        <w:autoSpaceDE/>
        <w:autoSpaceDN/>
        <w:adjustRightInd/>
        <w:spacing w:line="276" w:lineRule="auto"/>
        <w:ind w:right="-1"/>
        <w:rPr>
          <w:rFonts w:eastAsia="Times New Roman" w:cs="Times New Roman"/>
          <w:color w:val="auto"/>
          <w:lang w:eastAsia="pt-BR"/>
        </w:rPr>
      </w:pPr>
    </w:p>
    <w:p w:rsidR="00070494" w:rsidRPr="00070494" w:rsidRDefault="00070494" w:rsidP="00070494">
      <w:pPr>
        <w:pStyle w:val="Ttulo1"/>
        <w:rPr>
          <w:lang w:eastAsia="pt-BR"/>
        </w:rPr>
      </w:pPr>
      <w:r w:rsidRPr="00070494">
        <w:rPr>
          <w:lang w:eastAsia="pt-BR"/>
        </w:rPr>
        <w:t>APLICAÇÃO</w:t>
      </w:r>
    </w:p>
    <w:p w:rsidR="00070494" w:rsidRDefault="00070494" w:rsidP="00070494">
      <w:pPr>
        <w:rPr>
          <w:lang w:eastAsia="pt-BR"/>
        </w:rPr>
      </w:pPr>
      <w:r w:rsidRPr="00070494">
        <w:rPr>
          <w:lang w:eastAsia="pt-BR"/>
        </w:rPr>
        <w:t>Esta Instrução Técnica (IT) aplica-se a todos os imóveis classificados em função das características arquitetônicas, da carga incêndio e da natureza das ocupações, sujeitos ao poder de p</w:t>
      </w:r>
      <w:r w:rsidR="00F7632E">
        <w:rPr>
          <w:lang w:eastAsia="pt-BR"/>
        </w:rPr>
        <w:t>olícia administrativo do CBMAL.</w:t>
      </w:r>
    </w:p>
    <w:p w:rsidR="00070494" w:rsidRPr="00070494" w:rsidRDefault="00070494" w:rsidP="00070494">
      <w:pPr>
        <w:autoSpaceDE/>
        <w:autoSpaceDN/>
        <w:adjustRightInd/>
        <w:spacing w:line="276" w:lineRule="auto"/>
        <w:ind w:right="-1"/>
        <w:rPr>
          <w:rFonts w:eastAsia="Times New Roman" w:cs="Times New Roman"/>
          <w:color w:val="auto"/>
          <w:lang w:eastAsia="pt-BR"/>
        </w:rPr>
      </w:pPr>
    </w:p>
    <w:p w:rsidR="00070494" w:rsidRPr="00070494" w:rsidRDefault="00070494" w:rsidP="00070494">
      <w:pPr>
        <w:pStyle w:val="Ttulo1"/>
        <w:rPr>
          <w:lang w:eastAsia="pt-BR"/>
        </w:rPr>
      </w:pPr>
      <w:r w:rsidRPr="00070494">
        <w:rPr>
          <w:lang w:eastAsia="pt-BR"/>
        </w:rPr>
        <w:t>REFERÊNCIAS NORMATIVAS E BIBLIOGRÁFICAS</w:t>
      </w:r>
    </w:p>
    <w:p w:rsidR="00070494" w:rsidRPr="00070494" w:rsidRDefault="00070494" w:rsidP="00070494">
      <w:pPr>
        <w:rPr>
          <w:lang w:eastAsia="pt-BR"/>
        </w:rPr>
      </w:pPr>
      <w:r w:rsidRPr="00070494">
        <w:rPr>
          <w:lang w:eastAsia="pt-BR"/>
        </w:rPr>
        <w:t>Constituição Federal da República Federativa do Brasil, de 5 de outubro de 1988, artigo 144, § 5°.</w:t>
      </w:r>
    </w:p>
    <w:p w:rsidR="00070494" w:rsidRPr="00070494" w:rsidRDefault="00070494" w:rsidP="00070494">
      <w:pPr>
        <w:rPr>
          <w:lang w:eastAsia="pt-BR"/>
        </w:rPr>
      </w:pPr>
      <w:r w:rsidRPr="00070494">
        <w:rPr>
          <w:lang w:eastAsia="pt-BR"/>
        </w:rPr>
        <w:t>Lei Federal n° 7.256/84, de 3/12/1984, inciso 7, artigo 11.</w:t>
      </w:r>
    </w:p>
    <w:p w:rsidR="00070494" w:rsidRPr="00070494" w:rsidRDefault="00070494" w:rsidP="00070494">
      <w:pPr>
        <w:rPr>
          <w:lang w:eastAsia="pt-BR"/>
        </w:rPr>
      </w:pPr>
      <w:r w:rsidRPr="00070494">
        <w:rPr>
          <w:lang w:eastAsia="pt-BR"/>
        </w:rPr>
        <w:t>Lei Estadual n° 7.456 de 21 de março de 2013 – Dispõe sobre a Prevenção contra Incêndio e Pânico nas edificações e áreas de risco no Estado de Alagoas.</w:t>
      </w:r>
    </w:p>
    <w:p w:rsidR="00070494" w:rsidRPr="00070494" w:rsidRDefault="00070494" w:rsidP="00070494">
      <w:pPr>
        <w:rPr>
          <w:lang w:eastAsia="pt-BR"/>
        </w:rPr>
      </w:pPr>
      <w:r w:rsidRPr="00070494">
        <w:rPr>
          <w:lang w:eastAsia="pt-BR"/>
        </w:rPr>
        <w:t>Decreto Estadual n° 55.175 de 15 de setembro de 2017 – Institui o Código de Segurança contra Incêndio e Emergência no Estado de Alagoas.</w:t>
      </w:r>
    </w:p>
    <w:p w:rsidR="00070494" w:rsidRPr="00070494" w:rsidRDefault="00070494" w:rsidP="00070494">
      <w:pPr>
        <w:rPr>
          <w:highlight w:val="white"/>
          <w:lang w:eastAsia="pt-BR"/>
        </w:rPr>
      </w:pPr>
      <w:r w:rsidRPr="00070494">
        <w:rPr>
          <w:highlight w:val="white"/>
          <w:lang w:eastAsia="pt-BR"/>
        </w:rPr>
        <w:t>Lei Estadual</w:t>
      </w:r>
      <w:proofErr w:type="gramStart"/>
      <w:r w:rsidRPr="00070494">
        <w:rPr>
          <w:highlight w:val="white"/>
          <w:lang w:eastAsia="pt-BR"/>
        </w:rPr>
        <w:t xml:space="preserve">  </w:t>
      </w:r>
      <w:proofErr w:type="gramEnd"/>
      <w:r w:rsidRPr="00070494">
        <w:rPr>
          <w:color w:val="auto"/>
          <w:lang w:eastAsia="pt-BR"/>
        </w:rPr>
        <w:t xml:space="preserve">n° </w:t>
      </w:r>
      <w:r w:rsidRPr="00070494">
        <w:rPr>
          <w:highlight w:val="white"/>
          <w:lang w:eastAsia="pt-BR"/>
        </w:rPr>
        <w:t xml:space="preserve">6.161 de 26 de junho de 2000 - </w:t>
      </w:r>
      <w:r w:rsidRPr="00070494">
        <w:rPr>
          <w:color w:val="auto"/>
          <w:highlight w:val="white"/>
          <w:lang w:eastAsia="pt-BR"/>
        </w:rPr>
        <w:t>Regula o Processo Administrativo no Âmbito Da Administração Pública Estadual.</w:t>
      </w:r>
    </w:p>
    <w:p w:rsidR="00070494" w:rsidRPr="00070494" w:rsidRDefault="00070494" w:rsidP="00070494">
      <w:pPr>
        <w:rPr>
          <w:color w:val="auto"/>
          <w:highlight w:val="white"/>
          <w:lang w:eastAsia="pt-BR"/>
        </w:rPr>
      </w:pPr>
      <w:r w:rsidRPr="00070494">
        <w:rPr>
          <w:color w:val="auto"/>
          <w:highlight w:val="white"/>
          <w:lang w:eastAsia="pt-BR"/>
        </w:rPr>
        <w:t>Lei Estadual</w:t>
      </w:r>
      <w:proofErr w:type="gramStart"/>
      <w:r w:rsidRPr="00070494">
        <w:rPr>
          <w:color w:val="auto"/>
          <w:highlight w:val="white"/>
          <w:lang w:eastAsia="pt-BR"/>
        </w:rPr>
        <w:t xml:space="preserve">  </w:t>
      </w:r>
      <w:proofErr w:type="gramEnd"/>
      <w:r w:rsidRPr="00070494">
        <w:rPr>
          <w:color w:val="auto"/>
          <w:lang w:eastAsia="pt-BR"/>
        </w:rPr>
        <w:t xml:space="preserve">n° </w:t>
      </w:r>
      <w:r w:rsidRPr="00070494">
        <w:rPr>
          <w:color w:val="auto"/>
          <w:highlight w:val="white"/>
          <w:lang w:eastAsia="pt-BR"/>
        </w:rPr>
        <w:t>6.442 de 31 de dezembro de 2003 - Dispõe sobre taxas pelo exercício de Poder de Polícia e por serviços públicos da competência do Corpo de Bombeiros Militar.</w:t>
      </w:r>
    </w:p>
    <w:p w:rsidR="00070494" w:rsidRPr="00204D01" w:rsidRDefault="00070494" w:rsidP="00070494">
      <w:pPr>
        <w:rPr>
          <w:lang w:eastAsia="pt-BR"/>
        </w:rPr>
      </w:pPr>
      <w:r w:rsidRPr="00204D01">
        <w:rPr>
          <w:lang w:eastAsia="pt-BR"/>
        </w:rPr>
        <w:t>CORPO DE BOMBEIROS DA POLÍCIA MILITAR DO ESTADO DE SÃO PAULO, In</w:t>
      </w:r>
      <w:r w:rsidR="00644DBD" w:rsidRPr="00204D01">
        <w:rPr>
          <w:lang w:eastAsia="pt-BR"/>
        </w:rPr>
        <w:t>struções Técnicas. São Paulo</w:t>
      </w:r>
      <w:r w:rsidRPr="00204D01">
        <w:rPr>
          <w:lang w:eastAsia="pt-BR"/>
        </w:rPr>
        <w:t>.</w:t>
      </w:r>
    </w:p>
    <w:p w:rsidR="006A0F37" w:rsidRPr="00070494" w:rsidRDefault="006A0F37" w:rsidP="006A0F37">
      <w:pPr>
        <w:rPr>
          <w:lang w:eastAsia="pt-BR"/>
        </w:rPr>
      </w:pPr>
      <w:r w:rsidRPr="00204D01">
        <w:rPr>
          <w:lang w:eastAsia="pt-BR"/>
        </w:rPr>
        <w:t>CORPO DE BOMBEIROS MILITAR DO ESTADO DO ESPÍRITO SANTO, Normas Técnicas. Espírito Santo.</w:t>
      </w:r>
    </w:p>
    <w:p w:rsidR="00070494" w:rsidRPr="00070494" w:rsidRDefault="00070494" w:rsidP="00070494">
      <w:pPr>
        <w:rPr>
          <w:lang w:eastAsia="pt-BR"/>
        </w:rPr>
      </w:pPr>
      <w:r w:rsidRPr="00070494">
        <w:rPr>
          <w:lang w:eastAsia="pt-BR"/>
        </w:rPr>
        <w:t>Meirelles, Hely Lopes - Direito Administrativo Brasileiro, 25ª edição - 2000 - Editora Malheiros.</w:t>
      </w:r>
    </w:p>
    <w:p w:rsidR="00070494" w:rsidRPr="00070494" w:rsidRDefault="00070494" w:rsidP="00070494">
      <w:pPr>
        <w:rPr>
          <w:lang w:eastAsia="pt-BR"/>
        </w:rPr>
      </w:pPr>
      <w:r w:rsidRPr="00070494">
        <w:rPr>
          <w:lang w:eastAsia="pt-BR"/>
        </w:rPr>
        <w:t>Lazzarini, Álvaro - Estudos de Direito Administrativo – Editora Revista dos Tribunais – 2000.</w:t>
      </w:r>
    </w:p>
    <w:p w:rsidR="006A0F37" w:rsidRPr="00070494" w:rsidRDefault="006A0F37" w:rsidP="00070494">
      <w:pPr>
        <w:pBdr>
          <w:top w:val="nil"/>
          <w:left w:val="nil"/>
          <w:bottom w:val="nil"/>
          <w:right w:val="nil"/>
          <w:between w:val="nil"/>
        </w:pBdr>
        <w:autoSpaceDE/>
        <w:autoSpaceDN/>
        <w:adjustRightInd/>
        <w:spacing w:after="0"/>
        <w:ind w:right="-1"/>
        <w:rPr>
          <w:rFonts w:eastAsia="Times New Roman" w:cs="Times New Roman"/>
          <w:lang w:eastAsia="pt-BR"/>
        </w:rPr>
      </w:pPr>
    </w:p>
    <w:p w:rsidR="00070494" w:rsidRPr="00070494" w:rsidRDefault="00070494" w:rsidP="00070494">
      <w:pPr>
        <w:pStyle w:val="Ttulo1"/>
        <w:rPr>
          <w:lang w:eastAsia="pt-BR"/>
        </w:rPr>
      </w:pPr>
      <w:r w:rsidRPr="00070494">
        <w:rPr>
          <w:lang w:eastAsia="pt-BR"/>
        </w:rPr>
        <w:t>DEFINIÇÕES</w:t>
      </w:r>
    </w:p>
    <w:p w:rsidR="00070494" w:rsidRPr="00070494" w:rsidRDefault="00070494" w:rsidP="0074040B">
      <w:pPr>
        <w:ind w:right="-1"/>
        <w:rPr>
          <w:lang w:eastAsia="pt-BR"/>
        </w:rPr>
      </w:pPr>
      <w:r w:rsidRPr="00070494">
        <w:rPr>
          <w:lang w:eastAsia="pt-BR"/>
        </w:rPr>
        <w:t>Para os efeitos desta Instrução Técnica</w:t>
      </w:r>
      <w:r w:rsidR="00972B68">
        <w:rPr>
          <w:lang w:eastAsia="pt-BR"/>
        </w:rPr>
        <w:t>, além</w:t>
      </w:r>
      <w:r w:rsidRPr="00070494">
        <w:rPr>
          <w:lang w:eastAsia="pt-BR"/>
        </w:rPr>
        <w:t xml:space="preserve"> </w:t>
      </w:r>
      <w:r w:rsidR="00972B68">
        <w:rPr>
          <w:lang w:eastAsia="pt-BR"/>
        </w:rPr>
        <w:t>d</w:t>
      </w:r>
      <w:r w:rsidRPr="00070494">
        <w:rPr>
          <w:lang w:eastAsia="pt-BR"/>
        </w:rPr>
        <w:t xml:space="preserve">as definições a seguir e as constantes </w:t>
      </w:r>
      <w:proofErr w:type="gramStart"/>
      <w:r w:rsidRPr="00070494">
        <w:rPr>
          <w:lang w:eastAsia="pt-BR"/>
        </w:rPr>
        <w:t>da IT 0</w:t>
      </w:r>
      <w:r w:rsidR="00FF358C">
        <w:rPr>
          <w:lang w:eastAsia="pt-BR"/>
        </w:rPr>
        <w:t>4</w:t>
      </w:r>
      <w:proofErr w:type="gramEnd"/>
      <w:r w:rsidRPr="00070494">
        <w:rPr>
          <w:lang w:eastAsia="pt-BR"/>
        </w:rPr>
        <w:t xml:space="preserve"> - </w:t>
      </w:r>
      <w:r w:rsidR="00972B68" w:rsidRPr="00972B68">
        <w:rPr>
          <w:lang w:eastAsia="pt-BR"/>
        </w:rPr>
        <w:t>Terminologia de segurança contra incêndio e símbolos gráficos</w:t>
      </w:r>
      <w:r w:rsidR="00972B68">
        <w:rPr>
          <w:lang w:eastAsia="pt-BR"/>
        </w:rPr>
        <w:t>, aplicam-se os seguintes conceitos</w:t>
      </w:r>
      <w:r w:rsidRPr="00070494">
        <w:rPr>
          <w:lang w:eastAsia="pt-BR"/>
        </w:rPr>
        <w:t>:</w:t>
      </w:r>
    </w:p>
    <w:p w:rsidR="00070494" w:rsidRPr="00070494" w:rsidRDefault="00070494" w:rsidP="009D2338">
      <w:pPr>
        <w:pStyle w:val="Texto2N"/>
        <w:rPr>
          <w:lang w:eastAsia="pt-BR"/>
        </w:rPr>
      </w:pPr>
      <w:r w:rsidRPr="00070494">
        <w:rPr>
          <w:b/>
          <w:lang w:eastAsia="pt-BR"/>
        </w:rPr>
        <w:t>Advertência escrita:</w:t>
      </w:r>
      <w:r w:rsidRPr="00070494">
        <w:rPr>
          <w:lang w:eastAsia="pt-BR"/>
        </w:rPr>
        <w:t xml:space="preserve"> Ato administrativo que constitui a menor penalidade aplicada, a qual adverte o não cumprimento das exigências previstas no Código de Segurança contra Incêndio e Emergências. </w:t>
      </w:r>
    </w:p>
    <w:p w:rsidR="00BE3E3E" w:rsidRPr="00204D01" w:rsidRDefault="00BE3E3E" w:rsidP="009D2338">
      <w:pPr>
        <w:pStyle w:val="Texto2N"/>
      </w:pPr>
      <w:r w:rsidRPr="00BE3E3E">
        <w:rPr>
          <w:b/>
        </w:rPr>
        <w:t>Área de risco:</w:t>
      </w:r>
      <w:r w:rsidRPr="00070494">
        <w:t xml:space="preserve"> área não construída, coberta ou não, associada ou não à edificação, que apresenta risco específico de ocorrência de incêndio ou emergências, tais como: armazenamento de produtos inflamáveis ou combustíveis, explosivos, subestações elétricas, pátio de contêineres, shows e eventos, instalações temporárias e </w:t>
      </w:r>
      <w:r w:rsidRPr="00204D01">
        <w:t>similares.</w:t>
      </w:r>
    </w:p>
    <w:p w:rsidR="00224559" w:rsidRPr="00204D01" w:rsidRDefault="00224559" w:rsidP="009D2338">
      <w:pPr>
        <w:pStyle w:val="Texto2N"/>
      </w:pPr>
      <w:r w:rsidRPr="00204D01">
        <w:rPr>
          <w:b/>
        </w:rPr>
        <w:t>Alvará de Vistoria do Corpo de Bombeiros (AVCB):</w:t>
      </w:r>
      <w:r w:rsidRPr="00204D01">
        <w:t xml:space="preserve"> documento final emitido pelo Corpo de Bombeiros Militar de Alagoas mediante vistoria técnica </w:t>
      </w:r>
      <w:r w:rsidRPr="00204D01">
        <w:rPr>
          <w:i/>
        </w:rPr>
        <w:t>in loco</w:t>
      </w:r>
      <w:r w:rsidRPr="00204D01">
        <w:t xml:space="preserve"> e/ou de documentação comprobatória para as edificações que estejam</w:t>
      </w:r>
      <w:r w:rsidR="000B5B47" w:rsidRPr="00204D01">
        <w:t xml:space="preserve"> inseridas em Proc</w:t>
      </w:r>
      <w:r w:rsidR="00DB0444" w:rsidRPr="00204D01">
        <w:t>e</w:t>
      </w:r>
      <w:r w:rsidR="000B5B47" w:rsidRPr="00204D01">
        <w:t>ss</w:t>
      </w:r>
      <w:r w:rsidR="00DB0444" w:rsidRPr="00204D01">
        <w:t>o Técnico</w:t>
      </w:r>
      <w:r w:rsidR="000B5B47" w:rsidRPr="00204D01">
        <w:t xml:space="preserve"> ou Técnico Simplificado</w:t>
      </w:r>
      <w:r w:rsidRPr="00204D01">
        <w:t>.</w:t>
      </w:r>
    </w:p>
    <w:p w:rsidR="00224559" w:rsidRPr="009D326B" w:rsidRDefault="00224559" w:rsidP="009D2338">
      <w:pPr>
        <w:pStyle w:val="Texto2N"/>
      </w:pPr>
      <w:r w:rsidRPr="009D326B">
        <w:rPr>
          <w:b/>
        </w:rPr>
        <w:t>Alvará Simplificado do Corpo Bombeiros (ASCB):</w:t>
      </w:r>
      <w:r w:rsidRPr="009D326B">
        <w:t xml:space="preserve"> documento emitido pelo </w:t>
      </w:r>
      <w:r>
        <w:t>CBMAL que, após apresentação de documentação declaratória</w:t>
      </w:r>
      <w:r w:rsidRPr="009D326B">
        <w:t xml:space="preserve"> pelo proprietário ou responsável pelo uso, autoriza a ocupação e funcionamento da edificação ou área de risco nos termos do COSCIE.</w:t>
      </w:r>
    </w:p>
    <w:p w:rsidR="00070494" w:rsidRPr="00070494" w:rsidRDefault="00070494" w:rsidP="009D2338">
      <w:pPr>
        <w:pStyle w:val="Texto2N"/>
        <w:rPr>
          <w:lang w:eastAsia="pt-BR"/>
        </w:rPr>
      </w:pPr>
      <w:r w:rsidRPr="00070494">
        <w:rPr>
          <w:b/>
          <w:lang w:eastAsia="pt-BR"/>
        </w:rPr>
        <w:t>Comissão Técnica (CT):</w:t>
      </w:r>
      <w:r w:rsidRPr="00070494">
        <w:rPr>
          <w:lang w:eastAsia="pt-BR"/>
        </w:rPr>
        <w:t xml:space="preserve"> Colegiado composto por no mínimo 3 (três) militares qualificados em segurança contra incêndio e emergências dos órgãos do Serviço de Segurança contra Incêndio e Emergências, devendo possuir ao menos um Oficial que será o presidente, responsável além de outras atribuições por julgar os recursos contra as penalidades aplicadas e emitir pareceres sobre consultas técnicas.</w:t>
      </w:r>
    </w:p>
    <w:p w:rsidR="00070494" w:rsidRPr="00070494" w:rsidRDefault="00070494" w:rsidP="009D2338">
      <w:pPr>
        <w:pStyle w:val="Texto2N"/>
        <w:rPr>
          <w:lang w:eastAsia="pt-BR"/>
        </w:rPr>
      </w:pPr>
      <w:r w:rsidRPr="00070494">
        <w:rPr>
          <w:b/>
          <w:lang w:eastAsia="pt-BR"/>
        </w:rPr>
        <w:t xml:space="preserve">Comissão Técnica Especial (CTE): </w:t>
      </w:r>
      <w:r w:rsidRPr="00070494">
        <w:rPr>
          <w:lang w:eastAsia="pt-BR"/>
        </w:rPr>
        <w:t xml:space="preserve">Colegiado presidido pelo Oficial superior responsável pelo órgão máximo do Serviço de Segurança contra Incêndio e Emergências composto por no mínimo 3 (três) oficiais qualificados em </w:t>
      </w:r>
      <w:r w:rsidRPr="00070494">
        <w:rPr>
          <w:lang w:eastAsia="pt-BR"/>
        </w:rPr>
        <w:lastRenderedPageBreak/>
        <w:t xml:space="preserve">segurança contra incêndio e emergências, responsável além de outras atribuições por julgar os recursos contra a decisão proferida por Comissão Técnica. </w:t>
      </w:r>
    </w:p>
    <w:p w:rsidR="00FE492E" w:rsidRPr="00182033" w:rsidRDefault="00FE492E" w:rsidP="009D2338">
      <w:pPr>
        <w:pStyle w:val="Texto2N"/>
        <w:rPr>
          <w:b/>
          <w:lang w:eastAsia="pt-BR"/>
        </w:rPr>
      </w:pPr>
      <w:r w:rsidRPr="00182033">
        <w:rPr>
          <w:b/>
          <w:lang w:eastAsia="pt-BR"/>
        </w:rPr>
        <w:t>Descarte</w:t>
      </w:r>
      <w:r w:rsidR="00182033" w:rsidRPr="00182033">
        <w:rPr>
          <w:lang w:eastAsia="pt-BR"/>
        </w:rPr>
        <w:t>:</w:t>
      </w:r>
      <w:r w:rsidR="00182033">
        <w:rPr>
          <w:lang w:eastAsia="pt-BR"/>
        </w:rPr>
        <w:t xml:space="preserve"> ato de dar destino adequado ao material apreendido com o mínimo de prejuízo ao meio ambiente, seja por reciclagem, </w:t>
      </w:r>
      <w:r w:rsidR="00182033" w:rsidRPr="00182033">
        <w:rPr>
          <w:lang w:eastAsia="pt-BR"/>
        </w:rPr>
        <w:t>retorno ao fabricante</w:t>
      </w:r>
      <w:r w:rsidR="009B5205">
        <w:rPr>
          <w:lang w:eastAsia="pt-BR"/>
        </w:rPr>
        <w:t xml:space="preserve">, </w:t>
      </w:r>
      <w:r w:rsidR="009B5205" w:rsidRPr="009B5205">
        <w:rPr>
          <w:lang w:eastAsia="pt-BR"/>
        </w:rPr>
        <w:t>incineração</w:t>
      </w:r>
      <w:r w:rsidR="009B5205">
        <w:rPr>
          <w:lang w:eastAsia="pt-BR"/>
        </w:rPr>
        <w:t xml:space="preserve"> ou por qualquer outro método equivalente</w:t>
      </w:r>
      <w:r w:rsidR="00182033">
        <w:rPr>
          <w:lang w:eastAsia="pt-BR"/>
        </w:rPr>
        <w:t>.</w:t>
      </w:r>
    </w:p>
    <w:p w:rsidR="00FE492E" w:rsidRDefault="00FE492E" w:rsidP="009D2338">
      <w:pPr>
        <w:pStyle w:val="Texto2N"/>
        <w:rPr>
          <w:lang w:eastAsia="pt-BR"/>
        </w:rPr>
      </w:pPr>
      <w:r w:rsidRPr="00182033">
        <w:rPr>
          <w:b/>
          <w:lang w:eastAsia="pt-BR"/>
        </w:rPr>
        <w:t>Destruição Sustentável</w:t>
      </w:r>
      <w:r w:rsidR="00182033">
        <w:rPr>
          <w:lang w:eastAsia="pt-BR"/>
        </w:rPr>
        <w:t>: processo</w:t>
      </w:r>
      <w:r w:rsidR="00182033" w:rsidRPr="00182033">
        <w:rPr>
          <w:lang w:eastAsia="pt-BR"/>
        </w:rPr>
        <w:t xml:space="preserve"> </w:t>
      </w:r>
      <w:r w:rsidR="00182033">
        <w:rPr>
          <w:lang w:eastAsia="pt-BR"/>
        </w:rPr>
        <w:t>de destruição cujo objetivo é maxi</w:t>
      </w:r>
      <w:r w:rsidR="00182033" w:rsidRPr="00182033">
        <w:rPr>
          <w:lang w:eastAsia="pt-BR"/>
        </w:rPr>
        <w:t>mizar a reciclagem e a reutilização dos resíduos sólidos, bem como garantir a deposição ambientalmente adequada dos rejeitos (materiais que não podem ser reciclados ou reutilizados).</w:t>
      </w:r>
    </w:p>
    <w:p w:rsidR="00FE492E" w:rsidRPr="00FE492E" w:rsidRDefault="00FE492E" w:rsidP="009D2338">
      <w:pPr>
        <w:pStyle w:val="Texto2N"/>
        <w:rPr>
          <w:lang w:eastAsia="pt-BR"/>
        </w:rPr>
      </w:pPr>
      <w:r w:rsidRPr="00824C35">
        <w:rPr>
          <w:b/>
          <w:lang w:eastAsia="pt-BR"/>
        </w:rPr>
        <w:t>Doação</w:t>
      </w:r>
      <w:r w:rsidR="00824C35">
        <w:rPr>
          <w:lang w:eastAsia="pt-BR"/>
        </w:rPr>
        <w:t xml:space="preserve">: </w:t>
      </w:r>
      <w:r w:rsidR="00824C35" w:rsidRPr="00824C35">
        <w:rPr>
          <w:lang w:eastAsia="pt-BR"/>
        </w:rPr>
        <w:t>transferência gratuita de um bem, móvel ou imóvel, direito ou valor pertencente ao patrimônio de uma pessoa para o patrimônio de outra pessoa, sejam elas física ou jurídica.</w:t>
      </w:r>
    </w:p>
    <w:p w:rsidR="00070494" w:rsidRPr="00070494" w:rsidRDefault="00070494" w:rsidP="009D2338">
      <w:pPr>
        <w:pStyle w:val="Texto2N"/>
        <w:rPr>
          <w:lang w:eastAsia="pt-BR"/>
        </w:rPr>
      </w:pPr>
      <w:r w:rsidRPr="00070494">
        <w:rPr>
          <w:b/>
          <w:lang w:eastAsia="pt-BR"/>
        </w:rPr>
        <w:t>Embargo:</w:t>
      </w:r>
      <w:r w:rsidRPr="00070494">
        <w:rPr>
          <w:lang w:eastAsia="pt-BR"/>
        </w:rPr>
        <w:t xml:space="preserve"> Ato administrativo que enseja na interrupção de execução de construções ou reformas em desacordo com o Código de Segurança contra Incêndio e Emergências. </w:t>
      </w:r>
    </w:p>
    <w:p w:rsidR="00070494" w:rsidRPr="00070494" w:rsidRDefault="00070494" w:rsidP="009D2338">
      <w:pPr>
        <w:pStyle w:val="Texto2N"/>
        <w:rPr>
          <w:lang w:eastAsia="pt-BR"/>
        </w:rPr>
      </w:pPr>
      <w:r w:rsidRPr="00070494">
        <w:rPr>
          <w:b/>
          <w:lang w:eastAsia="pt-BR"/>
        </w:rPr>
        <w:t>Fiscalização:</w:t>
      </w:r>
      <w:r w:rsidRPr="00070494">
        <w:rPr>
          <w:lang w:eastAsia="pt-BR"/>
        </w:rPr>
        <w:t xml:space="preserve"> Ato administrativo realizado em cumprimento a ordem de vistoria técnica expedida pelos órgãos do Serviço de Segurança contra Incêndio e Emergências, onde é verificado se as medidas de segurança contra incêndio e emergências executadas nos imóveis estão em conformidade com o Código de Segurança Contra Incêndios e Emergência. </w:t>
      </w:r>
    </w:p>
    <w:p w:rsidR="00070494" w:rsidRPr="00070494" w:rsidRDefault="00070494" w:rsidP="009D2338">
      <w:pPr>
        <w:pStyle w:val="Texto2N"/>
        <w:rPr>
          <w:lang w:eastAsia="pt-BR"/>
        </w:rPr>
      </w:pPr>
      <w:r w:rsidRPr="00070494">
        <w:rPr>
          <w:b/>
          <w:lang w:eastAsia="pt-BR"/>
        </w:rPr>
        <w:t xml:space="preserve">Imóvel: </w:t>
      </w:r>
      <w:r w:rsidRPr="00070494">
        <w:rPr>
          <w:lang w:eastAsia="pt-BR"/>
        </w:rPr>
        <w:t>edificação ou área de risco sujeitas a fiscalização do Corpo de Bombeiros Militar de Alagoas.</w:t>
      </w:r>
    </w:p>
    <w:p w:rsidR="00070494" w:rsidRPr="00070494" w:rsidRDefault="00070494" w:rsidP="009D2338">
      <w:pPr>
        <w:pStyle w:val="Texto2N"/>
        <w:rPr>
          <w:lang w:eastAsia="pt-BR"/>
        </w:rPr>
      </w:pPr>
      <w:r w:rsidRPr="00070494">
        <w:rPr>
          <w:b/>
          <w:lang w:eastAsia="pt-BR"/>
        </w:rPr>
        <w:t xml:space="preserve">Infrator: </w:t>
      </w:r>
      <w:r w:rsidRPr="00070494">
        <w:rPr>
          <w:lang w:eastAsia="pt-BR"/>
        </w:rPr>
        <w:t>O proprietário, o responsável pelo uso</w:t>
      </w:r>
      <w:r w:rsidRPr="00070494">
        <w:rPr>
          <w:color w:val="auto"/>
          <w:lang w:eastAsia="pt-BR"/>
        </w:rPr>
        <w:t xml:space="preserve"> ou</w:t>
      </w:r>
      <w:r w:rsidRPr="00070494">
        <w:rPr>
          <w:lang w:eastAsia="pt-BR"/>
        </w:rPr>
        <w:t xml:space="preserve"> construção do imóvel, pessoa física ou jurídica, </w:t>
      </w:r>
      <w:r w:rsidRPr="00070494">
        <w:rPr>
          <w:color w:val="auto"/>
          <w:lang w:eastAsia="pt-BR"/>
        </w:rPr>
        <w:t xml:space="preserve">que </w:t>
      </w:r>
      <w:r w:rsidRPr="00070494">
        <w:rPr>
          <w:lang w:eastAsia="pt-BR"/>
        </w:rPr>
        <w:t xml:space="preserve">descumpre o </w:t>
      </w:r>
      <w:r w:rsidRPr="00070494">
        <w:rPr>
          <w:color w:val="auto"/>
          <w:lang w:eastAsia="pt-BR"/>
        </w:rPr>
        <w:t>Código de Segurança contra Incêndio e Emergências</w:t>
      </w:r>
      <w:r w:rsidRPr="00070494">
        <w:rPr>
          <w:lang w:eastAsia="pt-BR"/>
        </w:rPr>
        <w:t xml:space="preserve">. </w:t>
      </w:r>
    </w:p>
    <w:p w:rsidR="00070494" w:rsidRPr="00070494" w:rsidRDefault="00070494" w:rsidP="009D2338">
      <w:pPr>
        <w:pStyle w:val="Texto2N"/>
        <w:rPr>
          <w:lang w:eastAsia="pt-BR"/>
        </w:rPr>
      </w:pPr>
      <w:r w:rsidRPr="00070494">
        <w:rPr>
          <w:b/>
          <w:lang w:eastAsia="pt-BR"/>
        </w:rPr>
        <w:t>Interdição:</w:t>
      </w:r>
      <w:r w:rsidRPr="00070494">
        <w:rPr>
          <w:lang w:eastAsia="pt-BR"/>
        </w:rPr>
        <w:t xml:space="preserve"> Ato administrativo que determina fechamento total ou parcial do imóvel, para que não haja risco iminente em decorrência do descumprimento do Código de Segurança contra Incêndio e Emergências. </w:t>
      </w:r>
    </w:p>
    <w:p w:rsidR="00070494" w:rsidRPr="00070494" w:rsidRDefault="00070494" w:rsidP="009D2338">
      <w:pPr>
        <w:pStyle w:val="Texto2N"/>
        <w:rPr>
          <w:lang w:eastAsia="pt-BR"/>
        </w:rPr>
      </w:pPr>
      <w:r w:rsidRPr="00070494">
        <w:rPr>
          <w:b/>
          <w:lang w:eastAsia="pt-BR"/>
        </w:rPr>
        <w:t xml:space="preserve">Multa: </w:t>
      </w:r>
      <w:r w:rsidRPr="00070494">
        <w:rPr>
          <w:lang w:eastAsia="pt-BR"/>
        </w:rPr>
        <w:t>Sanção pecuniária aplicada ao infrator</w:t>
      </w:r>
      <w:r w:rsidRPr="00070494">
        <w:rPr>
          <w:color w:val="auto"/>
          <w:lang w:eastAsia="pt-BR"/>
        </w:rPr>
        <w:t xml:space="preserve"> </w:t>
      </w:r>
      <w:r w:rsidRPr="00070494">
        <w:rPr>
          <w:lang w:eastAsia="pt-BR"/>
        </w:rPr>
        <w:t xml:space="preserve">pelo descumprimento </w:t>
      </w:r>
      <w:r w:rsidRPr="00070494">
        <w:rPr>
          <w:color w:val="auto"/>
          <w:lang w:eastAsia="pt-BR"/>
        </w:rPr>
        <w:t>do Código de Segurança contra Incêndio e Emergências</w:t>
      </w:r>
      <w:r w:rsidRPr="00070494">
        <w:rPr>
          <w:lang w:eastAsia="pt-BR"/>
        </w:rPr>
        <w:t xml:space="preserve">. </w:t>
      </w:r>
    </w:p>
    <w:p w:rsidR="00070494" w:rsidRPr="00070494" w:rsidRDefault="00070494" w:rsidP="009D2338">
      <w:pPr>
        <w:pStyle w:val="Texto2N"/>
        <w:rPr>
          <w:lang w:eastAsia="pt-BR"/>
        </w:rPr>
      </w:pPr>
      <w:r w:rsidRPr="00070494">
        <w:rPr>
          <w:b/>
          <w:lang w:eastAsia="pt-BR"/>
        </w:rPr>
        <w:t xml:space="preserve">Notificação: </w:t>
      </w:r>
      <w:r w:rsidRPr="00070494">
        <w:rPr>
          <w:lang w:eastAsia="pt-BR"/>
        </w:rPr>
        <w:t>Meio de comunicação formal entre o Corpo de Bombeiros Militar de Alagoas e o proprietário, responsável pel</w:t>
      </w:r>
      <w:r w:rsidRPr="00070494">
        <w:rPr>
          <w:color w:val="auto"/>
          <w:lang w:eastAsia="pt-BR"/>
        </w:rPr>
        <w:t>o uso ou construção do imóvel</w:t>
      </w:r>
      <w:r w:rsidRPr="00070494">
        <w:rPr>
          <w:lang w:eastAsia="pt-BR"/>
        </w:rPr>
        <w:t xml:space="preserve">, para fins de correção de </w:t>
      </w:r>
      <w:r w:rsidR="008640EE">
        <w:rPr>
          <w:lang w:eastAsia="pt-BR"/>
        </w:rPr>
        <w:t>não conformidades</w:t>
      </w:r>
      <w:r w:rsidRPr="00070494">
        <w:rPr>
          <w:lang w:eastAsia="pt-BR"/>
        </w:rPr>
        <w:t xml:space="preserve"> </w:t>
      </w:r>
      <w:r w:rsidRPr="00070494">
        <w:rPr>
          <w:color w:val="auto"/>
          <w:lang w:eastAsia="pt-BR"/>
        </w:rPr>
        <w:t>verificadas em</w:t>
      </w:r>
      <w:r w:rsidRPr="00070494">
        <w:rPr>
          <w:lang w:eastAsia="pt-BR"/>
        </w:rPr>
        <w:t xml:space="preserve"> vistoria técnica. </w:t>
      </w:r>
    </w:p>
    <w:p w:rsidR="00330C62" w:rsidRPr="00330C62" w:rsidRDefault="00330C62" w:rsidP="009D2338">
      <w:pPr>
        <w:pStyle w:val="Texto2N"/>
        <w:rPr>
          <w:lang w:eastAsia="pt-BR"/>
        </w:rPr>
      </w:pPr>
      <w:r w:rsidRPr="00330C62">
        <w:rPr>
          <w:b/>
          <w:lang w:eastAsia="pt-BR"/>
        </w:rPr>
        <w:t>Processo de vistoria técnica de regularização:</w:t>
      </w:r>
      <w:r>
        <w:rPr>
          <w:lang w:eastAsia="pt-BR"/>
        </w:rPr>
        <w:t xml:space="preserve"> ciclo de regularização que se inicia com pedido de vistoria técnica de regularização e se encerra com a emissão de AVCB ou com esgotamento dos retornos de vistoria técnica de regularização conferidos pelo </w:t>
      </w:r>
      <w:r w:rsidRPr="00330C62">
        <w:rPr>
          <w:lang w:eastAsia="pt-BR"/>
        </w:rPr>
        <w:t>Decreto nº 55.175/2017</w:t>
      </w:r>
      <w:r>
        <w:rPr>
          <w:lang w:eastAsia="pt-BR"/>
        </w:rPr>
        <w:t>.</w:t>
      </w:r>
    </w:p>
    <w:p w:rsidR="00070494" w:rsidRPr="00070494" w:rsidRDefault="00070494" w:rsidP="009D2338">
      <w:pPr>
        <w:pStyle w:val="Texto2N"/>
        <w:rPr>
          <w:lang w:eastAsia="pt-BR"/>
        </w:rPr>
      </w:pPr>
      <w:r w:rsidRPr="00070494">
        <w:rPr>
          <w:b/>
          <w:lang w:eastAsia="pt-BR"/>
        </w:rPr>
        <w:t xml:space="preserve">Risco iminente: </w:t>
      </w:r>
      <w:r w:rsidRPr="00070494">
        <w:rPr>
          <w:lang w:eastAsia="pt-BR"/>
        </w:rPr>
        <w:t xml:space="preserve">é a constatação, </w:t>
      </w:r>
      <w:r w:rsidRPr="00070494">
        <w:rPr>
          <w:color w:val="auto"/>
          <w:lang w:eastAsia="pt-BR"/>
        </w:rPr>
        <w:t>fundamentada pelo bombeiro militar,</w:t>
      </w:r>
      <w:r w:rsidRPr="00070494">
        <w:rPr>
          <w:lang w:eastAsia="pt-BR"/>
        </w:rPr>
        <w:t xml:space="preserve"> de situação em que há a possibilidade imediata de ocorrer dano à vida, ao patrimônio ou ao meio ambiente, devido à exposição </w:t>
      </w:r>
      <w:r w:rsidRPr="00070494">
        <w:rPr>
          <w:color w:val="auto"/>
          <w:lang w:eastAsia="pt-BR"/>
        </w:rPr>
        <w:t>a</w:t>
      </w:r>
      <w:r w:rsidRPr="00070494">
        <w:rPr>
          <w:lang w:eastAsia="pt-BR"/>
        </w:rPr>
        <w:t xml:space="preserve"> perigo existente.</w:t>
      </w:r>
    </w:p>
    <w:p w:rsidR="00070494" w:rsidRPr="00070494" w:rsidRDefault="00070494" w:rsidP="009D2338">
      <w:pPr>
        <w:pStyle w:val="Texto2N"/>
        <w:rPr>
          <w:lang w:eastAsia="pt-BR"/>
        </w:rPr>
      </w:pPr>
      <w:r w:rsidRPr="00070494">
        <w:rPr>
          <w:b/>
          <w:lang w:eastAsia="pt-BR"/>
        </w:rPr>
        <w:t>Vistoriador:</w:t>
      </w:r>
      <w:r w:rsidRPr="00070494">
        <w:rPr>
          <w:color w:val="auto"/>
          <w:lang w:eastAsia="pt-BR"/>
        </w:rPr>
        <w:t xml:space="preserve"> bombeiro militar qualificado </w:t>
      </w:r>
      <w:r w:rsidRPr="00070494">
        <w:rPr>
          <w:lang w:eastAsia="pt-BR"/>
        </w:rPr>
        <w:t xml:space="preserve">para o serviço de vistoria do Corpo de Bombeiros Militar de </w:t>
      </w:r>
      <w:r w:rsidRPr="00070494">
        <w:rPr>
          <w:color w:val="auto"/>
          <w:lang w:eastAsia="pt-BR"/>
        </w:rPr>
        <w:t>Alagoas</w:t>
      </w:r>
      <w:r w:rsidRPr="00070494">
        <w:rPr>
          <w:b/>
          <w:lang w:eastAsia="pt-BR"/>
        </w:rPr>
        <w:t>.</w:t>
      </w:r>
      <w:r w:rsidRPr="00070494">
        <w:rPr>
          <w:lang w:eastAsia="pt-BR"/>
        </w:rPr>
        <w:t xml:space="preserve"> </w:t>
      </w:r>
    </w:p>
    <w:p w:rsidR="00070494" w:rsidRPr="00070494" w:rsidRDefault="00070494" w:rsidP="009D2338">
      <w:pPr>
        <w:pStyle w:val="Texto2N"/>
        <w:rPr>
          <w:lang w:eastAsia="pt-BR"/>
        </w:rPr>
      </w:pPr>
      <w:r w:rsidRPr="00070494">
        <w:rPr>
          <w:b/>
          <w:lang w:eastAsia="pt-BR"/>
        </w:rPr>
        <w:t xml:space="preserve">Vistoria Técnica de Regularização: </w:t>
      </w:r>
      <w:r w:rsidRPr="00070494">
        <w:rPr>
          <w:lang w:eastAsia="pt-BR"/>
        </w:rPr>
        <w:t>Ato administrativo de verificação</w:t>
      </w:r>
      <w:r w:rsidR="004B0C1E">
        <w:rPr>
          <w:lang w:eastAsia="pt-BR"/>
        </w:rPr>
        <w:t xml:space="preserve"> </w:t>
      </w:r>
      <w:r w:rsidR="004B0C1E" w:rsidRPr="0002652B">
        <w:rPr>
          <w:i/>
        </w:rPr>
        <w:t>in loco</w:t>
      </w:r>
      <w:r w:rsidR="004B0C1E">
        <w:t xml:space="preserve"> e/ou de documentação comprobatória</w:t>
      </w:r>
      <w:r w:rsidR="004B0C1E" w:rsidRPr="009D326B">
        <w:t xml:space="preserve"> </w:t>
      </w:r>
      <w:r w:rsidRPr="00070494">
        <w:rPr>
          <w:lang w:eastAsia="pt-BR"/>
        </w:rPr>
        <w:t>do cumprimento das medidas de segurança contra incêndio e emergências de um imóvel, mediante processo solicitado pelo proprietário, responsável pelo uso ou responsável técnico.</w:t>
      </w:r>
    </w:p>
    <w:p w:rsidR="00070494" w:rsidRPr="00070494" w:rsidRDefault="00070494" w:rsidP="009D2338">
      <w:pPr>
        <w:pStyle w:val="Texto2N"/>
        <w:rPr>
          <w:lang w:eastAsia="pt-BR"/>
        </w:rPr>
      </w:pPr>
      <w:r w:rsidRPr="00070494">
        <w:rPr>
          <w:b/>
          <w:lang w:eastAsia="pt-BR"/>
        </w:rPr>
        <w:t xml:space="preserve">Vistoria Técnica de Fiscalização: </w:t>
      </w:r>
      <w:r w:rsidRPr="00070494">
        <w:rPr>
          <w:lang w:eastAsia="pt-BR"/>
        </w:rPr>
        <w:t xml:space="preserve">Ato administrativo realizado mediante </w:t>
      </w:r>
      <w:r w:rsidRPr="00070494">
        <w:rPr>
          <w:color w:val="auto"/>
          <w:lang w:eastAsia="pt-BR"/>
        </w:rPr>
        <w:t>denúncia</w:t>
      </w:r>
      <w:r w:rsidRPr="00070494">
        <w:rPr>
          <w:lang w:eastAsia="pt-BR"/>
        </w:rPr>
        <w:t>, por iniciativa do CBMAL ou requisição de órgãos públicos para verificação</w:t>
      </w:r>
      <w:r w:rsidR="00B6491C">
        <w:rPr>
          <w:lang w:eastAsia="pt-BR"/>
        </w:rPr>
        <w:t xml:space="preserve"> uso ou ocupação do imóvel, bem como</w:t>
      </w:r>
      <w:r w:rsidRPr="00070494">
        <w:rPr>
          <w:lang w:eastAsia="pt-BR"/>
        </w:rPr>
        <w:t xml:space="preserve"> das licenças expedidas pelo CBMAL. </w:t>
      </w:r>
    </w:p>
    <w:p w:rsidR="00070494" w:rsidRPr="00C22845" w:rsidRDefault="00070494" w:rsidP="00070494">
      <w:pPr>
        <w:pStyle w:val="Ttulo1"/>
        <w:rPr>
          <w:lang w:eastAsia="pt-BR"/>
        </w:rPr>
      </w:pPr>
      <w:r w:rsidRPr="00C22845">
        <w:rPr>
          <w:lang w:eastAsia="pt-BR"/>
        </w:rPr>
        <w:t>V</w:t>
      </w:r>
      <w:r w:rsidR="00BE3E3E" w:rsidRPr="00C22845">
        <w:rPr>
          <w:lang w:eastAsia="pt-BR"/>
        </w:rPr>
        <w:t>ISTORIA TÉCNICA</w:t>
      </w:r>
      <w:r w:rsidR="007873BE" w:rsidRPr="00C22845">
        <w:rPr>
          <w:lang w:eastAsia="pt-BR"/>
        </w:rPr>
        <w:t xml:space="preserve"> DE REGULARIZAÇÃO</w:t>
      </w:r>
    </w:p>
    <w:p w:rsidR="00070494" w:rsidRPr="00070494" w:rsidRDefault="00FB01F2" w:rsidP="00070494">
      <w:pPr>
        <w:pStyle w:val="Ttulo2"/>
        <w:rPr>
          <w:lang w:eastAsia="pt-BR"/>
        </w:rPr>
      </w:pPr>
      <w:r>
        <w:rPr>
          <w:lang w:eastAsia="pt-BR"/>
        </w:rPr>
        <w:t>Disposições gerais</w:t>
      </w:r>
    </w:p>
    <w:p w:rsidR="00070494" w:rsidRPr="00070494" w:rsidRDefault="00BE3E3E" w:rsidP="00D30756">
      <w:pPr>
        <w:pStyle w:val="Texto3N"/>
      </w:pPr>
      <w:r>
        <w:t>A vistoria técnica de regularização d</w:t>
      </w:r>
      <w:r w:rsidR="00070494" w:rsidRPr="00070494">
        <w:t>eve ser solicitada pelo proprietário ou responsável pelo uso do imóvel, podendo também ser por procurador ou responsável técnico.</w:t>
      </w:r>
    </w:p>
    <w:p w:rsidR="00070494" w:rsidRPr="00070494" w:rsidRDefault="00070494" w:rsidP="00D30756">
      <w:pPr>
        <w:pStyle w:val="Texto3N"/>
      </w:pPr>
      <w:r w:rsidRPr="00070494">
        <w:t xml:space="preserve">Deve ser solicitada através do portal SAPS, sendo necessário anexar por meio de </w:t>
      </w:r>
      <w:r w:rsidRPr="00070494">
        <w:rPr>
          <w:i/>
        </w:rPr>
        <w:t xml:space="preserve">upload, </w:t>
      </w:r>
      <w:r w:rsidRPr="00070494">
        <w:t>em formato PDF, a documentação constante no item 5.2 desta IT.</w:t>
      </w:r>
    </w:p>
    <w:p w:rsidR="00070494" w:rsidRPr="00070494" w:rsidRDefault="00070494" w:rsidP="00A34C33">
      <w:pPr>
        <w:spacing w:after="0"/>
        <w:rPr>
          <w:rFonts w:eastAsia="Times New Roman" w:cs="Times New Roman"/>
          <w:i/>
          <w:color w:val="auto"/>
          <w:lang w:eastAsia="pt-BR"/>
        </w:rPr>
      </w:pPr>
      <w:r w:rsidRPr="00070494">
        <w:rPr>
          <w:rFonts w:eastAsia="Times New Roman" w:cs="Times New Roman"/>
          <w:b/>
          <w:i/>
          <w:color w:val="auto"/>
          <w:lang w:eastAsia="pt-BR"/>
        </w:rPr>
        <w:t>Nota:</w:t>
      </w:r>
    </w:p>
    <w:p w:rsidR="00070494" w:rsidRPr="00070494" w:rsidRDefault="00070494" w:rsidP="00A34C33">
      <w:pPr>
        <w:rPr>
          <w:rFonts w:eastAsia="Times New Roman" w:cs="Times New Roman"/>
          <w:i/>
          <w:color w:val="auto"/>
          <w:lang w:eastAsia="pt-BR"/>
        </w:rPr>
      </w:pPr>
      <w:r w:rsidRPr="00070494">
        <w:rPr>
          <w:rFonts w:eastAsia="Times New Roman" w:cs="Times New Roman"/>
          <w:i/>
          <w:color w:val="auto"/>
          <w:lang w:eastAsia="pt-BR"/>
        </w:rPr>
        <w:t>Para iniciar o atendimento, o usuário deve estar de posse do número do processo de segurança</w:t>
      </w:r>
      <w:r w:rsidR="00A34C33">
        <w:rPr>
          <w:rFonts w:eastAsia="Times New Roman" w:cs="Times New Roman"/>
          <w:i/>
          <w:color w:val="auto"/>
          <w:lang w:eastAsia="pt-BR"/>
        </w:rPr>
        <w:t xml:space="preserve"> contra incêndio e emergências.</w:t>
      </w:r>
    </w:p>
    <w:p w:rsidR="00070494" w:rsidRPr="00070494" w:rsidRDefault="00070494" w:rsidP="00D30756">
      <w:pPr>
        <w:pStyle w:val="Texto3N"/>
      </w:pPr>
      <w:r w:rsidRPr="00070494">
        <w:t>Os arquivos eletrônicos devem ser nomeados de acordo com seu tipo, exemplo: Atestado de Conformidade das Instalações Elétricas, CMAR, Atestado de Brigada de Incêndio, Laudo de Estanqueidade, entre outros, sem constar nome de empresa ou outra indicação no documento.</w:t>
      </w:r>
    </w:p>
    <w:p w:rsidR="00070494" w:rsidRPr="00070494" w:rsidRDefault="00070494" w:rsidP="00D30756">
      <w:pPr>
        <w:pStyle w:val="Texto3N"/>
      </w:pPr>
      <w:r w:rsidRPr="00070494">
        <w:lastRenderedPageBreak/>
        <w:t xml:space="preserve">Em caso de não aceitação de documentação por estar incorreta ou sem validade deve ser realizado </w:t>
      </w:r>
      <w:r w:rsidRPr="00070494">
        <w:rPr>
          <w:i/>
        </w:rPr>
        <w:t xml:space="preserve">upload </w:t>
      </w:r>
      <w:r w:rsidRPr="00070494">
        <w:t>do novo arquivo.</w:t>
      </w:r>
    </w:p>
    <w:p w:rsidR="00070494" w:rsidRPr="00070494" w:rsidRDefault="00070494" w:rsidP="00D30756">
      <w:pPr>
        <w:pStyle w:val="Texto3N"/>
      </w:pPr>
      <w:r w:rsidRPr="00070494">
        <w:t>É necessária a realização de criteriosa e detalhada inspeção visual e de ensaio dos sistemas de segurança contra incêndio e emergência, realizados por responsável técnico que</w:t>
      </w:r>
      <w:r w:rsidRPr="00070494">
        <w:rPr>
          <w:sz w:val="18"/>
          <w:szCs w:val="18"/>
        </w:rPr>
        <w:t xml:space="preserve"> </w:t>
      </w:r>
      <w:r w:rsidRPr="00070494">
        <w:t>atestará a instalação ou manutenção, de acordo com as normas técnicas vigentes</w:t>
      </w:r>
      <w:r w:rsidR="000B5B47">
        <w:t xml:space="preserve">, com as Instruções </w:t>
      </w:r>
      <w:proofErr w:type="gramStart"/>
      <w:r w:rsidR="000B5B47">
        <w:t>Técnicas específicas</w:t>
      </w:r>
      <w:r w:rsidRPr="00070494">
        <w:t xml:space="preserve"> e declara</w:t>
      </w:r>
      <w:r w:rsidR="000B5B47">
        <w:t>do em ART/RRT</w:t>
      </w:r>
      <w:proofErr w:type="gramEnd"/>
      <w:r w:rsidRPr="00070494">
        <w:t>.</w:t>
      </w:r>
    </w:p>
    <w:p w:rsidR="00070494" w:rsidRPr="000B5B47" w:rsidRDefault="00070494" w:rsidP="00D30756">
      <w:pPr>
        <w:pStyle w:val="Texto3N"/>
      </w:pPr>
      <w:r w:rsidRPr="000B5B47">
        <w:t>Deve ser recolhida a respectiva taxa de vistoria de acordo com a Lei Estadual n° 6.442/2003.</w:t>
      </w:r>
    </w:p>
    <w:p w:rsidR="00224559" w:rsidRPr="00070494" w:rsidRDefault="00224559" w:rsidP="00D30756">
      <w:pPr>
        <w:pStyle w:val="Texto3N"/>
      </w:pPr>
      <w:r w:rsidRPr="00070494">
        <w:t>O Serviço de Segurança Contra Incêndio e Emergência (SSCIE) tem o prazo máximo de trinta dias para a realização da vistoria técnica de regularização, a contar da data de pagamento de taxas.</w:t>
      </w:r>
    </w:p>
    <w:p w:rsidR="00224559" w:rsidRPr="00070494" w:rsidRDefault="00224559" w:rsidP="00224559">
      <w:pPr>
        <w:pStyle w:val="Texto4N"/>
        <w:rPr>
          <w:color w:val="auto"/>
        </w:rPr>
      </w:pPr>
      <w:r w:rsidRPr="00070494">
        <w:t>O prazo de realização de vistoria para as ocupações temporárias deve ser a prevista confor</w:t>
      </w:r>
      <w:r w:rsidR="00FF358C">
        <w:t>me IT 03</w:t>
      </w:r>
      <w:r w:rsidRPr="00070494">
        <w:t xml:space="preserve"> – Eventos Temporários.</w:t>
      </w:r>
    </w:p>
    <w:p w:rsidR="00070494" w:rsidRDefault="00070494" w:rsidP="00D30756">
      <w:pPr>
        <w:pStyle w:val="Texto3N"/>
      </w:pPr>
      <w:r w:rsidRPr="00070494">
        <w:t>É permitido licenciamento do imóvel através de realização de vistoria técnica de regularização em área parcialmente construída, desde que a área a ser vistoriada seja isolada ou compartimentada do restante, em conformidade com o projeto técnico aprovado.</w:t>
      </w:r>
    </w:p>
    <w:p w:rsidR="00CF2583" w:rsidRDefault="00AD0377" w:rsidP="00A02AE2">
      <w:pPr>
        <w:pStyle w:val="Texto4N"/>
      </w:pPr>
      <w:r>
        <w:t>Na solicitação de vistoria de</w:t>
      </w:r>
      <w:r w:rsidR="00CF2583">
        <w:t xml:space="preserve"> nova</w:t>
      </w:r>
      <w:r>
        <w:t xml:space="preserve"> etapa</w:t>
      </w:r>
      <w:r w:rsidR="00CF2583">
        <w:t xml:space="preserve"> </w:t>
      </w:r>
      <w:r>
        <w:t xml:space="preserve">de </w:t>
      </w:r>
      <w:r w:rsidR="00CF2583">
        <w:t>área construída</w:t>
      </w:r>
      <w:r>
        <w:t xml:space="preserve"> a ser regularizada,</w:t>
      </w:r>
      <w:r w:rsidR="00CF2583">
        <w:t xml:space="preserve"> </w:t>
      </w:r>
      <w:r>
        <w:t xml:space="preserve">esta </w:t>
      </w:r>
      <w:r w:rsidR="00CF2583">
        <w:t>deve</w:t>
      </w:r>
      <w:r>
        <w:t xml:space="preserve"> ser</w:t>
      </w:r>
      <w:r w:rsidR="00CF2583">
        <w:t xml:space="preserve"> </w:t>
      </w:r>
      <w:r>
        <w:t>unificada</w:t>
      </w:r>
      <w:r w:rsidR="00CF2583">
        <w:t xml:space="preserve"> </w:t>
      </w:r>
      <w:r>
        <w:t>às</w:t>
      </w:r>
      <w:r w:rsidR="00CF2583">
        <w:t xml:space="preserve"> áreas aprovadas anteriormente.</w:t>
      </w:r>
    </w:p>
    <w:p w:rsidR="009C7558" w:rsidRDefault="00AD0377" w:rsidP="00A02AE2">
      <w:pPr>
        <w:pStyle w:val="Texto4N"/>
      </w:pPr>
      <w:r>
        <w:t>O</w:t>
      </w:r>
      <w:r w:rsidR="009C7558">
        <w:t xml:space="preserve"> serviço de vistoria deve verifica</w:t>
      </w:r>
      <w:r w:rsidR="005A70E6">
        <w:t>r todas as medidas de segurança</w:t>
      </w:r>
      <w:r w:rsidR="009C7558">
        <w:t xml:space="preserve"> incluindo as</w:t>
      </w:r>
      <w:r w:rsidR="005A70E6">
        <w:t xml:space="preserve"> medidas</w:t>
      </w:r>
      <w:r w:rsidR="009C7558">
        <w:t xml:space="preserve"> das áreas </w:t>
      </w:r>
      <w:r>
        <w:t>vistoriadas anteriormente e</w:t>
      </w:r>
      <w:r w:rsidR="009C7558">
        <w:t xml:space="preserve"> suas compatibilizações.</w:t>
      </w:r>
    </w:p>
    <w:p w:rsidR="00CF2583" w:rsidRPr="00070494" w:rsidRDefault="009C7558" w:rsidP="00A02AE2">
      <w:pPr>
        <w:pStyle w:val="Texto4N"/>
      </w:pPr>
      <w:r>
        <w:t>A</w:t>
      </w:r>
      <w:r w:rsidRPr="009C7558">
        <w:t xml:space="preserve"> taxa de vistoria de</w:t>
      </w:r>
      <w:r>
        <w:t>ve ser calculada com base na área total a ser licenciada.</w:t>
      </w:r>
    </w:p>
    <w:p w:rsidR="00070494" w:rsidRPr="00053E18" w:rsidRDefault="00070494" w:rsidP="00070494">
      <w:pPr>
        <w:autoSpaceDE/>
        <w:autoSpaceDN/>
        <w:adjustRightInd/>
        <w:spacing w:after="0" w:line="276" w:lineRule="auto"/>
        <w:ind w:right="0"/>
        <w:rPr>
          <w:rFonts w:eastAsia="Times New Roman" w:cs="Times New Roman"/>
          <w:color w:val="auto"/>
          <w:szCs w:val="18"/>
          <w:lang w:eastAsia="pt-BR"/>
        </w:rPr>
      </w:pPr>
      <w:r w:rsidRPr="00053E18">
        <w:rPr>
          <w:rFonts w:eastAsia="Times New Roman" w:cs="Times New Roman"/>
          <w:b/>
          <w:i/>
          <w:color w:val="auto"/>
          <w:szCs w:val="18"/>
          <w:lang w:eastAsia="pt-BR"/>
        </w:rPr>
        <w:t>Notas:</w:t>
      </w:r>
    </w:p>
    <w:p w:rsidR="00CF2583" w:rsidRPr="00053E18" w:rsidRDefault="00CF2583" w:rsidP="00CF2583">
      <w:pPr>
        <w:numPr>
          <w:ilvl w:val="0"/>
          <w:numId w:val="20"/>
        </w:numPr>
        <w:autoSpaceDE/>
        <w:autoSpaceDN/>
        <w:adjustRightInd/>
        <w:spacing w:after="0" w:line="276" w:lineRule="auto"/>
        <w:ind w:right="0"/>
        <w:rPr>
          <w:rFonts w:eastAsia="Times New Roman" w:cs="Times New Roman"/>
          <w:bCs/>
          <w:i/>
          <w:color w:val="auto"/>
          <w:szCs w:val="18"/>
          <w:lang w:eastAsia="pt-BR"/>
        </w:rPr>
      </w:pPr>
      <w:r w:rsidRPr="00053E18">
        <w:rPr>
          <w:rFonts w:eastAsia="Times New Roman" w:cs="Times New Roman"/>
          <w:bCs/>
          <w:i/>
          <w:color w:val="auto"/>
          <w:szCs w:val="18"/>
          <w:lang w:eastAsia="pt-BR"/>
        </w:rPr>
        <w:t>A área a ser vistoriada deve ser preenchida em campo específico no SAPS.</w:t>
      </w:r>
    </w:p>
    <w:p w:rsidR="00070494" w:rsidRPr="00053E18" w:rsidRDefault="00070494" w:rsidP="00876AD0">
      <w:pPr>
        <w:numPr>
          <w:ilvl w:val="0"/>
          <w:numId w:val="20"/>
        </w:numPr>
        <w:autoSpaceDE/>
        <w:autoSpaceDN/>
        <w:adjustRightInd/>
        <w:spacing w:after="0" w:line="276" w:lineRule="auto"/>
        <w:ind w:right="0"/>
        <w:rPr>
          <w:rFonts w:eastAsia="Times New Roman" w:cs="Times New Roman"/>
          <w:i/>
          <w:color w:val="auto"/>
          <w:szCs w:val="18"/>
          <w:lang w:eastAsia="pt-BR"/>
        </w:rPr>
      </w:pPr>
      <w:r w:rsidRPr="00053E18">
        <w:rPr>
          <w:rFonts w:eastAsia="Times New Roman" w:cs="Times New Roman"/>
          <w:i/>
          <w:color w:val="auto"/>
          <w:szCs w:val="18"/>
          <w:lang w:eastAsia="pt-BR"/>
        </w:rPr>
        <w:t>O imóvel com áreas isoladas deve atender às exigências da IT 07 - Separação entre edificações;</w:t>
      </w:r>
    </w:p>
    <w:p w:rsidR="00070494" w:rsidRPr="00053E18" w:rsidRDefault="00070494" w:rsidP="00876AD0">
      <w:pPr>
        <w:numPr>
          <w:ilvl w:val="0"/>
          <w:numId w:val="20"/>
        </w:numPr>
        <w:autoSpaceDE/>
        <w:autoSpaceDN/>
        <w:adjustRightInd/>
        <w:spacing w:line="276" w:lineRule="auto"/>
        <w:ind w:right="0"/>
        <w:rPr>
          <w:rFonts w:eastAsia="Times New Roman" w:cs="Times New Roman"/>
          <w:i/>
          <w:color w:val="auto"/>
          <w:szCs w:val="18"/>
          <w:lang w:eastAsia="pt-BR"/>
        </w:rPr>
      </w:pPr>
      <w:r w:rsidRPr="00053E18">
        <w:rPr>
          <w:rFonts w:eastAsia="Times New Roman" w:cs="Times New Roman"/>
          <w:i/>
          <w:color w:val="auto"/>
          <w:szCs w:val="18"/>
          <w:lang w:eastAsia="pt-BR"/>
        </w:rPr>
        <w:t>O imóvel com áreas compartimentadas deve atender às exigências da IT 09 - Compartimentação horizontal e compartimentação vertical.</w:t>
      </w:r>
    </w:p>
    <w:p w:rsidR="007873BE" w:rsidRPr="00C22845" w:rsidRDefault="007873BE" w:rsidP="00D30756">
      <w:pPr>
        <w:pStyle w:val="Texto3N"/>
      </w:pPr>
      <w:bookmarkStart w:id="0" w:name="_1fob9te" w:colFirst="0" w:colLast="0"/>
      <w:bookmarkEnd w:id="0"/>
      <w:r w:rsidRPr="00C22845">
        <w:t>Para renovação do AVCB ou ASCB, o responsável deve solicitar nova vistoria ao CBMAL.</w:t>
      </w:r>
    </w:p>
    <w:p w:rsidR="007873BE" w:rsidRPr="00C22845" w:rsidRDefault="007873BE" w:rsidP="00D30756">
      <w:pPr>
        <w:pStyle w:val="Texto3N"/>
      </w:pPr>
      <w:r w:rsidRPr="00C22845">
        <w:t>As alterações de dados referentes ao projeto técnico, que não impliquem a substituição, devem ser encaminhadas por meio de Formulário para Atendimento Técnico (FAT) juntamente com cópias de documentos que comprovem o teor da solicitação.</w:t>
      </w:r>
    </w:p>
    <w:p w:rsidR="007873BE" w:rsidRPr="00C22845" w:rsidRDefault="007873BE" w:rsidP="00D30756">
      <w:pPr>
        <w:pStyle w:val="Texto3N"/>
      </w:pPr>
      <w:r w:rsidRPr="00C22845">
        <w:t>O interessado deve solicitar a renovação do AVCB ou ASCB diretamente no portal do SAPS.</w:t>
      </w:r>
    </w:p>
    <w:p w:rsidR="007873BE" w:rsidRPr="00C22845" w:rsidRDefault="007873BE" w:rsidP="00D30756">
      <w:pPr>
        <w:pStyle w:val="Texto3N"/>
      </w:pPr>
      <w:r w:rsidRPr="00C22845">
        <w:t>O pagamento de taxa de vistoria dá direito à realização de uma vistoria e de dois retornos</w:t>
      </w:r>
      <w:r w:rsidR="00950CB9">
        <w:t>,</w:t>
      </w:r>
      <w:r w:rsidRPr="00C22845">
        <w:t xml:space="preserve"> caso sejam constatadas </w:t>
      </w:r>
      <w:r w:rsidR="008640EE">
        <w:t>não conformidades</w:t>
      </w:r>
      <w:r w:rsidRPr="00C22845">
        <w:t xml:space="preserve"> pelo vistoriador</w:t>
      </w:r>
      <w:r w:rsidR="005A212A">
        <w:t xml:space="preserve">, </w:t>
      </w:r>
      <w:r w:rsidR="005A212A" w:rsidRPr="005A212A">
        <w:t xml:space="preserve">dentro do tempo máximo de </w:t>
      </w:r>
      <w:r w:rsidR="00871728">
        <w:t>01 (um) ano</w:t>
      </w:r>
      <w:r w:rsidR="001E6559">
        <w:t xml:space="preserve"> </w:t>
      </w:r>
      <w:r w:rsidR="001E6559" w:rsidRPr="001E6559">
        <w:t>a contar da data da primeira notificação</w:t>
      </w:r>
      <w:r w:rsidRPr="00C22845">
        <w:t>.</w:t>
      </w:r>
    </w:p>
    <w:p w:rsidR="003C3E85" w:rsidRDefault="003C3E85" w:rsidP="003C3E85">
      <w:pPr>
        <w:pStyle w:val="Texto3N"/>
      </w:pPr>
      <w:r>
        <w:t>O processo de vistoria técnica de regularização é encerrado sempre que se esgotar o tempo máximo de</w:t>
      </w:r>
      <w:r w:rsidR="0081580C">
        <w:t xml:space="preserve"> 01 (um) ano</w:t>
      </w:r>
      <w:r>
        <w:t xml:space="preserve">, a contar da data da primeira notificação, </w:t>
      </w:r>
      <w:r w:rsidRPr="000606C4">
        <w:t>sendo necessária abertura de um novo processo de vistoria técnica de regularização, mediante pagamento de taxa</w:t>
      </w:r>
      <w:r>
        <w:t>.</w:t>
      </w:r>
    </w:p>
    <w:p w:rsidR="007873BE" w:rsidRDefault="007873BE" w:rsidP="00D30756">
      <w:pPr>
        <w:pStyle w:val="Texto3N"/>
      </w:pPr>
      <w:r w:rsidRPr="00C22845">
        <w:t>O proprietário e/ou responsável pelo uso da edificação ou área de risco é responsável pela manutenção e funcionamento das medidas de segurança contra incêndio sob pena de cassação do AVCB ou ASCB, conforme previsto no Código de Segurança contra Incêndio e Emergência.</w:t>
      </w:r>
    </w:p>
    <w:p w:rsidR="009B5205" w:rsidRDefault="009B5205" w:rsidP="00D30756">
      <w:pPr>
        <w:pStyle w:val="Texto3N"/>
      </w:pPr>
      <w:r>
        <w:t>A documentação necessária para a solicitação d</w:t>
      </w:r>
      <w:r w:rsidR="00391067">
        <w:t>e vistoria deve estar conforme a IT 01 – Parte 1</w:t>
      </w:r>
      <w:r>
        <w:t>.</w:t>
      </w:r>
    </w:p>
    <w:p w:rsidR="00F7632E" w:rsidRPr="00C22845" w:rsidRDefault="00F7632E" w:rsidP="00F7632E">
      <w:pPr>
        <w:pStyle w:val="Texto3N"/>
        <w:spacing w:line="240" w:lineRule="auto"/>
      </w:pPr>
      <w:r w:rsidRPr="001E2BE5">
        <w:t>As medidas de segurança contra incêndios</w:t>
      </w:r>
      <w:r>
        <w:t xml:space="preserve"> e emergências</w:t>
      </w:r>
      <w:r w:rsidRPr="001E2BE5">
        <w:t xml:space="preserve"> instaladas </w:t>
      </w:r>
      <w:r>
        <w:t>no imóvel</w:t>
      </w:r>
      <w:r w:rsidRPr="001E2BE5">
        <w:t xml:space="preserve"> e não previstas no Projeto Técnico podem ser aceitas como medidas adicionais de segurança, desde que não interfiram na cobertura das medidas originalmente previstas no Projeto Técnico. Tais medidas não precisam seguir os parâmetros previstos em normas, porém, se não for possível avaliar no local da vistoria a interferência da medida de proteção adicional, o interessado deverá esclarecer posteriormente, por meio de Formulário para Atendimento Técnico (FAT) a medida adotada para avaliação no SSCIE.</w:t>
      </w:r>
    </w:p>
    <w:p w:rsidR="00070494" w:rsidRPr="00070494" w:rsidRDefault="00C22845" w:rsidP="00070494">
      <w:pPr>
        <w:pStyle w:val="Ttulo2"/>
        <w:rPr>
          <w:lang w:eastAsia="pt-BR"/>
        </w:rPr>
      </w:pPr>
      <w:r>
        <w:rPr>
          <w:lang w:eastAsia="pt-BR"/>
        </w:rPr>
        <w:t>Procedimentos</w:t>
      </w:r>
    </w:p>
    <w:p w:rsidR="00070494" w:rsidRPr="004552FC" w:rsidRDefault="00070494" w:rsidP="00D30756">
      <w:pPr>
        <w:pStyle w:val="Texto3N"/>
        <w:rPr>
          <w:color w:val="FF0000"/>
        </w:rPr>
      </w:pPr>
      <w:r w:rsidRPr="00070494">
        <w:lastRenderedPageBreak/>
        <w:t>A primeira vistoria</w:t>
      </w:r>
      <w:r w:rsidR="00C24DE1">
        <w:t xml:space="preserve"> técnica de regularização</w:t>
      </w:r>
      <w:r w:rsidRPr="00070494">
        <w:t xml:space="preserve"> deve ser realizada abrangendo-se todos os sistemas e medidas de segurança instaladas no </w:t>
      </w:r>
      <w:r w:rsidR="00C24DE1">
        <w:t>imóvel</w:t>
      </w:r>
      <w:r w:rsidRPr="00070494">
        <w:t xml:space="preserve">, relacionando-se as </w:t>
      </w:r>
      <w:r w:rsidR="008640EE">
        <w:t>não conformidades</w:t>
      </w:r>
      <w:r w:rsidRPr="00070494">
        <w:t xml:space="preserve"> eventualmente encontradas no relatório de vistoria</w:t>
      </w:r>
      <w:r w:rsidR="004552FC">
        <w:t xml:space="preserve"> </w:t>
      </w:r>
      <w:r w:rsidRPr="00070494">
        <w:t>preenchido no SAPS.</w:t>
      </w:r>
    </w:p>
    <w:p w:rsidR="00431006" w:rsidRPr="00070494" w:rsidRDefault="00431006" w:rsidP="00D30756">
      <w:pPr>
        <w:pStyle w:val="Texto3N"/>
      </w:pPr>
      <w:r w:rsidRPr="00070494">
        <w:t>Deve haver pessoa com conhecimento do funcionamento das medidas de segurança contra incêndio</w:t>
      </w:r>
      <w:r w:rsidR="00105E70">
        <w:t xml:space="preserve"> e emergências do imóvel</w:t>
      </w:r>
      <w:r w:rsidRPr="00070494">
        <w:t xml:space="preserve"> para que possa manuseá-los quando da realização da vistoria</w:t>
      </w:r>
      <w:r>
        <w:t xml:space="preserve"> além de ser responsável por apresentar e/ou receber qualquer documentação</w:t>
      </w:r>
      <w:r w:rsidRPr="00070494">
        <w:t>.</w:t>
      </w:r>
    </w:p>
    <w:p w:rsidR="007B4BA5" w:rsidRDefault="007B4BA5" w:rsidP="00D30756">
      <w:pPr>
        <w:pStyle w:val="Texto3N"/>
      </w:pPr>
      <w:r>
        <w:t xml:space="preserve">Na constatação do </w:t>
      </w:r>
      <w:r w:rsidRPr="007B4BA5">
        <w:t>cumprimento das exigências quanto às medidas de segurança contra incêndio e emergências</w:t>
      </w:r>
      <w:r>
        <w:t xml:space="preserve"> é emitido o </w:t>
      </w:r>
      <w:r w:rsidRPr="007B4BA5">
        <w:t>Alvará de Vistoria do Corpo de Bombeiros – AVCB</w:t>
      </w:r>
      <w:r>
        <w:t xml:space="preserve"> de forma eletrônica. O AVCB </w:t>
      </w:r>
      <w:r w:rsidRPr="007B4BA5">
        <w:t>autoriza a ocupação e funcionamento da edificação ou área de risco nos termos do C</w:t>
      </w:r>
      <w:r>
        <w:t>ódigo de Segurança Contra Incêndio e Emergências.</w:t>
      </w:r>
    </w:p>
    <w:p w:rsidR="00431006" w:rsidRPr="00552B54" w:rsidRDefault="004552FC" w:rsidP="00D30756">
      <w:pPr>
        <w:pStyle w:val="Texto3N"/>
        <w:rPr>
          <w:rFonts w:eastAsia="Times New Roman"/>
        </w:rPr>
      </w:pPr>
      <w:r>
        <w:t xml:space="preserve">Na constatação de quaisquer </w:t>
      </w:r>
      <w:r w:rsidR="008640EE">
        <w:t>não conformidades</w:t>
      </w:r>
      <w:r>
        <w:t xml:space="preserve"> </w:t>
      </w:r>
      <w:r w:rsidR="007B4BA5">
        <w:t>é expedida</w:t>
      </w:r>
      <w:r w:rsidR="00552B54">
        <w:t xml:space="preserve"> advertência escrita</w:t>
      </w:r>
      <w:r w:rsidR="00F55860">
        <w:t xml:space="preserve">, materializada na </w:t>
      </w:r>
      <w:r w:rsidR="00552B54" w:rsidRPr="00552B54">
        <w:t>primeira</w:t>
      </w:r>
      <w:r w:rsidR="007B4BA5" w:rsidRPr="00552B54">
        <w:t xml:space="preserve"> </w:t>
      </w:r>
      <w:r w:rsidR="00431006" w:rsidRPr="00552B54">
        <w:t>notificação</w:t>
      </w:r>
      <w:r w:rsidR="00F55860">
        <w:t>,</w:t>
      </w:r>
      <w:r w:rsidR="00431006">
        <w:t xml:space="preserve"> elencando todas as não conformidades encontradas sendo entregue uma via ao responsável pelo acompanhamento da vistoria.</w:t>
      </w:r>
    </w:p>
    <w:p w:rsidR="00431006" w:rsidRDefault="00431006" w:rsidP="00D30756">
      <w:pPr>
        <w:pStyle w:val="Texto3N"/>
      </w:pPr>
      <w:r>
        <w:t xml:space="preserve">De posse da </w:t>
      </w:r>
      <w:r w:rsidR="00552B54">
        <w:t>advertência escrita</w:t>
      </w:r>
      <w:r>
        <w:t xml:space="preserve">, o responsável possui </w:t>
      </w:r>
      <w:r w:rsidRPr="00431006">
        <w:t>30 (trinta) dias para san</w:t>
      </w:r>
      <w:r>
        <w:t xml:space="preserve">ar as </w:t>
      </w:r>
      <w:r w:rsidR="008640EE">
        <w:t>não conformidades</w:t>
      </w:r>
      <w:r>
        <w:t xml:space="preserve"> elencadas.</w:t>
      </w:r>
    </w:p>
    <w:p w:rsidR="00F409FE" w:rsidRPr="00A02AE2" w:rsidRDefault="00F409FE" w:rsidP="00A02AE2">
      <w:pPr>
        <w:pStyle w:val="Texto4N"/>
      </w:pPr>
      <w:bookmarkStart w:id="1" w:name="_Ref42167271"/>
      <w:r w:rsidRPr="00A02AE2">
        <w:t xml:space="preserve">É permitida a prorrogação do prazo da </w:t>
      </w:r>
      <w:r w:rsidR="007114E1">
        <w:t xml:space="preserve">primeira </w:t>
      </w:r>
      <w:r w:rsidRPr="00A02AE2">
        <w:t xml:space="preserve">notificação para correção das </w:t>
      </w:r>
      <w:r w:rsidR="008640EE">
        <w:t>não conformidades</w:t>
      </w:r>
      <w:r w:rsidRPr="00A02AE2">
        <w:t xml:space="preserve">, conforme item </w:t>
      </w:r>
      <w:r w:rsidR="00824C35">
        <w:t>9</w:t>
      </w:r>
      <w:r w:rsidRPr="00A02AE2">
        <w:t xml:space="preserve"> desta IT.</w:t>
      </w:r>
    </w:p>
    <w:p w:rsidR="00E21102" w:rsidRDefault="00F409FE" w:rsidP="00D30756">
      <w:pPr>
        <w:pStyle w:val="Texto3N"/>
      </w:pPr>
      <w:r>
        <w:t xml:space="preserve">Quando solicitado ou </w:t>
      </w:r>
      <w:r w:rsidR="00E21102">
        <w:t>após</w:t>
      </w:r>
      <w:r>
        <w:t xml:space="preserve"> </w:t>
      </w:r>
      <w:r w:rsidR="007114E1">
        <w:t>o término do prazo da primeira notificação</w:t>
      </w:r>
      <w:r>
        <w:t>,</w:t>
      </w:r>
      <w:r w:rsidR="00E21102">
        <w:t xml:space="preserve"> o CBMAL </w:t>
      </w:r>
      <w:r>
        <w:t xml:space="preserve">procede </w:t>
      </w:r>
      <w:r w:rsidR="00E21102">
        <w:t>com o retorno da vistoria técnica de regularização</w:t>
      </w:r>
      <w:r w:rsidR="00552B54">
        <w:t>.</w:t>
      </w:r>
      <w:bookmarkEnd w:id="1"/>
    </w:p>
    <w:p w:rsidR="00204465" w:rsidRDefault="00204465" w:rsidP="00D30756">
      <w:pPr>
        <w:pStyle w:val="Texto3N"/>
      </w:pPr>
      <w:r>
        <w:t xml:space="preserve">Enquanto não acontecer o </w:t>
      </w:r>
      <w:r w:rsidR="008E4A2F" w:rsidRPr="008E4A2F">
        <w:t>retorno da vistoria técnica de regularização</w:t>
      </w:r>
      <w:r w:rsidR="008E4A2F">
        <w:t xml:space="preserve">, </w:t>
      </w:r>
      <w:r>
        <w:t>o responsável pode</w:t>
      </w:r>
      <w:r w:rsidR="00F409FE">
        <w:t xml:space="preserve"> </w:t>
      </w:r>
      <w:r w:rsidR="006162EE">
        <w:t xml:space="preserve">solicitar prorrogação de prazo e/ou </w:t>
      </w:r>
      <w:r w:rsidR="00F409FE">
        <w:t>a</w:t>
      </w:r>
      <w:r w:rsidRPr="00E21102">
        <w:t>presentar defesa devidamente fundamentada caso discorde das não conformidades elencadas</w:t>
      </w:r>
      <w:r w:rsidR="001F5A2C">
        <w:t xml:space="preserve"> na primeira notificação</w:t>
      </w:r>
      <w:r>
        <w:t>.</w:t>
      </w:r>
    </w:p>
    <w:p w:rsidR="00552B54" w:rsidRDefault="007114E1" w:rsidP="00D30756">
      <w:pPr>
        <w:pStyle w:val="Texto3N"/>
      </w:pPr>
      <w:r>
        <w:t>No retorno de vistoria</w:t>
      </w:r>
      <w:r w:rsidR="00DC19D2">
        <w:t xml:space="preserve"> técnica de regularização</w:t>
      </w:r>
      <w:r>
        <w:t>, constatando</w:t>
      </w:r>
      <w:r w:rsidR="00A636C6">
        <w:t xml:space="preserve"> </w:t>
      </w:r>
      <w:r w:rsidR="008640EE">
        <w:t>não conformidades</w:t>
      </w:r>
      <w:r w:rsidR="00A636C6">
        <w:t xml:space="preserve"> é </w:t>
      </w:r>
      <w:r w:rsidR="00F55860">
        <w:t>aplicada multa, materializada na emissão da segunda notificação</w:t>
      </w:r>
      <w:r w:rsidR="00A636C6">
        <w:t>, desde que d</w:t>
      </w:r>
      <w:r w:rsidR="00FB6312">
        <w:t>ecorridos 30 (trinta) dias da formalização da advertência escrita</w:t>
      </w:r>
      <w:r w:rsidR="000C5CEB">
        <w:t xml:space="preserve"> </w:t>
      </w:r>
      <w:r w:rsidR="00552B54" w:rsidRPr="00552B54">
        <w:t>nos t</w:t>
      </w:r>
      <w:r w:rsidR="003053B6">
        <w:t>ermos do</w:t>
      </w:r>
      <w:r w:rsidR="00552B54" w:rsidRPr="00552B54">
        <w:t xml:space="preserve"> Decreto</w:t>
      </w:r>
      <w:r w:rsidR="003053B6">
        <w:t xml:space="preserve"> nº 55.175/2017</w:t>
      </w:r>
      <w:r w:rsidR="00552B54" w:rsidRPr="00552B54">
        <w:t>.</w:t>
      </w:r>
    </w:p>
    <w:p w:rsidR="00DC19D2" w:rsidRPr="00DC19D2" w:rsidRDefault="00DC19D2" w:rsidP="00DC19D2">
      <w:pPr>
        <w:pStyle w:val="Texto4N"/>
      </w:pPr>
      <w:r w:rsidRPr="00DC19D2">
        <w:t>O cálculo da multa é realizado nos termos do Anexo II do Decreto nº 55.175/2017.</w:t>
      </w:r>
    </w:p>
    <w:p w:rsidR="003053B6" w:rsidRDefault="007114E1" w:rsidP="007114E1">
      <w:pPr>
        <w:pStyle w:val="Texto4N"/>
      </w:pPr>
      <w:r w:rsidRPr="007114E1">
        <w:t>A multa aplicada refere-se às infrações não sanadas da primeira notificação</w:t>
      </w:r>
      <w:r>
        <w:t xml:space="preserve">, </w:t>
      </w:r>
      <w:r w:rsidR="000D04DA">
        <w:t xml:space="preserve">avaliando </w:t>
      </w:r>
      <w:r w:rsidR="003A5A94">
        <w:t xml:space="preserve">a tipificação mais específica de </w:t>
      </w:r>
      <w:r w:rsidR="000D04DA">
        <w:t xml:space="preserve">cada medida </w:t>
      </w:r>
      <w:r w:rsidR="003A5A94">
        <w:t>de segurança contra incêndio e emergências</w:t>
      </w:r>
      <w:r w:rsidR="000D04DA" w:rsidRPr="000D04DA">
        <w:rPr>
          <w:bCs w:val="0"/>
        </w:rPr>
        <w:t xml:space="preserve"> </w:t>
      </w:r>
      <w:r w:rsidR="000D04DA" w:rsidRPr="000D04DA">
        <w:t xml:space="preserve">nos termos </w:t>
      </w:r>
      <w:r w:rsidR="000D04DA">
        <w:t xml:space="preserve">do Anexo I </w:t>
      </w:r>
      <w:r w:rsidR="000D04DA" w:rsidRPr="000D04DA">
        <w:t>do Decreto nº 55.175/2017</w:t>
      </w:r>
      <w:r w:rsidR="003053B6" w:rsidRPr="007114E1">
        <w:t>.</w:t>
      </w:r>
    </w:p>
    <w:p w:rsidR="00F409FE" w:rsidRPr="00A02AE2" w:rsidRDefault="00F409FE" w:rsidP="00BA2DC4">
      <w:pPr>
        <w:pStyle w:val="Texto4N"/>
      </w:pPr>
      <w:r w:rsidRPr="00A02AE2">
        <w:t xml:space="preserve">É permitida a prorrogação do prazo da </w:t>
      </w:r>
      <w:r w:rsidR="007114E1">
        <w:t xml:space="preserve">segunda </w:t>
      </w:r>
      <w:r w:rsidRPr="00A02AE2">
        <w:t xml:space="preserve">notificação para correção das </w:t>
      </w:r>
      <w:r w:rsidR="008640EE">
        <w:t>não conformidades</w:t>
      </w:r>
      <w:r w:rsidRPr="00A02AE2">
        <w:t xml:space="preserve">, conforme item </w:t>
      </w:r>
      <w:r w:rsidR="00824C35">
        <w:t>9</w:t>
      </w:r>
      <w:r w:rsidRPr="00A02AE2">
        <w:t xml:space="preserve"> desta IT.</w:t>
      </w:r>
    </w:p>
    <w:p w:rsidR="007114E1" w:rsidRDefault="007114E1" w:rsidP="00D30756">
      <w:pPr>
        <w:pStyle w:val="Texto3N"/>
      </w:pPr>
      <w:r>
        <w:t xml:space="preserve">Quando solicitado ou após o término do prazo da </w:t>
      </w:r>
      <w:r w:rsidR="00DC19D2">
        <w:t>segunda</w:t>
      </w:r>
      <w:r>
        <w:t xml:space="preserve"> notificação, o CBMAL procede com a</w:t>
      </w:r>
      <w:r w:rsidR="00DC19D2">
        <w:t xml:space="preserve"> terceira</w:t>
      </w:r>
      <w:r>
        <w:t xml:space="preserve"> vistoria técnica de regularização.</w:t>
      </w:r>
    </w:p>
    <w:p w:rsidR="00DC19D2" w:rsidRDefault="00DC19D2" w:rsidP="00D30756">
      <w:pPr>
        <w:pStyle w:val="Texto3N"/>
      </w:pPr>
      <w:r>
        <w:t>Enquanto não acontecer a terceira</w:t>
      </w:r>
      <w:r w:rsidRPr="008E4A2F">
        <w:t xml:space="preserve"> vistoria técnica de regularização</w:t>
      </w:r>
      <w:r>
        <w:t xml:space="preserve">, o responsável pode </w:t>
      </w:r>
      <w:r w:rsidR="006162EE" w:rsidRPr="006162EE">
        <w:t xml:space="preserve">solicitar prorrogação de prazo e/ou </w:t>
      </w:r>
      <w:r>
        <w:t>a</w:t>
      </w:r>
      <w:r w:rsidRPr="00E21102">
        <w:t>presentar defesa devidamente fundamentada caso discorde das não conformidades elencadas</w:t>
      </w:r>
      <w:r w:rsidR="001F5A2C">
        <w:t xml:space="preserve"> na segunda notificação</w:t>
      </w:r>
      <w:r>
        <w:t>.</w:t>
      </w:r>
    </w:p>
    <w:p w:rsidR="00EA7443" w:rsidRDefault="00DC19D2" w:rsidP="00D30756">
      <w:pPr>
        <w:pStyle w:val="Texto3N"/>
      </w:pPr>
      <w:r>
        <w:t xml:space="preserve">Na terceira vistoria técnica de regularização, constatando a persistência de </w:t>
      </w:r>
      <w:r w:rsidR="008640EE">
        <w:t>não conformidades</w:t>
      </w:r>
      <w:r>
        <w:t xml:space="preserve"> é emitida terceira notificação</w:t>
      </w:r>
      <w:r w:rsidR="00A12AD7" w:rsidRPr="00A12AD7">
        <w:rPr>
          <w:rFonts w:ascii="Tahoma" w:hAnsi="Tahoma" w:cs="Tahoma"/>
          <w:color w:val="000000"/>
          <w:sz w:val="16"/>
          <w:szCs w:val="16"/>
        </w:rPr>
        <w:t xml:space="preserve"> </w:t>
      </w:r>
      <w:r w:rsidR="00A12AD7" w:rsidRPr="00A12AD7">
        <w:t>e encerrado o processo de vistoria técnica de regularização</w:t>
      </w:r>
      <w:r w:rsidR="00EA7443">
        <w:t xml:space="preserve"> sendo </w:t>
      </w:r>
      <w:r w:rsidR="007B300E">
        <w:t>necessária abertura de um novo processo de vistoria técnica de regularização</w:t>
      </w:r>
      <w:r w:rsidR="00EA7443" w:rsidRPr="00EA7443">
        <w:t>, mediante pagamento de taxa</w:t>
      </w:r>
      <w:r w:rsidR="00EA7443">
        <w:t>.</w:t>
      </w:r>
    </w:p>
    <w:p w:rsidR="00036083" w:rsidRDefault="00653C99" w:rsidP="00D30756">
      <w:pPr>
        <w:pStyle w:val="Texto3N"/>
      </w:pPr>
      <w:r>
        <w:t xml:space="preserve">Pode ser concedido o direito de realização de </w:t>
      </w:r>
      <w:r w:rsidR="00226C93">
        <w:t xml:space="preserve">uma </w:t>
      </w:r>
      <w:r>
        <w:t>quarta vistoria</w:t>
      </w:r>
      <w:r w:rsidR="00226C93">
        <w:t xml:space="preserve"> técnica de regularização, quando solicitado pelo responsável pelo imóvel, desde que</w:t>
      </w:r>
      <w:r>
        <w:t>:</w:t>
      </w:r>
    </w:p>
    <w:p w:rsidR="00653C99" w:rsidRDefault="00226C93" w:rsidP="00D30756">
      <w:pPr>
        <w:pStyle w:val="Texto3N"/>
      </w:pPr>
      <w:r>
        <w:t>haja</w:t>
      </w:r>
      <w:r w:rsidR="00653C99">
        <w:t xml:space="preserve"> irregularidade não consta</w:t>
      </w:r>
      <w:r w:rsidR="00F54E7D">
        <w:t>tada em vistorias anteriores;</w:t>
      </w:r>
    </w:p>
    <w:p w:rsidR="00653C99" w:rsidRDefault="00226C93" w:rsidP="00D30756">
      <w:pPr>
        <w:pStyle w:val="Texto3N"/>
      </w:pPr>
      <w:r>
        <w:t>haja autorização do</w:t>
      </w:r>
      <w:r w:rsidR="00653C99">
        <w:t xml:space="preserve"> vistoriador</w:t>
      </w:r>
      <w:r>
        <w:t xml:space="preserve"> </w:t>
      </w:r>
      <w:r w:rsidR="00653C99">
        <w:t>na terceira notificaç</w:t>
      </w:r>
      <w:r w:rsidR="00F54E7D">
        <w:t>ão; ou</w:t>
      </w:r>
    </w:p>
    <w:p w:rsidR="00F54E7D" w:rsidRDefault="00F54E7D" w:rsidP="00D30756">
      <w:pPr>
        <w:pStyle w:val="Texto3N"/>
      </w:pPr>
      <w:r>
        <w:t>haja autorização do chefe do setor de vistoria técnica.</w:t>
      </w:r>
    </w:p>
    <w:p w:rsidR="00DC19D2" w:rsidRDefault="007B300E" w:rsidP="00D30756">
      <w:pPr>
        <w:pStyle w:val="Texto3N"/>
      </w:pPr>
      <w:r>
        <w:t xml:space="preserve">Caso seja concedido o direito da realização da quarta vistoria técnica de regularização </w:t>
      </w:r>
      <w:r w:rsidR="00DC19D2">
        <w:t>é aplicada</w:t>
      </w:r>
      <w:r w:rsidR="00DC19D2" w:rsidRPr="00552B54">
        <w:t xml:space="preserve"> multa nos t</w:t>
      </w:r>
      <w:r w:rsidR="00DC19D2">
        <w:t>ermos do</w:t>
      </w:r>
      <w:r w:rsidR="00DC19D2" w:rsidRPr="00552B54">
        <w:t xml:space="preserve"> Decreto</w:t>
      </w:r>
      <w:r w:rsidR="00DC19D2">
        <w:t xml:space="preserve"> nº 55.175/2017</w:t>
      </w:r>
      <w:r w:rsidR="00AA32C6">
        <w:t xml:space="preserve"> em referência a terceira notificação</w:t>
      </w:r>
      <w:r w:rsidR="00DC19D2" w:rsidRPr="00552B54">
        <w:t>.</w:t>
      </w:r>
    </w:p>
    <w:p w:rsidR="00DC19D2" w:rsidRDefault="00DC19D2" w:rsidP="00DC19D2">
      <w:pPr>
        <w:pStyle w:val="Texto4N"/>
      </w:pPr>
      <w:r w:rsidRPr="007114E1">
        <w:lastRenderedPageBreak/>
        <w:t xml:space="preserve">A multa aplicada refere-se às infrações não sanadas da </w:t>
      </w:r>
      <w:r>
        <w:t>segunda</w:t>
      </w:r>
      <w:r w:rsidRPr="007114E1">
        <w:t xml:space="preserve"> notificação</w:t>
      </w:r>
      <w:r w:rsidR="00AA32C6">
        <w:t xml:space="preserve"> (constatadas na terceira notificação)</w:t>
      </w:r>
      <w:r>
        <w:t>, avaliando a tipificação mais específica de cada medida de segurança contra incêndio e emergências</w:t>
      </w:r>
      <w:r w:rsidRPr="000D04DA">
        <w:rPr>
          <w:bCs w:val="0"/>
        </w:rPr>
        <w:t xml:space="preserve"> </w:t>
      </w:r>
      <w:r w:rsidRPr="000D04DA">
        <w:t xml:space="preserve">nos termos </w:t>
      </w:r>
      <w:r>
        <w:t xml:space="preserve">do Anexo I </w:t>
      </w:r>
      <w:r w:rsidRPr="000D04DA">
        <w:t>do Decreto nº 55.175/2017</w:t>
      </w:r>
      <w:r w:rsidRPr="007114E1">
        <w:t>.</w:t>
      </w:r>
    </w:p>
    <w:p w:rsidR="00DC19D2" w:rsidRDefault="00DC19D2" w:rsidP="00DC19D2">
      <w:pPr>
        <w:pStyle w:val="Texto4N"/>
      </w:pPr>
      <w:r>
        <w:t>Após o cálculo da multa</w:t>
      </w:r>
      <w:r w:rsidR="00EA7443">
        <w:t>,</w:t>
      </w:r>
      <w:r>
        <w:t xml:space="preserve"> realizado </w:t>
      </w:r>
      <w:r w:rsidR="00EA7443">
        <w:t xml:space="preserve">nos termos do Anexo </w:t>
      </w:r>
      <w:r w:rsidR="00EA7443" w:rsidRPr="00EA7443">
        <w:t>II do Decreto nº 55.175/2017</w:t>
      </w:r>
      <w:r w:rsidR="00EA7443">
        <w:t xml:space="preserve">, o valor deve ser dobrado conforme </w:t>
      </w:r>
      <w:r w:rsidR="00EA7443" w:rsidRPr="00EA7443">
        <w:t>§ 1º</w:t>
      </w:r>
      <w:r w:rsidR="00EA7443">
        <w:t xml:space="preserve"> Art. 57 do referido decreto.</w:t>
      </w:r>
    </w:p>
    <w:p w:rsidR="00053E18" w:rsidRPr="00053E18" w:rsidRDefault="00053E18" w:rsidP="00053E18">
      <w:pPr>
        <w:pStyle w:val="Texto4N"/>
        <w:numPr>
          <w:ilvl w:val="0"/>
          <w:numId w:val="0"/>
        </w:numPr>
        <w:spacing w:after="0"/>
        <w:rPr>
          <w:b/>
          <w:i/>
        </w:rPr>
      </w:pPr>
      <w:r w:rsidRPr="00053E18">
        <w:rPr>
          <w:b/>
          <w:i/>
        </w:rPr>
        <w:t>Nota:</w:t>
      </w:r>
    </w:p>
    <w:p w:rsidR="00053E18" w:rsidRPr="00053E18" w:rsidRDefault="00053E18" w:rsidP="00053E18">
      <w:pPr>
        <w:pStyle w:val="Texto4N"/>
        <w:numPr>
          <w:ilvl w:val="0"/>
          <w:numId w:val="0"/>
        </w:numPr>
        <w:rPr>
          <w:i/>
        </w:rPr>
      </w:pPr>
      <w:r w:rsidRPr="00053E18">
        <w:rPr>
          <w:i/>
        </w:rPr>
        <w:t>No ato da solicitação da quarta vistoria é gerada a multa referente à terceira notificação e conferido prazo de 30 dias para o exercício do direito de defesa.</w:t>
      </w:r>
    </w:p>
    <w:p w:rsidR="00036083" w:rsidRDefault="00A12AD7" w:rsidP="00D30756">
      <w:pPr>
        <w:pStyle w:val="Texto3N"/>
      </w:pPr>
      <w:r>
        <w:t xml:space="preserve">Sanadas as </w:t>
      </w:r>
      <w:r w:rsidR="008640EE">
        <w:t>não conformidades</w:t>
      </w:r>
      <w:r>
        <w:t xml:space="preserve"> é e</w:t>
      </w:r>
      <w:r w:rsidR="00036083">
        <w:t>mitido o AVCB, sendo isentas as multas emitidas dentro do processo de vistoria técnica de regularização.</w:t>
      </w:r>
    </w:p>
    <w:p w:rsidR="00AA32C6" w:rsidRDefault="00AA32C6" w:rsidP="00D30756">
      <w:pPr>
        <w:pStyle w:val="Texto3N"/>
      </w:pPr>
      <w:r w:rsidRPr="00AA32C6">
        <w:t xml:space="preserve">Uma vez realizada quarta vistoria técnica de regularização e constatada a persistência de </w:t>
      </w:r>
      <w:r w:rsidR="008640EE">
        <w:t>não conformidades</w:t>
      </w:r>
      <w:r w:rsidRPr="00AA32C6">
        <w:t xml:space="preserve"> é</w:t>
      </w:r>
      <w:r>
        <w:t xml:space="preserve"> </w:t>
      </w:r>
      <w:r w:rsidR="00330C62">
        <w:t xml:space="preserve">emitida a </w:t>
      </w:r>
      <w:r>
        <w:t>quarta notificação</w:t>
      </w:r>
      <w:r w:rsidR="00330C62">
        <w:t xml:space="preserve"> e encerrado o processo de vistoria técnica de regularização</w:t>
      </w:r>
      <w:r>
        <w:t xml:space="preserve"> sendo </w:t>
      </w:r>
      <w:r w:rsidRPr="00AA32C6">
        <w:t>necessária</w:t>
      </w:r>
      <w:r>
        <w:t xml:space="preserve"> abertura de um novo processo de vistoria técnica de regularização</w:t>
      </w:r>
      <w:r w:rsidRPr="00EA7443">
        <w:t>, mediante pagamento de taxa</w:t>
      </w:r>
      <w:r>
        <w:t>.</w:t>
      </w:r>
    </w:p>
    <w:p w:rsidR="00613D55" w:rsidRDefault="0056166E" w:rsidP="00613D55">
      <w:pPr>
        <w:pStyle w:val="Texto4N"/>
      </w:pPr>
      <w:r>
        <w:t>As</w:t>
      </w:r>
      <w:r w:rsidR="00613D55">
        <w:t xml:space="preserve"> multas geradas em processos de vistorias anteriores d</w:t>
      </w:r>
      <w:r>
        <w:t>evem</w:t>
      </w:r>
      <w:r w:rsidR="00613D55">
        <w:t xml:space="preserve"> ser pagas ao final do processo d</w:t>
      </w:r>
      <w:r>
        <w:t>a</w:t>
      </w:r>
      <w:r w:rsidR="00613D55">
        <w:t xml:space="preserve"> vistoria</w:t>
      </w:r>
      <w:r>
        <w:t xml:space="preserve"> técnica de regularização, o qual teve todas as </w:t>
      </w:r>
      <w:r w:rsidR="008640EE">
        <w:t>não conformidades</w:t>
      </w:r>
      <w:r>
        <w:t xml:space="preserve"> sanadas,</w:t>
      </w:r>
      <w:r w:rsidR="00613D55">
        <w:t xml:space="preserve"> </w:t>
      </w:r>
      <w:r>
        <w:t>para que seja emitido</w:t>
      </w:r>
      <w:r w:rsidR="00613D55">
        <w:t xml:space="preserve"> o AVCB do imóvel.</w:t>
      </w:r>
    </w:p>
    <w:p w:rsidR="004F674D" w:rsidRDefault="0056166E" w:rsidP="00D30756">
      <w:pPr>
        <w:pStyle w:val="Texto3N"/>
      </w:pPr>
      <w:r>
        <w:t xml:space="preserve">Uma vez concedida prorrogação de prazo para a correção de </w:t>
      </w:r>
      <w:r w:rsidR="008640EE">
        <w:t>não conformidades</w:t>
      </w:r>
      <w:r>
        <w:t xml:space="preserve">, as multas ficam suspensas </w:t>
      </w:r>
      <w:r w:rsidRPr="0056166E">
        <w:t>at</w:t>
      </w:r>
      <w:r>
        <w:t xml:space="preserve">é que seja solicitado o retorno de vistoria ou enquanto durar prazo concedido o que autoriza o CBMAL a realizar a vistoria </w:t>
      </w:r>
      <w:proofErr w:type="spellStart"/>
      <w:r w:rsidRPr="0056166E">
        <w:rPr>
          <w:i/>
        </w:rPr>
        <w:t>ex-officio</w:t>
      </w:r>
      <w:proofErr w:type="spellEnd"/>
      <w:r>
        <w:t>.</w:t>
      </w:r>
    </w:p>
    <w:p w:rsidR="0056166E" w:rsidRDefault="0056166E" w:rsidP="0056166E">
      <w:pPr>
        <w:pStyle w:val="Texto4N"/>
      </w:pPr>
      <w:r>
        <w:t xml:space="preserve">Sanadas as </w:t>
      </w:r>
      <w:r w:rsidR="008640EE">
        <w:t>não conformidades</w:t>
      </w:r>
      <w:r>
        <w:t xml:space="preserve"> é emitido o AVCB, sendo isentas as multas emitidas dentro do processo de vistoria técnica de regularização.</w:t>
      </w:r>
    </w:p>
    <w:p w:rsidR="00A20421" w:rsidRPr="00070494" w:rsidRDefault="00A20421" w:rsidP="00D30756">
      <w:pPr>
        <w:pStyle w:val="Texto3N"/>
      </w:pPr>
      <w:r w:rsidRPr="00070494">
        <w:t xml:space="preserve">O responsável pelo uso e/ou proprietário deve manter </w:t>
      </w:r>
      <w:r w:rsidR="00277A0E" w:rsidRPr="00277A0E">
        <w:t xml:space="preserve">cópia do AVCB vigente </w:t>
      </w:r>
      <w:r w:rsidR="00277A0E">
        <w:t>no estabelecimento em local de fácil visualização.</w:t>
      </w:r>
    </w:p>
    <w:p w:rsidR="00070494" w:rsidRPr="00070494" w:rsidRDefault="00070494" w:rsidP="00D00232">
      <w:pPr>
        <w:pStyle w:val="Ttulo2"/>
        <w:rPr>
          <w:lang w:eastAsia="pt-BR"/>
        </w:rPr>
      </w:pPr>
      <w:r w:rsidRPr="00070494">
        <w:rPr>
          <w:lang w:eastAsia="pt-BR"/>
        </w:rPr>
        <w:t>Prazos do AVCB</w:t>
      </w:r>
    </w:p>
    <w:p w:rsidR="008B4187" w:rsidRPr="00204D01" w:rsidRDefault="008B4187" w:rsidP="008B4187">
      <w:pPr>
        <w:pStyle w:val="Texto3N"/>
      </w:pPr>
      <w:r w:rsidRPr="00204D01">
        <w:t>Para C</w:t>
      </w:r>
      <w:r w:rsidR="00E61882" w:rsidRPr="00204D01">
        <w:t>onstruç</w:t>
      </w:r>
      <w:r w:rsidRPr="00204D01">
        <w:t>ões P</w:t>
      </w:r>
      <w:r w:rsidR="00E61882" w:rsidRPr="00204D01">
        <w:t>rovis</w:t>
      </w:r>
      <w:r w:rsidRPr="00204D01">
        <w:t>órias (F-7) o AVCB</w:t>
      </w:r>
      <w:r w:rsidR="00E61882" w:rsidRPr="00204D01">
        <w:t xml:space="preserve"> possui validade</w:t>
      </w:r>
      <w:r w:rsidRPr="00204D01">
        <w:t xml:space="preserve"> máxima</w:t>
      </w:r>
      <w:r w:rsidR="00E61882" w:rsidRPr="00204D01">
        <w:t xml:space="preserve"> </w:t>
      </w:r>
      <w:r w:rsidR="00823166" w:rsidRPr="00204D01">
        <w:t>de</w:t>
      </w:r>
      <w:r w:rsidRPr="00204D01">
        <w:t xml:space="preserve"> </w:t>
      </w:r>
      <w:r w:rsidR="00E61882" w:rsidRPr="00204D01">
        <w:t>06 (seis) meses</w:t>
      </w:r>
      <w:r w:rsidR="00823166" w:rsidRPr="00204D01">
        <w:t>, devendo ser fixada a data de início e término do evento na solicitação de vistoria técnica de regularização</w:t>
      </w:r>
      <w:r w:rsidRPr="00204D01">
        <w:t>.</w:t>
      </w:r>
    </w:p>
    <w:p w:rsidR="008B4187" w:rsidRDefault="008B4187" w:rsidP="00D30756">
      <w:pPr>
        <w:pStyle w:val="Texto3N"/>
      </w:pPr>
      <w:r>
        <w:t>Para as demais ocupações o</w:t>
      </w:r>
      <w:r w:rsidR="00070494" w:rsidRPr="00D00232">
        <w:t xml:space="preserve"> AVCB </w:t>
      </w:r>
      <w:r w:rsidR="00E61882">
        <w:t>possui</w:t>
      </w:r>
      <w:r w:rsidR="00070494" w:rsidRPr="00D00232">
        <w:t xml:space="preserve"> prazo de validade</w:t>
      </w:r>
      <w:r>
        <w:t xml:space="preserve"> inicial</w:t>
      </w:r>
      <w:r w:rsidR="00070494" w:rsidRPr="00D00232">
        <w:t xml:space="preserve"> </w:t>
      </w:r>
      <w:r>
        <w:rPr>
          <w:rFonts w:eastAsiaTheme="minorEastAsia"/>
        </w:rPr>
        <w:t>(</w:t>
      </w:r>
      <m:oMath>
        <m:sSub>
          <m:sSubPr>
            <m:ctrlPr>
              <w:rPr>
                <w:rFonts w:ascii="Cambria Math" w:hAnsi="Cambria Math"/>
                <w:b/>
                <w:i/>
              </w:rPr>
            </m:ctrlPr>
          </m:sSubPr>
          <m:e>
            <m:r>
              <w:rPr>
                <w:rFonts w:ascii="Cambria Math" w:hAnsi="Cambria Math"/>
              </w:rPr>
              <m:t>V</m:t>
            </m:r>
          </m:e>
          <m:sub>
            <m:r>
              <w:rPr>
                <w:rFonts w:ascii="Cambria Math" w:hAnsi="Cambria Math"/>
              </w:rPr>
              <m:t>0</m:t>
            </m:r>
          </m:sub>
        </m:sSub>
      </m:oMath>
      <w:r>
        <w:rPr>
          <w:rFonts w:eastAsiaTheme="minorEastAsia"/>
          <w:b/>
        </w:rPr>
        <w:t xml:space="preserve">) </w:t>
      </w:r>
      <w:r w:rsidR="00070494" w:rsidRPr="00D00232">
        <w:t xml:space="preserve">de </w:t>
      </w:r>
      <w:r w:rsidR="00E61882">
        <w:t>01 (um) ano</w:t>
      </w:r>
      <w:r>
        <w:t>.</w:t>
      </w:r>
    </w:p>
    <w:p w:rsidR="00F26635" w:rsidRDefault="00DB0444" w:rsidP="00D30756">
      <w:pPr>
        <w:pStyle w:val="Texto3N"/>
      </w:pPr>
      <w:r>
        <w:t>Para</w:t>
      </w:r>
      <w:r w:rsidR="00F26635">
        <w:t xml:space="preserve"> </w:t>
      </w:r>
      <w:r>
        <w:t>fomentar</w:t>
      </w:r>
      <w:r w:rsidRPr="00DB0444">
        <w:t xml:space="preserve"> o desenvolvimento </w:t>
      </w:r>
      <w:r w:rsidR="003560D9">
        <w:t>da</w:t>
      </w:r>
      <w:r w:rsidRPr="00DB0444">
        <w:t xml:space="preserve"> cultura prevencionista de segurança contra incêndio e emergências</w:t>
      </w:r>
      <w:r w:rsidR="00F26635">
        <w:t xml:space="preserve">, o tempo compreendido entre a data da regularização e </w:t>
      </w:r>
      <w:r>
        <w:t xml:space="preserve">a </w:t>
      </w:r>
      <w:r w:rsidR="00F26635">
        <w:t xml:space="preserve">data do tempo máximo para o encerramento do processo de vistoria técnica de regularização, é </w:t>
      </w:r>
      <w:r w:rsidR="001E6559">
        <w:t>contabilizado</w:t>
      </w:r>
      <w:r w:rsidR="00F26635">
        <w:t xml:space="preserve"> ao prazo de validade do AVCB</w:t>
      </w:r>
      <w:r w:rsidR="001E6559">
        <w:t xml:space="preserve">, </w:t>
      </w:r>
      <w:r w:rsidR="00E61882">
        <w:t>obedecendo a fórmula abaixo:</w:t>
      </w:r>
    </w:p>
    <w:p w:rsidR="00E61882" w:rsidRDefault="004B4212" w:rsidP="004B4212">
      <w:pPr>
        <w:pStyle w:val="Ttulo2"/>
        <w:numPr>
          <w:ilvl w:val="0"/>
          <w:numId w:val="0"/>
        </w:numPr>
        <w:ind w:left="426" w:hanging="426"/>
        <w:jc w:val="center"/>
        <w:rPr>
          <w:rFonts w:eastAsiaTheme="minorEastAsia"/>
        </w:rPr>
      </w:pPr>
      <m:oMathPara>
        <m:oMath>
          <m:r>
            <m:rPr>
              <m:sty m:val="bi"/>
            </m:rPr>
            <w:rPr>
              <w:rFonts w:ascii="Cambria Math" w:hAnsi="Cambria Math"/>
            </w:rPr>
            <m:t>Prazo de Validade final do AVCB=</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r</m:t>
              </m:r>
            </m:sub>
          </m:sSub>
        </m:oMath>
      </m:oMathPara>
    </w:p>
    <w:p w:rsidR="004B4212" w:rsidRPr="004B4212" w:rsidRDefault="00D16017" w:rsidP="004B4212">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m:t>
              </m:r>
            </m:sub>
          </m:sSub>
          <m:r>
            <m:rPr>
              <m:sty m:val="bi"/>
            </m:rPr>
            <w:rPr>
              <w:rFonts w:ascii="Cambria Math"/>
            </w:rPr>
            <m:t>=</m:t>
          </m:r>
          <m:sSub>
            <m:sSubPr>
              <m:ctrlPr>
                <w:rPr>
                  <w:rFonts w:ascii="Cambria Math" w:hAnsi="Cambria Math"/>
                  <w:b/>
                  <w:i/>
                </w:rPr>
              </m:ctrlPr>
            </m:sSubPr>
            <m:e>
              <m:r>
                <m:rPr>
                  <m:sty m:val="bi"/>
                </m:rPr>
                <w:rPr>
                  <w:rFonts w:ascii="Cambria Math"/>
                </w:rPr>
                <m:t>D</m:t>
              </m:r>
            </m:e>
            <m:sub>
              <m:r>
                <m:rPr>
                  <m:sty m:val="bi"/>
                </m:rPr>
                <w:rPr>
                  <w:rFonts w:ascii="Cambria Math"/>
                </w:rPr>
                <m:t>t.m</m:t>
              </m:r>
              <m:r>
                <m:rPr>
                  <m:sty m:val="bi"/>
                </m:rPr>
                <w:rPr>
                  <w:rFonts w:ascii="Cambria Math"/>
                </w:rPr>
                <m:t>á</m:t>
              </m:r>
              <m:r>
                <m:rPr>
                  <m:sty m:val="bi"/>
                </m:rPr>
                <w:rPr>
                  <w:rFonts w:ascii="Cambria Math"/>
                </w:rPr>
                <m:t>x</m:t>
              </m:r>
            </m:sub>
          </m:sSub>
          <m:r>
            <m:rPr>
              <m:sty m:val="bi"/>
            </m:rPr>
            <w:rPr>
              <w:rFonts w:asci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m:oMathPara>
    </w:p>
    <w:p w:rsidR="004B4212" w:rsidRDefault="004B4212" w:rsidP="004B4212">
      <w:r>
        <w:t>Onde:</w:t>
      </w:r>
    </w:p>
    <w:p w:rsidR="004B4212" w:rsidRPr="004B4212" w:rsidRDefault="00D16017" w:rsidP="004B4212">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oMath>
      <w:r w:rsidR="004B4212">
        <w:rPr>
          <w:rFonts w:eastAsiaTheme="minorEastAsia"/>
        </w:rPr>
        <w:t xml:space="preserve"> é </w:t>
      </w:r>
      <w:r w:rsidR="008B4187">
        <w:rPr>
          <w:rFonts w:eastAsiaTheme="minorEastAsia"/>
        </w:rPr>
        <w:t xml:space="preserve">o prazo de </w:t>
      </w:r>
      <w:r w:rsidR="004B4212">
        <w:rPr>
          <w:rFonts w:eastAsiaTheme="minorEastAsia"/>
        </w:rPr>
        <w:t>validade</w:t>
      </w:r>
      <w:r w:rsidR="008B4187">
        <w:rPr>
          <w:rFonts w:eastAsiaTheme="minorEastAsia"/>
        </w:rPr>
        <w:t xml:space="preserve"> inicial</w:t>
      </w:r>
      <w:r w:rsidR="004B4212">
        <w:rPr>
          <w:rFonts w:eastAsiaTheme="minorEastAsia"/>
        </w:rPr>
        <w:t xml:space="preserve"> </w:t>
      </w:r>
      <w:r w:rsidR="008B4187">
        <w:rPr>
          <w:rFonts w:eastAsiaTheme="minorEastAsia"/>
        </w:rPr>
        <w:t>do AVCB (01 ano)</w:t>
      </w:r>
      <w:r w:rsidR="004B4212">
        <w:rPr>
          <w:rFonts w:eastAsiaTheme="minorEastAsia"/>
        </w:rPr>
        <w:t>;</w:t>
      </w:r>
    </w:p>
    <w:p w:rsidR="004B4212" w:rsidRDefault="00D16017" w:rsidP="004B4212">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r</m:t>
            </m:r>
          </m:sub>
        </m:sSub>
      </m:oMath>
      <w:r w:rsidR="004B4212">
        <w:rPr>
          <w:rFonts w:eastAsiaTheme="minorEastAsia"/>
          <w:b/>
        </w:rPr>
        <w:t xml:space="preserve"> </w:t>
      </w:r>
      <w:r w:rsidR="004B4212">
        <w:rPr>
          <w:rFonts w:eastAsiaTheme="minorEastAsia"/>
        </w:rPr>
        <w:t xml:space="preserve">é o tempo compreendido entre </w:t>
      </w:r>
      <w:r w:rsidR="004B4212" w:rsidRPr="004B4212">
        <w:rPr>
          <w:rFonts w:eastAsiaTheme="minorEastAsia"/>
        </w:rPr>
        <w:t>a data da regularização e a data do tempo máximo para o encerramento do processo de vistoria técnica de regularização</w:t>
      </w:r>
      <w:r w:rsidR="004B4212">
        <w:rPr>
          <w:rFonts w:eastAsiaTheme="minorEastAsia"/>
        </w:rPr>
        <w:t>.</w:t>
      </w:r>
    </w:p>
    <w:p w:rsidR="004B4212" w:rsidRPr="004B4212" w:rsidRDefault="00D16017" w:rsidP="004B4212">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t.máx</m:t>
            </m:r>
          </m:sub>
        </m:sSub>
      </m:oMath>
      <w:r w:rsidR="008B4187">
        <w:rPr>
          <w:rFonts w:eastAsiaTheme="minorEastAsia"/>
          <w:b/>
        </w:rPr>
        <w:t xml:space="preserve"> </w:t>
      </w:r>
      <w:r w:rsidR="004B4212">
        <w:rPr>
          <w:rFonts w:eastAsiaTheme="minorEastAsia"/>
        </w:rPr>
        <w:t>é a data prevista do tempo máximo (01 ano) para o encerramento do processo, contada a partir da primeira vistoria técnica de regularização.</w:t>
      </w:r>
    </w:p>
    <w:p w:rsidR="004B4212" w:rsidRDefault="00D16017" w:rsidP="004B4212">
      <w:p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r</m:t>
            </m:r>
          </m:sub>
        </m:sSub>
      </m:oMath>
      <w:r w:rsidR="004B4212">
        <w:rPr>
          <w:rFonts w:eastAsiaTheme="minorEastAsia"/>
          <w:b/>
        </w:rPr>
        <w:t xml:space="preserve"> </w:t>
      </w:r>
      <w:r w:rsidR="004B4212">
        <w:rPr>
          <w:rFonts w:eastAsiaTheme="minorEastAsia"/>
        </w:rPr>
        <w:t>é a data da aprovação da vistoria técnica de regularização.</w:t>
      </w:r>
    </w:p>
    <w:p w:rsidR="008B4187" w:rsidRDefault="008B4187" w:rsidP="004B4212">
      <w:pPr>
        <w:rPr>
          <w:rFonts w:eastAsiaTheme="minorEastAsia"/>
        </w:rPr>
      </w:pPr>
    </w:p>
    <w:p w:rsidR="007638DE" w:rsidRDefault="007638DE" w:rsidP="004B4212">
      <w:pPr>
        <w:rPr>
          <w:rFonts w:eastAsiaTheme="minorEastAsia"/>
        </w:rPr>
      </w:pPr>
      <w:r>
        <w:rPr>
          <w:rFonts w:eastAsiaTheme="minorEastAsia"/>
        </w:rPr>
        <w:t>Exemplo:</w:t>
      </w:r>
    </w:p>
    <w:p w:rsidR="007638DE" w:rsidRPr="00213C06" w:rsidRDefault="007638DE" w:rsidP="004B4212">
      <w:pPr>
        <w:rPr>
          <w:rFonts w:eastAsiaTheme="minorEastAsia"/>
          <w:sz w:val="18"/>
        </w:rPr>
      </w:pPr>
      <w:r w:rsidRPr="00213C06">
        <w:rPr>
          <w:rFonts w:eastAsiaTheme="minorEastAsia"/>
          <w:sz w:val="18"/>
        </w:rPr>
        <w:t xml:space="preserve">Primeira vistoria realizada no dia 01/01/2020 (edificação notificada) =&gt; </w:t>
      </w:r>
      <m:oMath>
        <m:sSub>
          <m:sSubPr>
            <m:ctrlPr>
              <w:rPr>
                <w:rFonts w:ascii="Cambria Math" w:eastAsiaTheme="minorEastAsia" w:hAnsi="Cambria Math"/>
                <w:b/>
                <w:i/>
                <w:sz w:val="18"/>
              </w:rPr>
            </m:ctrlPr>
          </m:sSubPr>
          <m:e>
            <m:r>
              <m:rPr>
                <m:sty m:val="bi"/>
              </m:rPr>
              <w:rPr>
                <w:rFonts w:ascii="Cambria Math" w:eastAsiaTheme="minorEastAsia" w:hAnsi="Cambria Math"/>
                <w:sz w:val="18"/>
              </w:rPr>
              <m:t>D</m:t>
            </m:r>
          </m:e>
          <m:sub>
            <m:r>
              <m:rPr>
                <m:sty m:val="bi"/>
              </m:rPr>
              <w:rPr>
                <w:rFonts w:ascii="Cambria Math" w:eastAsiaTheme="minorEastAsia" w:hAnsi="Cambria Math"/>
                <w:sz w:val="18"/>
              </w:rPr>
              <m:t>t.máx</m:t>
            </m:r>
          </m:sub>
        </m:sSub>
      </m:oMath>
      <w:r w:rsidRPr="00213C06">
        <w:rPr>
          <w:rFonts w:eastAsiaTheme="minorEastAsia"/>
          <w:b/>
          <w:sz w:val="18"/>
        </w:rPr>
        <w:t xml:space="preserve"> </w:t>
      </w:r>
      <w:r w:rsidRPr="00213C06">
        <w:rPr>
          <w:rFonts w:eastAsiaTheme="minorEastAsia"/>
          <w:sz w:val="18"/>
        </w:rPr>
        <w:t>= 01/01/2021</w:t>
      </w:r>
    </w:p>
    <w:p w:rsidR="007638DE" w:rsidRPr="00213C06" w:rsidRDefault="007638DE" w:rsidP="004B4212">
      <w:pPr>
        <w:rPr>
          <w:rFonts w:eastAsiaTheme="minorEastAsia"/>
          <w:sz w:val="18"/>
        </w:rPr>
      </w:pPr>
      <w:r w:rsidRPr="00213C06">
        <w:rPr>
          <w:rFonts w:eastAsiaTheme="minorEastAsia"/>
          <w:sz w:val="18"/>
        </w:rPr>
        <w:t xml:space="preserve">Retorno de vistoria no dia 01/04/2020 (edificação aprovada) =&gt; </w:t>
      </w:r>
      <m:oMath>
        <m:sSub>
          <m:sSubPr>
            <m:ctrlPr>
              <w:rPr>
                <w:rFonts w:ascii="Cambria Math" w:eastAsiaTheme="minorEastAsia" w:hAnsi="Cambria Math"/>
                <w:b/>
                <w:i/>
                <w:sz w:val="18"/>
              </w:rPr>
            </m:ctrlPr>
          </m:sSubPr>
          <m:e>
            <m:r>
              <m:rPr>
                <m:sty m:val="bi"/>
              </m:rPr>
              <w:rPr>
                <w:rFonts w:ascii="Cambria Math" w:eastAsiaTheme="minorEastAsia" w:hAnsi="Cambria Math"/>
                <w:sz w:val="18"/>
              </w:rPr>
              <m:t>D</m:t>
            </m:r>
          </m:e>
          <m:sub>
            <m:r>
              <m:rPr>
                <m:sty m:val="bi"/>
              </m:rPr>
              <w:rPr>
                <w:rFonts w:ascii="Cambria Math" w:eastAsiaTheme="minorEastAsia" w:hAnsi="Cambria Math"/>
                <w:sz w:val="18"/>
              </w:rPr>
              <m:t>r</m:t>
            </m:r>
          </m:sub>
        </m:sSub>
      </m:oMath>
      <w:r w:rsidRPr="00213C06">
        <w:rPr>
          <w:rFonts w:eastAsiaTheme="minorEastAsia"/>
          <w:b/>
          <w:sz w:val="18"/>
        </w:rPr>
        <w:t xml:space="preserve"> </w:t>
      </w:r>
      <w:r w:rsidRPr="00213C06">
        <w:rPr>
          <w:rFonts w:eastAsiaTheme="minorEastAsia"/>
          <w:sz w:val="18"/>
        </w:rPr>
        <w:t>= 01/04/2020</w:t>
      </w:r>
    </w:p>
    <w:p w:rsidR="007638DE" w:rsidRPr="00213C06" w:rsidRDefault="00D16017" w:rsidP="007638DE">
      <w:pPr>
        <w:jc w:val="center"/>
        <w:rPr>
          <w:rFonts w:eastAsiaTheme="minorEastAsia"/>
          <w:b/>
          <w:sz w:val="18"/>
        </w:rPr>
      </w:pPr>
      <m:oMath>
        <m:sSub>
          <m:sSubPr>
            <m:ctrlPr>
              <w:rPr>
                <w:rFonts w:ascii="Cambria Math" w:eastAsiaTheme="minorEastAsia" w:hAnsi="Cambria Math"/>
                <w:b/>
                <w:i/>
                <w:sz w:val="18"/>
              </w:rPr>
            </m:ctrlPr>
          </m:sSubPr>
          <m:e>
            <m:r>
              <m:rPr>
                <m:sty m:val="bi"/>
              </m:rPr>
              <w:rPr>
                <w:rFonts w:ascii="Cambria Math" w:eastAsiaTheme="minorEastAsia" w:hAnsi="Cambria Math"/>
                <w:sz w:val="18"/>
              </w:rPr>
              <m:t>T</m:t>
            </m:r>
          </m:e>
          <m:sub>
            <m:r>
              <m:rPr>
                <m:sty m:val="bi"/>
              </m:rPr>
              <w:rPr>
                <w:rFonts w:ascii="Cambria Math" w:eastAsiaTheme="minorEastAsia" w:hAnsi="Cambria Math"/>
                <w:sz w:val="18"/>
              </w:rPr>
              <m:t>r</m:t>
            </m:r>
          </m:sub>
        </m:sSub>
        <m:r>
          <m:rPr>
            <m:sty m:val="bi"/>
          </m:rPr>
          <w:rPr>
            <w:rFonts w:ascii="Cambria Math" w:eastAsiaTheme="minorEastAsia"/>
            <w:sz w:val="18"/>
          </w:rPr>
          <m:t xml:space="preserve">= </m:t>
        </m:r>
      </m:oMath>
      <w:r w:rsidR="007638DE" w:rsidRPr="00213C06">
        <w:rPr>
          <w:rFonts w:eastAsiaTheme="minorEastAsia"/>
          <w:b/>
          <w:sz w:val="18"/>
        </w:rPr>
        <w:t>9 meses</w:t>
      </w:r>
    </w:p>
    <w:p w:rsidR="007638DE" w:rsidRPr="00213C06" w:rsidRDefault="007638DE" w:rsidP="007638DE">
      <w:pPr>
        <w:jc w:val="center"/>
        <w:rPr>
          <w:rFonts w:eastAsiaTheme="minorEastAsia"/>
          <w:b/>
          <w:sz w:val="18"/>
        </w:rPr>
      </w:pPr>
      <m:oMathPara>
        <m:oMath>
          <m:r>
            <m:rPr>
              <m:sty m:val="bi"/>
            </m:rPr>
            <w:rPr>
              <w:rFonts w:ascii="Cambria Math" w:eastAsiaTheme="minorEastAsia" w:hAnsi="Cambria Math"/>
              <w:sz w:val="18"/>
            </w:rPr>
            <m:t>Prazo de Validade final do AVCB=1 ano e 9 meses</m:t>
          </m:r>
        </m:oMath>
      </m:oMathPara>
    </w:p>
    <w:p w:rsidR="00070494" w:rsidRPr="00070494" w:rsidRDefault="00277A0E" w:rsidP="00224559">
      <w:pPr>
        <w:pStyle w:val="Ttulo2"/>
        <w:rPr>
          <w:lang w:eastAsia="pt-BR"/>
        </w:rPr>
      </w:pPr>
      <w:r>
        <w:rPr>
          <w:lang w:eastAsia="pt-BR"/>
        </w:rPr>
        <w:lastRenderedPageBreak/>
        <w:t>R</w:t>
      </w:r>
      <w:r w:rsidR="00070494" w:rsidRPr="00070494">
        <w:rPr>
          <w:lang w:eastAsia="pt-BR"/>
        </w:rPr>
        <w:t>etificação de AVCB ou do ASCB</w:t>
      </w:r>
    </w:p>
    <w:p w:rsidR="00070494" w:rsidRPr="00070494" w:rsidRDefault="00070494" w:rsidP="00D30756">
      <w:pPr>
        <w:pStyle w:val="Texto3N"/>
      </w:pPr>
      <w:r w:rsidRPr="00070494">
        <w:t xml:space="preserve">A licença emitida pelo CBMAL pode ser </w:t>
      </w:r>
      <w:r w:rsidR="00277A0E">
        <w:t>retificada</w:t>
      </w:r>
      <w:r w:rsidRPr="00070494">
        <w:t>, quando for</w:t>
      </w:r>
      <w:r w:rsidR="00277A0E">
        <w:t>em</w:t>
      </w:r>
      <w:r w:rsidRPr="00070494">
        <w:t xml:space="preserve"> identificado</w:t>
      </w:r>
      <w:r w:rsidR="00277A0E">
        <w:t>s</w:t>
      </w:r>
      <w:r w:rsidRPr="00070494">
        <w:t xml:space="preserve"> não conformidades ou erros nos dados constitutivos das licenças.</w:t>
      </w:r>
    </w:p>
    <w:p w:rsidR="00070494" w:rsidRPr="00070494" w:rsidRDefault="00070494" w:rsidP="00D30756">
      <w:pPr>
        <w:pStyle w:val="Texto3N"/>
      </w:pPr>
      <w:r w:rsidRPr="00070494">
        <w:t>O pedido de retificação de dados deverá ser realizado no sistema SAPS por meio de F</w:t>
      </w:r>
      <w:r w:rsidR="00224559">
        <w:t xml:space="preserve">ormulário de </w:t>
      </w:r>
      <w:r w:rsidRPr="00070494">
        <w:t>A</w:t>
      </w:r>
      <w:r w:rsidR="00224559">
        <w:t xml:space="preserve">tendimento </w:t>
      </w:r>
      <w:r w:rsidRPr="00070494">
        <w:t>T</w:t>
      </w:r>
      <w:r w:rsidR="00224559">
        <w:t>écnico (FAT)</w:t>
      </w:r>
      <w:r w:rsidRPr="00070494">
        <w:t>.</w:t>
      </w:r>
    </w:p>
    <w:p w:rsidR="00070494" w:rsidRPr="00070494" w:rsidRDefault="007873BE" w:rsidP="007873BE">
      <w:pPr>
        <w:pStyle w:val="Ttulo1"/>
        <w:rPr>
          <w:lang w:eastAsia="pt-BR"/>
        </w:rPr>
      </w:pPr>
      <w:r>
        <w:rPr>
          <w:lang w:eastAsia="pt-BR"/>
        </w:rPr>
        <w:t>VISTORIA TÉCNICA DE</w:t>
      </w:r>
      <w:r w:rsidR="00F22714">
        <w:rPr>
          <w:lang w:eastAsia="pt-BR"/>
        </w:rPr>
        <w:t xml:space="preserve"> FISCALIZAÇÃO</w:t>
      </w:r>
    </w:p>
    <w:p w:rsidR="00B6491C" w:rsidRDefault="00B6491C" w:rsidP="00B6491C">
      <w:pPr>
        <w:pStyle w:val="Ttulo2"/>
        <w:rPr>
          <w:lang w:eastAsia="pt-BR"/>
        </w:rPr>
      </w:pPr>
      <w:r>
        <w:rPr>
          <w:lang w:eastAsia="pt-BR"/>
        </w:rPr>
        <w:t>Disposições gerais</w:t>
      </w:r>
    </w:p>
    <w:p w:rsidR="00070494" w:rsidRPr="00070494" w:rsidRDefault="00CF3FA2" w:rsidP="00D30756">
      <w:pPr>
        <w:pStyle w:val="Texto3N"/>
      </w:pPr>
      <w:r w:rsidRPr="00CF3FA2">
        <w:t xml:space="preserve">A </w:t>
      </w:r>
      <w:r>
        <w:t xml:space="preserve">vistoria técnica de </w:t>
      </w:r>
      <w:r w:rsidRPr="00CF3FA2">
        <w:t>fiscalização é</w:t>
      </w:r>
      <w:r w:rsidR="003F0338">
        <w:t xml:space="preserve"> o ato de</w:t>
      </w:r>
      <w:r w:rsidRPr="00CF3FA2">
        <w:t xml:space="preserve"> verificação</w:t>
      </w:r>
      <w:r w:rsidR="00FB01F2">
        <w:t xml:space="preserve"> do uso ou ocupação do imóvel, bem como</w:t>
      </w:r>
      <w:r w:rsidRPr="00CF3FA2">
        <w:t xml:space="preserve"> </w:t>
      </w:r>
      <w:r>
        <w:t>das licenças expedidas pelo CBM</w:t>
      </w:r>
      <w:r w:rsidRPr="00CF3FA2">
        <w:t>AL</w:t>
      </w:r>
      <w:r w:rsidR="003F0338">
        <w:t xml:space="preserve"> a fim de iniciar o processo de regularização</w:t>
      </w:r>
      <w:r w:rsidRPr="00CF3FA2">
        <w:t>, podendo ser realizada mediante</w:t>
      </w:r>
      <w:r w:rsidR="00F22714">
        <w:t>:</w:t>
      </w:r>
    </w:p>
    <w:p w:rsidR="003F0338" w:rsidRPr="00630EBC" w:rsidRDefault="003F0338" w:rsidP="00204D01">
      <w:pPr>
        <w:pStyle w:val="PargrafodaLista"/>
        <w:numPr>
          <w:ilvl w:val="4"/>
          <w:numId w:val="5"/>
        </w:numPr>
        <w:spacing w:line="276" w:lineRule="auto"/>
        <w:ind w:left="426" w:firstLine="0"/>
        <w:rPr>
          <w:lang w:eastAsia="pt-BR"/>
        </w:rPr>
      </w:pPr>
      <w:r>
        <w:rPr>
          <w:b/>
          <w:lang w:eastAsia="pt-BR"/>
        </w:rPr>
        <w:t>I</w:t>
      </w:r>
      <w:r w:rsidRPr="00630EBC">
        <w:rPr>
          <w:b/>
          <w:lang w:eastAsia="pt-BR"/>
        </w:rPr>
        <w:t>niciativa</w:t>
      </w:r>
      <w:r w:rsidR="004675F3">
        <w:rPr>
          <w:b/>
          <w:lang w:eastAsia="pt-BR"/>
        </w:rPr>
        <w:t xml:space="preserve"> –</w:t>
      </w:r>
      <w:r w:rsidRPr="00630EBC">
        <w:rPr>
          <w:b/>
          <w:lang w:eastAsia="pt-BR"/>
        </w:rPr>
        <w:t xml:space="preserve"> </w:t>
      </w:r>
      <w:r w:rsidRPr="00070494">
        <w:rPr>
          <w:lang w:eastAsia="pt-BR"/>
        </w:rPr>
        <w:t xml:space="preserve">são aquelas </w:t>
      </w:r>
      <w:r w:rsidRPr="003F0338">
        <w:rPr>
          <w:lang w:eastAsia="pt-BR"/>
        </w:rPr>
        <w:t>para atender a operaçõe</w:t>
      </w:r>
      <w:r>
        <w:rPr>
          <w:lang w:eastAsia="pt-BR"/>
        </w:rPr>
        <w:t>s sazonais e áreas de interesse do Corpo de Bombeiros Militar;</w:t>
      </w:r>
    </w:p>
    <w:p w:rsidR="00630EBC" w:rsidRDefault="003F0338" w:rsidP="00204D01">
      <w:pPr>
        <w:pStyle w:val="PargrafodaLista"/>
        <w:numPr>
          <w:ilvl w:val="4"/>
          <w:numId w:val="5"/>
        </w:numPr>
        <w:spacing w:line="276" w:lineRule="auto"/>
        <w:ind w:left="426" w:firstLine="0"/>
        <w:rPr>
          <w:lang w:eastAsia="pt-BR"/>
        </w:rPr>
      </w:pPr>
      <w:r w:rsidRPr="00630EBC">
        <w:rPr>
          <w:b/>
          <w:lang w:eastAsia="pt-BR"/>
        </w:rPr>
        <w:t>D</w:t>
      </w:r>
      <w:r w:rsidR="00070494" w:rsidRPr="00630EBC">
        <w:rPr>
          <w:b/>
          <w:lang w:eastAsia="pt-BR"/>
        </w:rPr>
        <w:t>enúncia</w:t>
      </w:r>
      <w:r w:rsidR="004675F3">
        <w:rPr>
          <w:b/>
          <w:lang w:eastAsia="pt-BR"/>
        </w:rPr>
        <w:t xml:space="preserve"> –</w:t>
      </w:r>
      <w:r>
        <w:rPr>
          <w:b/>
          <w:lang w:eastAsia="pt-BR"/>
        </w:rPr>
        <w:t xml:space="preserve"> </w:t>
      </w:r>
      <w:r w:rsidR="00070494" w:rsidRPr="00CF3FA2">
        <w:rPr>
          <w:lang w:eastAsia="pt-BR"/>
        </w:rPr>
        <w:t>são aquelas requeridas</w:t>
      </w:r>
      <w:r w:rsidR="00515CC4">
        <w:rPr>
          <w:lang w:eastAsia="pt-BR"/>
        </w:rPr>
        <w:t xml:space="preserve"> por falta de</w:t>
      </w:r>
      <w:r w:rsidR="00070494" w:rsidRPr="00070494">
        <w:rPr>
          <w:lang w:eastAsia="pt-BR"/>
        </w:rPr>
        <w:t xml:space="preserve"> condições de seguranç</w:t>
      </w:r>
      <w:r w:rsidR="00630EBC">
        <w:rPr>
          <w:lang w:eastAsia="pt-BR"/>
        </w:rPr>
        <w:t>a contra incêndio e emergência</w:t>
      </w:r>
      <w:r w:rsidR="00515CC4">
        <w:rPr>
          <w:lang w:eastAsia="pt-BR"/>
        </w:rPr>
        <w:t>s</w:t>
      </w:r>
      <w:r w:rsidR="00C24DE1">
        <w:rPr>
          <w:lang w:eastAsia="pt-BR"/>
        </w:rPr>
        <w:t>;</w:t>
      </w:r>
    </w:p>
    <w:p w:rsidR="00070494" w:rsidRPr="00070494" w:rsidRDefault="003F0338" w:rsidP="00204D01">
      <w:pPr>
        <w:pStyle w:val="PargrafodaLista"/>
        <w:numPr>
          <w:ilvl w:val="4"/>
          <w:numId w:val="5"/>
        </w:numPr>
        <w:spacing w:line="276" w:lineRule="auto"/>
        <w:ind w:left="426" w:firstLine="0"/>
        <w:rPr>
          <w:lang w:eastAsia="pt-BR"/>
        </w:rPr>
      </w:pPr>
      <w:r>
        <w:rPr>
          <w:b/>
          <w:lang w:eastAsia="pt-BR"/>
        </w:rPr>
        <w:t>M</w:t>
      </w:r>
      <w:r w:rsidR="00070494" w:rsidRPr="00630EBC">
        <w:rPr>
          <w:b/>
          <w:lang w:eastAsia="pt-BR"/>
        </w:rPr>
        <w:t>otiva</w:t>
      </w:r>
      <w:r w:rsidR="00515CC4">
        <w:rPr>
          <w:b/>
          <w:lang w:eastAsia="pt-BR"/>
        </w:rPr>
        <w:t>ção</w:t>
      </w:r>
      <w:r w:rsidR="00070494" w:rsidRPr="00070494">
        <w:rPr>
          <w:lang w:eastAsia="pt-BR"/>
        </w:rPr>
        <w:t xml:space="preserve"> </w:t>
      </w:r>
      <w:r w:rsidR="00515CC4">
        <w:rPr>
          <w:lang w:eastAsia="pt-BR"/>
        </w:rPr>
        <w:t>– são aquelas requeridas</w:t>
      </w:r>
      <w:r>
        <w:rPr>
          <w:lang w:eastAsia="pt-BR"/>
        </w:rPr>
        <w:t xml:space="preserve"> </w:t>
      </w:r>
      <w:r w:rsidR="00070494" w:rsidRPr="00070494">
        <w:rPr>
          <w:lang w:eastAsia="pt-BR"/>
        </w:rPr>
        <w:t xml:space="preserve">por </w:t>
      </w:r>
      <w:r w:rsidR="00515CC4">
        <w:rPr>
          <w:lang w:eastAsia="pt-BR"/>
        </w:rPr>
        <w:t>autoridades que compõe órgãos da administração pública.</w:t>
      </w:r>
    </w:p>
    <w:p w:rsidR="00515CC4" w:rsidRDefault="00515CC4" w:rsidP="00D30756">
      <w:pPr>
        <w:pStyle w:val="Texto3N"/>
      </w:pPr>
      <w:r>
        <w:t xml:space="preserve">Na vistoria técnica de fiscalização o CBMAL possui </w:t>
      </w:r>
      <w:r w:rsidRPr="00515CC4">
        <w:t>a prerrogativa de adentrar ao local, obter relatórios ou informações verbais sobre a edificação, estrutura, processos, equipamentos, materiais e sobre o gerenciamento da segurança contra incêndio e emergências.</w:t>
      </w:r>
    </w:p>
    <w:p w:rsidR="009D101C" w:rsidRDefault="009D101C" w:rsidP="00D30756">
      <w:pPr>
        <w:pStyle w:val="Texto3N"/>
      </w:pPr>
      <w:r>
        <w:t>A vistoria técnica de fiscalização para fins de verificação das licenças expedidas pelo CBMAL pode ser realizada mediante consulta na base de dados do SAPS e demais sistemas integrados.</w:t>
      </w:r>
    </w:p>
    <w:p w:rsidR="00644A6B" w:rsidRDefault="00680C44" w:rsidP="00D30756">
      <w:pPr>
        <w:pStyle w:val="Texto3N"/>
      </w:pPr>
      <w:r>
        <w:t xml:space="preserve">Não cabe a aplicação de vistoria técnica de fiscalização para emissão de </w:t>
      </w:r>
      <w:r w:rsidR="00C24DE1">
        <w:t xml:space="preserve">licença, devendo obrigatoriamente para esta finalidade ser solicitada </w:t>
      </w:r>
      <w:r>
        <w:t>a vistoria técnica de regularizaçã</w:t>
      </w:r>
      <w:r w:rsidR="00C24DE1">
        <w:t>o.</w:t>
      </w:r>
    </w:p>
    <w:p w:rsidR="00630EBC" w:rsidRDefault="00C24DE1" w:rsidP="00C24DE1">
      <w:pPr>
        <w:pStyle w:val="Ttulo2"/>
      </w:pPr>
      <w:r>
        <w:t>Procedimentos</w:t>
      </w:r>
    </w:p>
    <w:p w:rsidR="005C252F" w:rsidRDefault="005C252F" w:rsidP="00D30756">
      <w:pPr>
        <w:pStyle w:val="Texto3N"/>
      </w:pPr>
      <w:r>
        <w:t>A vistoria técnica de fiscalização deve ser acompanhada pelo proprietário ou responsável pelo uso do imóvel, devendo, na ausência destes, ser pelo funcionário de maior hierarquia funcional presente.</w:t>
      </w:r>
    </w:p>
    <w:p w:rsidR="005C252F" w:rsidRDefault="00C24DE1" w:rsidP="00D30756">
      <w:pPr>
        <w:pStyle w:val="Texto3N"/>
      </w:pPr>
      <w:r>
        <w:t>Na</w:t>
      </w:r>
      <w:r w:rsidR="005C252F">
        <w:t xml:space="preserve"> constatação de </w:t>
      </w:r>
      <w:r w:rsidR="008640EE">
        <w:t>não conformidades</w:t>
      </w:r>
      <w:r w:rsidR="005C252F">
        <w:t xml:space="preserve"> em </w:t>
      </w:r>
      <w:r>
        <w:t>vistoria técnica de fiscalização</w:t>
      </w:r>
      <w:r w:rsidR="005C252F">
        <w:t xml:space="preserve"> </w:t>
      </w:r>
      <w:r w:rsidR="005C252F" w:rsidRPr="005C252F">
        <w:t>é expedida advertência escrita, materializada na primeira notificação, elencando todas as não conformidades encontradas sendo entregue uma via ao responsável pelo acompanhamento da vistoria.</w:t>
      </w:r>
    </w:p>
    <w:p w:rsidR="005C252F" w:rsidRDefault="00105E70" w:rsidP="00105E70">
      <w:pPr>
        <w:pStyle w:val="Texto4N"/>
      </w:pPr>
      <w:r w:rsidRPr="00105E70">
        <w:t>Caso haja recusa</w:t>
      </w:r>
      <w:r>
        <w:t xml:space="preserve"> do recebimento da notificação</w:t>
      </w:r>
      <w:r w:rsidRPr="00105E70">
        <w:t>,</w:t>
      </w:r>
      <w:r>
        <w:t xml:space="preserve"> esta é considerada entregue, desde que</w:t>
      </w:r>
      <w:r w:rsidRPr="00105E70">
        <w:t xml:space="preserve"> o militar do CBMAL </w:t>
      </w:r>
      <w:r>
        <w:t>certifique</w:t>
      </w:r>
      <w:r w:rsidRPr="00105E70">
        <w:t xml:space="preserve"> esta ocorrência nas vias da notificação,</w:t>
      </w:r>
      <w:r>
        <w:t xml:space="preserve"> tomar</w:t>
      </w:r>
      <w:r w:rsidRPr="00105E70">
        <w:t xml:space="preserve"> assinatura de 02 (duas) testemunhas.</w:t>
      </w:r>
    </w:p>
    <w:p w:rsidR="00105E70" w:rsidRPr="00105E70" w:rsidRDefault="00AF6310" w:rsidP="00105E70">
      <w:pPr>
        <w:pStyle w:val="Texto4N"/>
      </w:pPr>
      <w:r>
        <w:t>Na impossibilidade da entrega nos mo</w:t>
      </w:r>
      <w:r w:rsidR="007224AD">
        <w:t>ldes do item anterior</w:t>
      </w:r>
      <w:r>
        <w:t xml:space="preserve">, a notificação é considerada entregue após </w:t>
      </w:r>
      <w:r w:rsidR="009509FB">
        <w:t xml:space="preserve">05 (cinco) dias de </w:t>
      </w:r>
      <w:r>
        <w:t xml:space="preserve">sua publicação </w:t>
      </w:r>
      <w:r w:rsidR="009509FB">
        <w:t>em Diário Oficial do Estado</w:t>
      </w:r>
      <w:r w:rsidR="007224AD">
        <w:t>.</w:t>
      </w:r>
    </w:p>
    <w:p w:rsidR="0024678A" w:rsidRDefault="0024678A" w:rsidP="00D30756">
      <w:pPr>
        <w:pStyle w:val="Texto3N"/>
      </w:pPr>
      <w:r>
        <w:t>No caso de vistoria técnica de fiscalizaç</w:t>
      </w:r>
      <w:r w:rsidR="003F5DC6">
        <w:t xml:space="preserve">ão em imóvel que esteja fechado, a notificação é emitida por </w:t>
      </w:r>
      <w:r w:rsidR="003F5DC6" w:rsidRPr="003F5DC6">
        <w:t>edital publicado em Diário Oficial do Estado ou algum veículo de mídia de grande circulação</w:t>
      </w:r>
      <w:r w:rsidR="003F5DC6">
        <w:t>.</w:t>
      </w:r>
    </w:p>
    <w:p w:rsidR="003F5DC6" w:rsidRDefault="003F5DC6" w:rsidP="003F5DC6">
      <w:pPr>
        <w:pStyle w:val="Texto4N"/>
      </w:pPr>
      <w:r w:rsidRPr="003F5DC6">
        <w:t>O edital deve ser publicado por 03 (três) vezes no Diário Oficial do Estado, considerando efetivada a notificação 05 (cinco) dias após a última publicação.</w:t>
      </w:r>
    </w:p>
    <w:p w:rsidR="0024678A" w:rsidRDefault="0024678A" w:rsidP="00D30756">
      <w:pPr>
        <w:pStyle w:val="Texto3N"/>
      </w:pPr>
      <w:r>
        <w:t>No caso de vistoria técnica de fiscalização realizada por consulta na base de dados do SAPS, a notificação pode ser emitida por meio de cartas registrada com aviso de recebimento.</w:t>
      </w:r>
    </w:p>
    <w:p w:rsidR="0024678A" w:rsidRDefault="0024678A" w:rsidP="0024678A">
      <w:pPr>
        <w:pStyle w:val="Texto4N"/>
      </w:pPr>
      <w:r>
        <w:t xml:space="preserve">Antes da emissão de notificação, o CBMAL pode emitir aviso através de meio eletrônico digital, para </w:t>
      </w:r>
      <w:r w:rsidRPr="00D83C5C">
        <w:t>fomentar o desenvolvimento de cultura prevencionista de segurança contra incêndio e emergências</w:t>
      </w:r>
      <w:r>
        <w:t>.</w:t>
      </w:r>
    </w:p>
    <w:p w:rsidR="006562D0" w:rsidRDefault="006562D0" w:rsidP="00D30756">
      <w:pPr>
        <w:pStyle w:val="Texto3N"/>
      </w:pPr>
      <w:r>
        <w:t xml:space="preserve">De posse da </w:t>
      </w:r>
      <w:r w:rsidR="008A0864">
        <w:t>Notificação</w:t>
      </w:r>
      <w:r>
        <w:t xml:space="preserve">, o responsável possui </w:t>
      </w:r>
      <w:r w:rsidRPr="00431006">
        <w:t>30 (trinta) dias para san</w:t>
      </w:r>
      <w:r>
        <w:t xml:space="preserve">ar as </w:t>
      </w:r>
      <w:r w:rsidR="008640EE">
        <w:t>não conformidades</w:t>
      </w:r>
      <w:r>
        <w:t xml:space="preserve"> elencadas.</w:t>
      </w:r>
    </w:p>
    <w:p w:rsidR="008A0864" w:rsidRPr="00C85AF4" w:rsidRDefault="008A0864" w:rsidP="008A0864">
      <w:pPr>
        <w:pStyle w:val="Texto4N"/>
        <w:rPr>
          <w:lang w:eastAsia="en-US"/>
        </w:rPr>
      </w:pPr>
      <w:r>
        <w:t xml:space="preserve">A notificação </w:t>
      </w:r>
      <w:r w:rsidRPr="008A0864">
        <w:t>que const</w:t>
      </w:r>
      <w:r>
        <w:t>a</w:t>
      </w:r>
      <w:r w:rsidRPr="008A0864">
        <w:t xml:space="preserve"> a exigência da solicitação de vistoria técnica de regularização</w:t>
      </w:r>
      <w:r>
        <w:t xml:space="preserve"> é sanada quando há o </w:t>
      </w:r>
      <w:r w:rsidRPr="00C85AF4">
        <w:rPr>
          <w:lang w:eastAsia="en-US"/>
        </w:rPr>
        <w:t xml:space="preserve">pedido de </w:t>
      </w:r>
      <w:r>
        <w:t>vistoria com o</w:t>
      </w:r>
      <w:r w:rsidRPr="00C85AF4">
        <w:rPr>
          <w:lang w:eastAsia="en-US"/>
        </w:rPr>
        <w:t xml:space="preserve"> recolhimento da respectiva taxa de acordo com a Lei Estadual n° 6.442/2003.</w:t>
      </w:r>
    </w:p>
    <w:p w:rsidR="008A0864" w:rsidRDefault="008A0864" w:rsidP="008A0864">
      <w:pPr>
        <w:pStyle w:val="Texto4N"/>
      </w:pPr>
      <w:r>
        <w:t>A notificação que consta e exigência de providenciar projeto aprovado junto ao CBMAL é sanada quando é emitido o Alvará de Construção do Corpo de Bombeiros (ACCB).</w:t>
      </w:r>
    </w:p>
    <w:p w:rsidR="00C85AF4" w:rsidRDefault="003E3480" w:rsidP="00D30756">
      <w:pPr>
        <w:pStyle w:val="Texto3N"/>
      </w:pPr>
      <w:r>
        <w:lastRenderedPageBreak/>
        <w:t>Para fins de desburocratização, o</w:t>
      </w:r>
      <w:r w:rsidR="00AA55D9">
        <w:t xml:space="preserve"> prazo da notificação da primeira vistoria técnica de fiscalização é prorrogado</w:t>
      </w:r>
      <w:r w:rsidR="00C85AF4" w:rsidRPr="00C85AF4">
        <w:t xml:space="preserve"> autom</w:t>
      </w:r>
      <w:r w:rsidR="00AA55D9">
        <w:t>a</w:t>
      </w:r>
      <w:r w:rsidR="00C85AF4" w:rsidRPr="00C85AF4">
        <w:t>tica</w:t>
      </w:r>
      <w:r w:rsidR="00AA55D9">
        <w:t>mente por 30 (trinta) dias</w:t>
      </w:r>
      <w:r w:rsidR="00C85AF4">
        <w:t>.</w:t>
      </w:r>
    </w:p>
    <w:p w:rsidR="00017DD8" w:rsidRDefault="00AA55D9" w:rsidP="00017DD8">
      <w:pPr>
        <w:pStyle w:val="Texto3N"/>
      </w:pPr>
      <w:r>
        <w:t>Cabe</w:t>
      </w:r>
      <w:r w:rsidR="003E3480">
        <w:t xml:space="preserve"> </w:t>
      </w:r>
      <w:r w:rsidR="008A0864">
        <w:t xml:space="preserve">pedido de </w:t>
      </w:r>
      <w:r w:rsidR="003E3480">
        <w:t>nova</w:t>
      </w:r>
      <w:r>
        <w:t xml:space="preserve"> prorrogação </w:t>
      </w:r>
      <w:r w:rsidR="00C85AF4" w:rsidRPr="00AA55D9">
        <w:t xml:space="preserve">do prazo </w:t>
      </w:r>
      <w:r w:rsidR="00FA17A3">
        <w:t xml:space="preserve">apenas </w:t>
      </w:r>
      <w:r w:rsidR="00C85AF4" w:rsidRPr="00AA55D9">
        <w:t xml:space="preserve">da </w:t>
      </w:r>
      <w:r w:rsidR="0022276C" w:rsidRPr="00AA55D9">
        <w:t xml:space="preserve">notificação </w:t>
      </w:r>
      <w:r w:rsidR="008A0864" w:rsidRPr="008A0864">
        <w:t>da primeira vistoria técnica de fiscalização</w:t>
      </w:r>
      <w:r w:rsidR="00FA17A3">
        <w:t>,</w:t>
      </w:r>
      <w:r w:rsidR="008A0864" w:rsidRPr="008A0864">
        <w:t xml:space="preserve"> </w:t>
      </w:r>
      <w:r w:rsidR="00FA17A3">
        <w:t>conforme item 9.1 desta IT.</w:t>
      </w:r>
    </w:p>
    <w:p w:rsidR="00CF59E9" w:rsidRDefault="00CF59E9" w:rsidP="00D30756">
      <w:pPr>
        <w:pStyle w:val="Texto3N"/>
      </w:pPr>
      <w:r w:rsidRPr="00CF59E9">
        <w:t>O prazo da</w:t>
      </w:r>
      <w:r w:rsidR="00FA17A3">
        <w:t xml:space="preserve"> notificação que consta a</w:t>
      </w:r>
      <w:r w:rsidR="008A0864" w:rsidRPr="00CF59E9">
        <w:t xml:space="preserve"> exigência de providenciar projeto aprovado junto ao CBMAL </w:t>
      </w:r>
      <w:r w:rsidRPr="00CF59E9">
        <w:t>é suspenso</w:t>
      </w:r>
      <w:r w:rsidR="008A0864" w:rsidRPr="00CF59E9">
        <w:t xml:space="preserve"> quando </w:t>
      </w:r>
      <w:r w:rsidRPr="00CF59E9">
        <w:t>da entrada do pedido de análise e recolhimento da respectiva taxa de acordo com a Lei Estadual n° 6.442/2003</w:t>
      </w:r>
      <w:r>
        <w:t xml:space="preserve"> até que seja encerrado o processo de análise</w:t>
      </w:r>
      <w:r w:rsidRPr="00CF59E9">
        <w:t>.</w:t>
      </w:r>
    </w:p>
    <w:p w:rsidR="00CF59E9" w:rsidRDefault="00CF59E9" w:rsidP="00CF59E9">
      <w:pPr>
        <w:pStyle w:val="Texto4N"/>
      </w:pPr>
      <w:r>
        <w:t xml:space="preserve">O processo de análise é encerrado quando é emitido o ACCB ou encerradas possibilidades de análise constantes no Art. 19 do </w:t>
      </w:r>
      <w:r w:rsidR="00966FC8" w:rsidRPr="00CF59E9">
        <w:t>Decreto nº 55.175/2017</w:t>
      </w:r>
      <w:r>
        <w:t>.</w:t>
      </w:r>
    </w:p>
    <w:p w:rsidR="004C66B9" w:rsidRDefault="004C66B9" w:rsidP="004C66B9">
      <w:pPr>
        <w:pStyle w:val="Texto4N"/>
      </w:pPr>
      <w:r>
        <w:t xml:space="preserve">Uma vez encerrado o processo de análise sem aprovação, deve ser protocolado novo processo com </w:t>
      </w:r>
      <w:r w:rsidRPr="004C66B9">
        <w:t>recolhimento da respectiva taxa de acordo com a Lei Estadual n° 6.442/2003</w:t>
      </w:r>
      <w:r>
        <w:t xml:space="preserve"> e </w:t>
      </w:r>
      <w:r w:rsidRPr="004C66B9">
        <w:t>Art. 19 do Decreto nº 55.175/2017</w:t>
      </w:r>
      <w:r>
        <w:t>.</w:t>
      </w:r>
    </w:p>
    <w:p w:rsidR="0022276C" w:rsidRDefault="00C85AF4" w:rsidP="00D30756">
      <w:pPr>
        <w:pStyle w:val="Texto3N"/>
      </w:pPr>
      <w:r>
        <w:t>E</w:t>
      </w:r>
      <w:r w:rsidR="0022276C">
        <w:t xml:space="preserve">ncerrado o prazo da notificação e </w:t>
      </w:r>
      <w:r>
        <w:t xml:space="preserve">esta não </w:t>
      </w:r>
      <w:r w:rsidR="0022276C">
        <w:t>tenha</w:t>
      </w:r>
      <w:r>
        <w:t xml:space="preserve"> sido sanada</w:t>
      </w:r>
      <w:r w:rsidR="0022276C">
        <w:t>, o CBMAL procederá com a realização da segunda vistoria técnica de fiscalização e emissão de multa.</w:t>
      </w:r>
    </w:p>
    <w:p w:rsidR="00966FC8" w:rsidRPr="00966FC8" w:rsidRDefault="00966FC8" w:rsidP="00D30756">
      <w:pPr>
        <w:pStyle w:val="Texto3N"/>
      </w:pPr>
      <w:r w:rsidRPr="00966FC8">
        <w:t>O cálculo da multa é realizado nos termos do Anexo II do Decreto nº 55.175/2017.</w:t>
      </w:r>
    </w:p>
    <w:p w:rsidR="00966FC8" w:rsidRDefault="00966FC8" w:rsidP="00966FC8">
      <w:pPr>
        <w:pStyle w:val="Texto4N"/>
      </w:pPr>
      <w:r w:rsidRPr="00966FC8">
        <w:t>A multa aplicada refere-se às infrações não sanadas da primeira notificação, avaliando a tipificação mais específica de cada medida de segurança contra incêndio e emergências nos termos do Anexo I do Decreto nº 55.175/2017.</w:t>
      </w:r>
    </w:p>
    <w:p w:rsidR="001C122A" w:rsidRPr="00966FC8" w:rsidRDefault="001C122A" w:rsidP="00966FC8">
      <w:pPr>
        <w:pStyle w:val="Texto4N"/>
      </w:pPr>
      <w:r>
        <w:t xml:space="preserve">O descumprimento da exigência de </w:t>
      </w:r>
      <w:r w:rsidR="0022276C" w:rsidRPr="001C122A">
        <w:t>solicitação de vistoria técnica de regularização</w:t>
      </w:r>
      <w:r>
        <w:t xml:space="preserve"> é </w:t>
      </w:r>
      <w:proofErr w:type="gramStart"/>
      <w:r>
        <w:t>enquadrada</w:t>
      </w:r>
      <w:proofErr w:type="gramEnd"/>
      <w:r>
        <w:t xml:space="preserve"> como infração de natureza grave.</w:t>
      </w:r>
    </w:p>
    <w:p w:rsidR="00610C9E" w:rsidRPr="00610C9E" w:rsidRDefault="00610C9E" w:rsidP="00D30756">
      <w:pPr>
        <w:pStyle w:val="Texto3N"/>
      </w:pPr>
      <w:r w:rsidRPr="00610C9E">
        <w:t>Encerrado o prazo da segunda notificação e esta não tenha sido sanada, o CBMAL procederá com a realização da terceira vistoria técnica de fiscalização e emissão de nova multa.</w:t>
      </w:r>
    </w:p>
    <w:p w:rsidR="00610C9E" w:rsidRPr="00610C9E" w:rsidRDefault="00610C9E" w:rsidP="00610C9E">
      <w:pPr>
        <w:pStyle w:val="Texto4N"/>
      </w:pPr>
      <w:r w:rsidRPr="00610C9E">
        <w:t>A multa aplicada refere-se às infrações não sanadas da segunda notificação (constatadas na terceira notificação), avaliando a tipificação mais específica de cada medida de segurança contra incêndio e emergências nos termos do Anexo I do Decreto nº 55.175/2017.</w:t>
      </w:r>
    </w:p>
    <w:p w:rsidR="00610C9E" w:rsidRPr="00610C9E" w:rsidRDefault="00610C9E" w:rsidP="00610C9E">
      <w:pPr>
        <w:pStyle w:val="Texto4N"/>
      </w:pPr>
      <w:r w:rsidRPr="00610C9E">
        <w:t>Após o cálculo da multa, realizado nos termos do Anexo II do Decreto nº 55.175/2017, o valor deve ser dobrado conforme § 1º Art. 57 do referido decreto.</w:t>
      </w:r>
    </w:p>
    <w:p w:rsidR="00610C9E" w:rsidRPr="00610C9E" w:rsidRDefault="00610C9E" w:rsidP="00D30756">
      <w:pPr>
        <w:pStyle w:val="Texto3N"/>
      </w:pPr>
      <w:r w:rsidRPr="00610C9E">
        <w:t xml:space="preserve">Havendo novas vistorias técnicas de fiscalização, para cada notificação emitida e não sanada, fica aplicada multa nos termos do item </w:t>
      </w:r>
      <w:r>
        <w:t>6.2.11</w:t>
      </w:r>
      <w:r w:rsidRPr="00610C9E">
        <w:t>.</w:t>
      </w:r>
    </w:p>
    <w:p w:rsidR="00610C9E" w:rsidRPr="00610C9E" w:rsidRDefault="00610C9E" w:rsidP="00D30756">
      <w:pPr>
        <w:pStyle w:val="Texto3N"/>
      </w:pPr>
      <w:r w:rsidRPr="00610C9E">
        <w:t>Encerrado o prazo da terceira notificação e esta não tenha sido sanada, o CBMAL encaminhará o processo ao Ministério Público, sem prejuízo da aplicação das demais sanções administrativas cabíveis.</w:t>
      </w:r>
    </w:p>
    <w:p w:rsidR="00070494" w:rsidRPr="00070494" w:rsidRDefault="00630EBC" w:rsidP="00630EBC">
      <w:pPr>
        <w:pStyle w:val="Ttulo1"/>
        <w:rPr>
          <w:lang w:eastAsia="pt-BR"/>
        </w:rPr>
      </w:pPr>
      <w:bookmarkStart w:id="2" w:name="_2et92p0" w:colFirst="0" w:colLast="0"/>
      <w:bookmarkEnd w:id="2"/>
      <w:r>
        <w:rPr>
          <w:lang w:eastAsia="pt-BR"/>
        </w:rPr>
        <w:t>SANÇÕES ADMINISTRATIVAS</w:t>
      </w:r>
    </w:p>
    <w:p w:rsidR="00A67A3C" w:rsidRPr="00A67A3C" w:rsidRDefault="00A67A3C" w:rsidP="00A67A3C">
      <w:pPr>
        <w:pStyle w:val="Ttulo2"/>
        <w:rPr>
          <w:lang w:eastAsia="pt-BR"/>
        </w:rPr>
      </w:pPr>
      <w:r>
        <w:rPr>
          <w:lang w:eastAsia="pt-BR"/>
        </w:rPr>
        <w:t>Generalidades</w:t>
      </w:r>
    </w:p>
    <w:p w:rsidR="00070494" w:rsidRPr="00070494" w:rsidRDefault="00070494" w:rsidP="00D30756">
      <w:pPr>
        <w:pStyle w:val="Texto3N"/>
      </w:pPr>
      <w:r w:rsidRPr="00070494">
        <w:t xml:space="preserve">O CBMAL, no exercício </w:t>
      </w:r>
      <w:r w:rsidR="00DA1324">
        <w:t>do poder polícia que lhe compete</w:t>
      </w:r>
      <w:r w:rsidRPr="00070494">
        <w:t xml:space="preserve">, de acordo com a peculiaridade de cada situação previstas no Art. 6º e 7º da Lei Estadual </w:t>
      </w:r>
      <w:r w:rsidR="00DA1324">
        <w:t>n</w:t>
      </w:r>
      <w:r w:rsidRPr="00070494">
        <w:t>º 7.456, de 21 de março de 2013 e regulamentada pelo Decreto Estadual nº 5</w:t>
      </w:r>
      <w:r w:rsidR="00630EBC">
        <w:t>5.175 de 15 de setembro de 2017</w:t>
      </w:r>
      <w:r w:rsidR="00DA1324">
        <w:t xml:space="preserve">, </w:t>
      </w:r>
      <w:r w:rsidRPr="00DA1324">
        <w:t>pode aplicar as seguintes penalidades, de forma cumulativa ou não</w:t>
      </w:r>
      <w:r w:rsidR="00630EBC">
        <w:t>:</w:t>
      </w:r>
    </w:p>
    <w:p w:rsidR="00070494" w:rsidRPr="00070494" w:rsidRDefault="00070494" w:rsidP="00911C15">
      <w:pPr>
        <w:numPr>
          <w:ilvl w:val="0"/>
          <w:numId w:val="16"/>
        </w:numPr>
        <w:pBdr>
          <w:top w:val="nil"/>
          <w:left w:val="nil"/>
          <w:bottom w:val="nil"/>
          <w:right w:val="nil"/>
          <w:between w:val="nil"/>
        </w:pBdr>
        <w:tabs>
          <w:tab w:val="left" w:pos="567"/>
        </w:tabs>
        <w:autoSpaceDE/>
        <w:autoSpaceDN/>
        <w:adjustRightInd/>
        <w:spacing w:line="276" w:lineRule="auto"/>
        <w:ind w:right="-1"/>
        <w:rPr>
          <w:rFonts w:eastAsia="Times New Roman" w:cs="Times New Roman"/>
          <w:lang w:eastAsia="pt-BR"/>
        </w:rPr>
      </w:pPr>
      <w:r w:rsidRPr="00070494">
        <w:rPr>
          <w:rFonts w:eastAsia="Times New Roman" w:cs="Times New Roman"/>
          <w:lang w:eastAsia="pt-BR"/>
        </w:rPr>
        <w:t xml:space="preserve">advertência escrita; </w:t>
      </w:r>
    </w:p>
    <w:p w:rsidR="00070494" w:rsidRPr="00070494" w:rsidRDefault="00070494" w:rsidP="00911C15">
      <w:pPr>
        <w:numPr>
          <w:ilvl w:val="0"/>
          <w:numId w:val="16"/>
        </w:numPr>
        <w:pBdr>
          <w:top w:val="nil"/>
          <w:left w:val="nil"/>
          <w:bottom w:val="nil"/>
          <w:right w:val="nil"/>
          <w:between w:val="nil"/>
        </w:pBdr>
        <w:tabs>
          <w:tab w:val="left" w:pos="567"/>
        </w:tabs>
        <w:autoSpaceDE/>
        <w:autoSpaceDN/>
        <w:adjustRightInd/>
        <w:spacing w:line="276" w:lineRule="auto"/>
        <w:ind w:right="-1"/>
        <w:rPr>
          <w:rFonts w:eastAsia="Times New Roman" w:cs="Times New Roman"/>
          <w:lang w:eastAsia="pt-BR"/>
        </w:rPr>
      </w:pPr>
      <w:r w:rsidRPr="00070494">
        <w:rPr>
          <w:rFonts w:eastAsia="Times New Roman" w:cs="Times New Roman"/>
          <w:lang w:eastAsia="pt-BR"/>
        </w:rPr>
        <w:t>multa;</w:t>
      </w:r>
    </w:p>
    <w:p w:rsidR="00070494" w:rsidRPr="00070494" w:rsidRDefault="00070494" w:rsidP="00911C15">
      <w:pPr>
        <w:numPr>
          <w:ilvl w:val="0"/>
          <w:numId w:val="16"/>
        </w:numPr>
        <w:pBdr>
          <w:top w:val="nil"/>
          <w:left w:val="nil"/>
          <w:bottom w:val="nil"/>
          <w:right w:val="nil"/>
          <w:between w:val="nil"/>
        </w:pBdr>
        <w:tabs>
          <w:tab w:val="left" w:pos="567"/>
        </w:tabs>
        <w:autoSpaceDE/>
        <w:autoSpaceDN/>
        <w:adjustRightInd/>
        <w:spacing w:line="276" w:lineRule="auto"/>
        <w:ind w:right="-1"/>
        <w:rPr>
          <w:rFonts w:eastAsia="Times New Roman" w:cs="Times New Roman"/>
          <w:lang w:eastAsia="pt-BR"/>
        </w:rPr>
      </w:pPr>
      <w:r w:rsidRPr="00070494">
        <w:rPr>
          <w:rFonts w:eastAsia="Times New Roman" w:cs="Times New Roman"/>
          <w:lang w:eastAsia="pt-BR"/>
        </w:rPr>
        <w:t>interdição</w:t>
      </w:r>
    </w:p>
    <w:p w:rsidR="00070494" w:rsidRPr="00070494" w:rsidRDefault="00070494" w:rsidP="00911C15">
      <w:pPr>
        <w:numPr>
          <w:ilvl w:val="0"/>
          <w:numId w:val="16"/>
        </w:numPr>
        <w:pBdr>
          <w:top w:val="nil"/>
          <w:left w:val="nil"/>
          <w:bottom w:val="nil"/>
          <w:right w:val="nil"/>
          <w:between w:val="nil"/>
        </w:pBdr>
        <w:tabs>
          <w:tab w:val="left" w:pos="567"/>
        </w:tabs>
        <w:autoSpaceDE/>
        <w:autoSpaceDN/>
        <w:adjustRightInd/>
        <w:spacing w:line="276" w:lineRule="auto"/>
        <w:ind w:right="-1"/>
        <w:rPr>
          <w:rFonts w:eastAsia="Times New Roman" w:cs="Times New Roman"/>
          <w:lang w:eastAsia="pt-BR"/>
        </w:rPr>
      </w:pPr>
      <w:r w:rsidRPr="00070494">
        <w:rPr>
          <w:rFonts w:eastAsia="Times New Roman" w:cs="Times New Roman"/>
          <w:lang w:eastAsia="pt-BR"/>
        </w:rPr>
        <w:t>embargo;</w:t>
      </w:r>
    </w:p>
    <w:p w:rsidR="00070494" w:rsidRPr="00070494" w:rsidRDefault="00070494" w:rsidP="00911C15">
      <w:pPr>
        <w:numPr>
          <w:ilvl w:val="0"/>
          <w:numId w:val="16"/>
        </w:numPr>
        <w:pBdr>
          <w:top w:val="nil"/>
          <w:left w:val="nil"/>
          <w:bottom w:val="nil"/>
          <w:right w:val="nil"/>
          <w:between w:val="nil"/>
        </w:pBdr>
        <w:tabs>
          <w:tab w:val="left" w:pos="567"/>
        </w:tabs>
        <w:autoSpaceDE/>
        <w:autoSpaceDN/>
        <w:adjustRightInd/>
        <w:spacing w:line="276" w:lineRule="auto"/>
        <w:ind w:right="-1"/>
        <w:rPr>
          <w:rFonts w:eastAsia="Times New Roman" w:cs="Times New Roman"/>
          <w:lang w:eastAsia="pt-BR"/>
        </w:rPr>
      </w:pPr>
      <w:r w:rsidRPr="00070494">
        <w:rPr>
          <w:rFonts w:eastAsia="Times New Roman" w:cs="Times New Roman"/>
          <w:lang w:eastAsia="pt-BR"/>
        </w:rPr>
        <w:t>apreensão de materiais e equipamentos; e</w:t>
      </w:r>
    </w:p>
    <w:p w:rsidR="00070494" w:rsidRPr="00070494" w:rsidRDefault="00070494" w:rsidP="00911C15">
      <w:pPr>
        <w:numPr>
          <w:ilvl w:val="0"/>
          <w:numId w:val="16"/>
        </w:numPr>
        <w:pBdr>
          <w:top w:val="nil"/>
          <w:left w:val="nil"/>
          <w:bottom w:val="nil"/>
          <w:right w:val="nil"/>
          <w:between w:val="nil"/>
        </w:pBdr>
        <w:tabs>
          <w:tab w:val="left" w:pos="567"/>
        </w:tabs>
        <w:autoSpaceDE/>
        <w:autoSpaceDN/>
        <w:adjustRightInd/>
        <w:spacing w:line="276" w:lineRule="auto"/>
        <w:ind w:right="-1"/>
        <w:rPr>
          <w:rFonts w:eastAsia="Times New Roman" w:cs="Times New Roman"/>
          <w:lang w:eastAsia="pt-BR"/>
        </w:rPr>
      </w:pPr>
      <w:r w:rsidRPr="00070494">
        <w:rPr>
          <w:rFonts w:eastAsia="Times New Roman" w:cs="Times New Roman"/>
          <w:lang w:eastAsia="pt-BR"/>
        </w:rPr>
        <w:t>cassação da licença do Corpo de Bombeiros.</w:t>
      </w:r>
    </w:p>
    <w:p w:rsidR="00797594" w:rsidRDefault="00797594" w:rsidP="00D30756">
      <w:pPr>
        <w:pStyle w:val="Texto3N"/>
      </w:pPr>
      <w:r w:rsidRPr="00797594">
        <w:t>Contra aplicação de quaisquer das penalidades administrativas caberá defesa e, se for o caso, recurso</w:t>
      </w:r>
      <w:r w:rsidR="001317A9">
        <w:t>.</w:t>
      </w:r>
    </w:p>
    <w:p w:rsidR="00A00AC7" w:rsidRPr="00070494" w:rsidRDefault="00A00AC7" w:rsidP="00D30756">
      <w:pPr>
        <w:pStyle w:val="Texto3N"/>
      </w:pPr>
      <w:r w:rsidRPr="00070494">
        <w:lastRenderedPageBreak/>
        <w:t>As sanções administrativas devem ser aplicadas pelo</w:t>
      </w:r>
      <w:r w:rsidR="004379F5">
        <w:t>s militares do</w:t>
      </w:r>
      <w:r w:rsidRPr="00070494">
        <w:t xml:space="preserve"> CBMAL </w:t>
      </w:r>
      <w:r w:rsidR="004379F5">
        <w:t>em ato de serviço</w:t>
      </w:r>
      <w:r w:rsidRPr="00070494">
        <w:t>.</w:t>
      </w:r>
    </w:p>
    <w:p w:rsidR="00A00AC7" w:rsidRPr="00A67A3C" w:rsidRDefault="00A00AC7" w:rsidP="00D30756">
      <w:pPr>
        <w:pStyle w:val="Texto3N"/>
      </w:pPr>
      <w:r w:rsidRPr="00A67A3C">
        <w:t>A realização de fiscalização nas edificações e áreas de risco é atribuição das Unidades Bombeiros Militar dentro de suas áreas de atuação.</w:t>
      </w:r>
    </w:p>
    <w:p w:rsidR="00A00AC7" w:rsidRPr="00A67A3C" w:rsidRDefault="00A00AC7" w:rsidP="00D30756">
      <w:pPr>
        <w:pStyle w:val="Texto3N"/>
      </w:pPr>
      <w:r w:rsidRPr="00A67A3C">
        <w:t xml:space="preserve">Excepcionalmente, por </w:t>
      </w:r>
      <w:r w:rsidR="00A67A3C">
        <w:t>ato</w:t>
      </w:r>
      <w:r w:rsidRPr="00A67A3C">
        <w:t xml:space="preserve"> do Comandante Geral, o </w:t>
      </w:r>
      <w:r w:rsidR="00A67A3C">
        <w:t>militar</w:t>
      </w:r>
      <w:r w:rsidRPr="00A67A3C">
        <w:t xml:space="preserve"> pode ser remanejado de área de atuação original, durante tempo previamente determinado, para atender demanda específica.</w:t>
      </w:r>
    </w:p>
    <w:p w:rsidR="00630EBC" w:rsidRDefault="00630EBC" w:rsidP="00630EBC">
      <w:pPr>
        <w:pStyle w:val="Ttulo2"/>
        <w:rPr>
          <w:lang w:eastAsia="pt-BR"/>
        </w:rPr>
      </w:pPr>
      <w:r>
        <w:rPr>
          <w:lang w:eastAsia="pt-BR"/>
        </w:rPr>
        <w:t>Advertência escrita</w:t>
      </w:r>
    </w:p>
    <w:p w:rsidR="00630EBC" w:rsidRDefault="00630EBC" w:rsidP="00D30756">
      <w:pPr>
        <w:pStyle w:val="Texto3N"/>
      </w:pPr>
      <w:r w:rsidRPr="00070494">
        <w:t xml:space="preserve">A advertência escrita se materializa por meio da </w:t>
      </w:r>
      <w:r w:rsidR="00DA1324">
        <w:t>N</w:t>
      </w:r>
      <w:r w:rsidRPr="00070494">
        <w:t>otificação e constitui-se na menor penalidade aplicada, a qual adverte o não cumprimento das exigências do COSCIE.</w:t>
      </w:r>
    </w:p>
    <w:p w:rsidR="00DA1324" w:rsidRPr="00070494" w:rsidRDefault="00DA1324" w:rsidP="00D30756">
      <w:pPr>
        <w:pStyle w:val="Texto3N"/>
      </w:pPr>
      <w:r>
        <w:t xml:space="preserve">A </w:t>
      </w:r>
      <w:r w:rsidRPr="00070494">
        <w:t>Notificação é o ato formal de regist</w:t>
      </w:r>
      <w:r w:rsidR="00A67A3C">
        <w:t xml:space="preserve">ro de </w:t>
      </w:r>
      <w:r w:rsidR="008640EE">
        <w:t>não conformidades</w:t>
      </w:r>
      <w:r w:rsidRPr="00070494">
        <w:t xml:space="preserve"> constatadas durante a vistoria</w:t>
      </w:r>
      <w:r>
        <w:t xml:space="preserve"> técnica na edificação ou área de risco.</w:t>
      </w:r>
    </w:p>
    <w:p w:rsidR="00630EBC" w:rsidRDefault="00630EBC" w:rsidP="00630EBC">
      <w:pPr>
        <w:pStyle w:val="Ttulo2"/>
        <w:rPr>
          <w:lang w:eastAsia="pt-BR"/>
        </w:rPr>
      </w:pPr>
      <w:r>
        <w:rPr>
          <w:lang w:eastAsia="pt-BR"/>
        </w:rPr>
        <w:t>Multa</w:t>
      </w:r>
    </w:p>
    <w:p w:rsidR="00DA1324" w:rsidRDefault="00A00AC7" w:rsidP="00D30756">
      <w:pPr>
        <w:pStyle w:val="Texto3N"/>
      </w:pPr>
      <w:r>
        <w:t>D</w:t>
      </w:r>
      <w:r w:rsidR="00DA1324" w:rsidRPr="00070494">
        <w:t xml:space="preserve">ecorridos 30 </w:t>
      </w:r>
      <w:r>
        <w:t>(trinta) dias da formalização da advertência escrita e c</w:t>
      </w:r>
      <w:r w:rsidR="00DA1324" w:rsidRPr="00A00AC7">
        <w:t>onstatada a conduta infracional</w:t>
      </w:r>
      <w:r>
        <w:t xml:space="preserve"> em retorno de vistoria técnica</w:t>
      </w:r>
      <w:r w:rsidR="00DA1324" w:rsidRPr="00A00AC7">
        <w:t xml:space="preserve"> </w:t>
      </w:r>
      <w:r>
        <w:t>é aplicado</w:t>
      </w:r>
      <w:r w:rsidR="00DA1324" w:rsidRPr="00070494">
        <w:t xml:space="preserve"> multa nos termos do Decreto </w:t>
      </w:r>
      <w:r w:rsidR="00A67A3C">
        <w:t xml:space="preserve">nº </w:t>
      </w:r>
      <w:r w:rsidR="00DA1324" w:rsidRPr="00070494">
        <w:t>55.175/2017.</w:t>
      </w:r>
    </w:p>
    <w:p w:rsidR="00355C7B" w:rsidRPr="00070494" w:rsidRDefault="00355C7B" w:rsidP="00D30756">
      <w:pPr>
        <w:pStyle w:val="Texto3N"/>
      </w:pPr>
      <w:r>
        <w:t>Persistindo</w:t>
      </w:r>
      <w:r w:rsidRPr="00355C7B">
        <w:t xml:space="preserve"> a </w:t>
      </w:r>
      <w:r>
        <w:t>conduta infracional</w:t>
      </w:r>
      <w:r w:rsidRPr="00355C7B">
        <w:t>, nova multa</w:t>
      </w:r>
      <w:r>
        <w:t xml:space="preserve"> é</w:t>
      </w:r>
      <w:r w:rsidRPr="00355C7B">
        <w:t xml:space="preserve"> aplicada em dobro e cumulativamente</w:t>
      </w:r>
      <w:r w:rsidR="00B15B48">
        <w:t>, observando os critérios estabelecidos nesta IT</w:t>
      </w:r>
      <w:r>
        <w:t>.</w:t>
      </w:r>
    </w:p>
    <w:p w:rsidR="00630EBC" w:rsidRDefault="00A00AC7" w:rsidP="00630EBC">
      <w:pPr>
        <w:pStyle w:val="Ttulo2"/>
        <w:rPr>
          <w:lang w:eastAsia="pt-BR"/>
        </w:rPr>
      </w:pPr>
      <w:r>
        <w:rPr>
          <w:lang w:eastAsia="pt-BR"/>
        </w:rPr>
        <w:t>Interdição</w:t>
      </w:r>
    </w:p>
    <w:p w:rsidR="00630EBC" w:rsidRPr="00630EBC" w:rsidRDefault="00630EBC" w:rsidP="00D30756">
      <w:pPr>
        <w:pStyle w:val="Texto3N"/>
      </w:pPr>
      <w:r w:rsidRPr="00630EBC">
        <w:t xml:space="preserve">A Interdição é o ato formal, e urgente, de registro de autuação do </w:t>
      </w:r>
      <w:r w:rsidR="003F617E">
        <w:t>bombeiro m</w:t>
      </w:r>
      <w:r w:rsidRPr="00630EBC">
        <w:t>ilitar impedindo a utilização parcial ou total de uma edificação ou área de risco quando:</w:t>
      </w:r>
    </w:p>
    <w:p w:rsidR="00630EBC" w:rsidRPr="00630EBC" w:rsidRDefault="00A00AC7" w:rsidP="00630EBC">
      <w:pPr>
        <w:numPr>
          <w:ilvl w:val="0"/>
          <w:numId w:val="12"/>
        </w:numPr>
        <w:rPr>
          <w:lang w:eastAsia="pt-BR"/>
        </w:rPr>
      </w:pPr>
      <w:r>
        <w:rPr>
          <w:lang w:eastAsia="pt-BR"/>
        </w:rPr>
        <w:t>h</w:t>
      </w:r>
      <w:r w:rsidR="00630EBC" w:rsidRPr="00630EBC">
        <w:rPr>
          <w:lang w:eastAsia="pt-BR"/>
        </w:rPr>
        <w:t xml:space="preserve">ouver situação de risco iminente, devidamente fundamentado, sem prejuízo das demais sanções legais cabíveis, até o cumprimento total das exigências que descaracterizem a situação; </w:t>
      </w:r>
    </w:p>
    <w:p w:rsidR="00630EBC" w:rsidRDefault="00630EBC" w:rsidP="00630EBC">
      <w:pPr>
        <w:numPr>
          <w:ilvl w:val="0"/>
          <w:numId w:val="12"/>
        </w:numPr>
        <w:rPr>
          <w:lang w:eastAsia="pt-BR"/>
        </w:rPr>
      </w:pPr>
      <w:r w:rsidRPr="00630EBC">
        <w:rPr>
          <w:lang w:eastAsia="pt-BR"/>
        </w:rPr>
        <w:t xml:space="preserve">em eventos temporários e locais com características de boates e clubes noturnos, teatros em geral, cinemas e auditórios, ou similares não possuírem </w:t>
      </w:r>
      <w:r w:rsidR="0033215F">
        <w:rPr>
          <w:lang w:eastAsia="pt-BR"/>
        </w:rPr>
        <w:t>Alvará de Vistoria</w:t>
      </w:r>
      <w:r w:rsidRPr="00630EBC">
        <w:rPr>
          <w:lang w:eastAsia="pt-BR"/>
        </w:rPr>
        <w:t xml:space="preserve"> do C</w:t>
      </w:r>
      <w:r w:rsidR="0033215F">
        <w:rPr>
          <w:lang w:eastAsia="pt-BR"/>
        </w:rPr>
        <w:t>orpo de Bombeiros, ou equivalente, ou o mesmo</w:t>
      </w:r>
      <w:r w:rsidR="00406D5B">
        <w:rPr>
          <w:lang w:eastAsia="pt-BR"/>
        </w:rPr>
        <w:t xml:space="preserve"> tiver perdido sua validade.</w:t>
      </w:r>
    </w:p>
    <w:p w:rsidR="006506DB" w:rsidRPr="006506DB" w:rsidRDefault="006506DB" w:rsidP="006506DB">
      <w:pPr>
        <w:numPr>
          <w:ilvl w:val="0"/>
          <w:numId w:val="12"/>
        </w:numPr>
        <w:rPr>
          <w:lang w:eastAsia="pt-BR"/>
        </w:rPr>
      </w:pPr>
      <w:r w:rsidRPr="006506DB">
        <w:rPr>
          <w:lang w:eastAsia="pt-BR"/>
        </w:rPr>
        <w:t xml:space="preserve">a edificação ou estabelecimento que após </w:t>
      </w:r>
      <w:r w:rsidR="00C06348">
        <w:rPr>
          <w:lang w:eastAsia="pt-BR"/>
        </w:rPr>
        <w:t xml:space="preserve">reinteiradas notificações, </w:t>
      </w:r>
      <w:r w:rsidRPr="006506DB">
        <w:rPr>
          <w:lang w:eastAsia="pt-BR"/>
        </w:rPr>
        <w:t>aplicação das multas e cassação do AVCB ou ASCB (caso exista), permanecer em situação de irregularidade.</w:t>
      </w:r>
    </w:p>
    <w:p w:rsidR="00F57BE0" w:rsidRPr="00630EBC" w:rsidRDefault="00F57BE0" w:rsidP="00D30756">
      <w:pPr>
        <w:pStyle w:val="Texto3N"/>
      </w:pPr>
      <w:r>
        <w:t xml:space="preserve">A interdição decorrente da alínea “a” </w:t>
      </w:r>
      <w:r w:rsidR="00BE5FCF">
        <w:t xml:space="preserve">do item 7.4.1 </w:t>
      </w:r>
      <w:r>
        <w:t xml:space="preserve">deve ser parcial sempre que for possível restringir a </w:t>
      </w:r>
      <w:r w:rsidRPr="00F57BE0">
        <w:t>situação de risco iminente</w:t>
      </w:r>
      <w:r>
        <w:t>. Para ensejar em interdição total</w:t>
      </w:r>
      <w:r w:rsidRPr="00630EBC">
        <w:t xml:space="preserve"> torna-se necessário promover uma análise sistemática das condições de segurança contra incêndio e emergência das edificações ou áreas de risco.  </w:t>
      </w:r>
    </w:p>
    <w:p w:rsidR="00135532" w:rsidRDefault="00584BDF" w:rsidP="00D30756">
      <w:pPr>
        <w:pStyle w:val="Texto3N"/>
      </w:pPr>
      <w:r w:rsidRPr="00584BDF">
        <w:t>N</w:t>
      </w:r>
      <w:r>
        <w:t>o</w:t>
      </w:r>
      <w:r w:rsidRPr="00584BDF">
        <w:t xml:space="preserve">s locais com características de boates e clubes noturnos, teatros em geral, cinemas e auditórios, ou similares </w:t>
      </w:r>
      <w:r>
        <w:t xml:space="preserve">cujo AVCB </w:t>
      </w:r>
      <w:r w:rsidRPr="00584BDF">
        <w:t>tenha perdido a sua validade, a pena de interdição não será aplicada na primeira notificação</w:t>
      </w:r>
      <w:r>
        <w:t>, devendo haver implementação</w:t>
      </w:r>
      <w:r w:rsidR="00630EBC" w:rsidRPr="00630EBC">
        <w:t xml:space="preserve"> de medidas mitigadoras frente </w:t>
      </w:r>
      <w:r w:rsidR="006506DB" w:rsidRPr="00630EBC">
        <w:t>às</w:t>
      </w:r>
      <w:r w:rsidR="00630EBC" w:rsidRPr="00630EBC">
        <w:t xml:space="preserve"> </w:t>
      </w:r>
      <w:r w:rsidR="008640EE">
        <w:t>não conformidades</w:t>
      </w:r>
      <w:r w:rsidR="00630EBC" w:rsidRPr="00630EBC">
        <w:t xml:space="preserve"> </w:t>
      </w:r>
      <w:r>
        <w:t>encontradas</w:t>
      </w:r>
      <w:r w:rsidR="00630EBC" w:rsidRPr="00630EBC">
        <w:t>.</w:t>
      </w:r>
    </w:p>
    <w:p w:rsidR="00630EBC" w:rsidRPr="00135532" w:rsidRDefault="00630EBC" w:rsidP="00D30756">
      <w:pPr>
        <w:pStyle w:val="Texto3N"/>
      </w:pPr>
      <w:r w:rsidRPr="00135532">
        <w:t>A</w:t>
      </w:r>
      <w:r w:rsidR="00500139">
        <w:t xml:space="preserve"> interdiç</w:t>
      </w:r>
      <w:r w:rsidR="0066142D">
        <w:t>ão decorrente</w:t>
      </w:r>
      <w:r w:rsidR="00500139">
        <w:t xml:space="preserve"> da alínea</w:t>
      </w:r>
      <w:r w:rsidRPr="00135532">
        <w:t xml:space="preserve"> </w:t>
      </w:r>
      <w:r w:rsidR="00500139">
        <w:t>“c” do item 7.4.1 deve se</w:t>
      </w:r>
      <w:r w:rsidRPr="00135532">
        <w:t xml:space="preserve">r precedida de </w:t>
      </w:r>
      <w:r w:rsidR="00500139">
        <w:t>tratativas junto</w:t>
      </w:r>
      <w:r w:rsidRPr="00135532">
        <w:t xml:space="preserve"> ao M</w:t>
      </w:r>
      <w:r w:rsidR="00500139">
        <w:t xml:space="preserve">inistério </w:t>
      </w:r>
      <w:r w:rsidRPr="00135532">
        <w:t>P</w:t>
      </w:r>
      <w:r w:rsidR="00500139">
        <w:t>úblico para fins de regularização</w:t>
      </w:r>
      <w:r w:rsidRPr="00135532">
        <w:t>.</w:t>
      </w:r>
    </w:p>
    <w:p w:rsidR="00630EBC" w:rsidRPr="00B35718" w:rsidRDefault="00630EBC" w:rsidP="00D30756">
      <w:pPr>
        <w:pStyle w:val="Texto3N"/>
      </w:pPr>
      <w:r w:rsidRPr="00B35718">
        <w:t>O Auto de Interdição é o documento hábil para</w:t>
      </w:r>
      <w:r w:rsidR="003E2234">
        <w:t xml:space="preserve"> fundamentar e</w:t>
      </w:r>
      <w:r w:rsidRPr="00B35718">
        <w:t xml:space="preserve"> comunicar a apl</w:t>
      </w:r>
      <w:r w:rsidR="00406D5B" w:rsidRPr="00B35718">
        <w:t>icação da sanção de interdição</w:t>
      </w:r>
      <w:r w:rsidR="00CF6E65" w:rsidRPr="00B35718">
        <w:t xml:space="preserve">, podendo ser </w:t>
      </w:r>
      <w:r w:rsidR="009B5BFB" w:rsidRPr="00B35718">
        <w:t>substituído pel</w:t>
      </w:r>
      <w:r w:rsidR="00787C46" w:rsidRPr="00B35718">
        <w:t>a Notificação</w:t>
      </w:r>
      <w:r w:rsidR="00406D5B" w:rsidRPr="00B35718">
        <w:t>.</w:t>
      </w:r>
    </w:p>
    <w:p w:rsidR="0045182E" w:rsidRPr="0045182E" w:rsidRDefault="0045182E" w:rsidP="00D30756">
      <w:pPr>
        <w:pStyle w:val="Texto3N"/>
        <w:rPr>
          <w:b/>
          <w:i/>
        </w:rPr>
      </w:pPr>
      <w:r>
        <w:t>Nos casos de interdição total, a autoridade</w:t>
      </w:r>
      <w:r w:rsidR="00630EBC" w:rsidRPr="00630EBC">
        <w:t xml:space="preserve"> policial competente</w:t>
      </w:r>
      <w:r>
        <w:t xml:space="preserve"> deve ser comunicada, uma vez que o </w:t>
      </w:r>
      <w:r w:rsidRPr="0045182E">
        <w:t>descumprimento do Auto de Interdição sujeita o infrator às penalidades previstas no Código Penal Brasileiro</w:t>
      </w:r>
      <w:r>
        <w:t>.</w:t>
      </w:r>
      <w:r w:rsidRPr="0045182E">
        <w:t xml:space="preserve"> </w:t>
      </w:r>
    </w:p>
    <w:p w:rsidR="00A33B0A" w:rsidRPr="00204D01" w:rsidRDefault="00A33B0A" w:rsidP="00204D01">
      <w:pPr>
        <w:pStyle w:val="Texto3N"/>
        <w:numPr>
          <w:ilvl w:val="0"/>
          <w:numId w:val="0"/>
        </w:numPr>
        <w:rPr>
          <w:b/>
        </w:rPr>
      </w:pPr>
      <w:r w:rsidRPr="00204D01">
        <w:rPr>
          <w:b/>
        </w:rPr>
        <w:t>Notas</w:t>
      </w:r>
      <w:r w:rsidR="00630EBC" w:rsidRPr="00204D01">
        <w:rPr>
          <w:b/>
        </w:rPr>
        <w:t>:</w:t>
      </w:r>
    </w:p>
    <w:p w:rsidR="00630EBC" w:rsidRPr="00204D01" w:rsidRDefault="00630EBC" w:rsidP="00204D01">
      <w:pPr>
        <w:pStyle w:val="PargrafodaLista"/>
        <w:numPr>
          <w:ilvl w:val="0"/>
          <w:numId w:val="43"/>
        </w:numPr>
        <w:ind w:right="-1"/>
        <w:rPr>
          <w:i/>
          <w:lang w:eastAsia="pt-BR"/>
        </w:rPr>
      </w:pPr>
      <w:r w:rsidRPr="00204D01">
        <w:rPr>
          <w:i/>
          <w:lang w:eastAsia="pt-BR"/>
        </w:rPr>
        <w:t>O descumprimento do Auto de Interdição sujeita o infrator às penalidades previstas no Código Penal Brasileiro nos artigos 166, 330 e 33</w:t>
      </w:r>
      <w:r w:rsidR="00B35718" w:rsidRPr="00204D01">
        <w:rPr>
          <w:i/>
          <w:lang w:eastAsia="pt-BR"/>
        </w:rPr>
        <w:t>6.</w:t>
      </w:r>
    </w:p>
    <w:p w:rsidR="00630EBC" w:rsidRPr="00630EBC" w:rsidRDefault="00630EBC" w:rsidP="00204D01">
      <w:pPr>
        <w:pStyle w:val="PargrafodaLista"/>
        <w:numPr>
          <w:ilvl w:val="0"/>
          <w:numId w:val="43"/>
        </w:numPr>
        <w:ind w:right="-1"/>
        <w:rPr>
          <w:lang w:eastAsia="pt-BR"/>
        </w:rPr>
      </w:pPr>
      <w:r w:rsidRPr="00204D01">
        <w:rPr>
          <w:i/>
          <w:lang w:eastAsia="pt-BR"/>
        </w:rPr>
        <w:t>O descumprimento de Auto de Interdição implicará ao infrator, além das sanções previstas, a autuação em flagrante e comunicação à autoridade policial para o devido processo.</w:t>
      </w:r>
    </w:p>
    <w:p w:rsidR="00630EBC" w:rsidRPr="00204D01" w:rsidRDefault="0045182E" w:rsidP="00204D01">
      <w:pPr>
        <w:pStyle w:val="PargrafodaLista"/>
        <w:numPr>
          <w:ilvl w:val="0"/>
          <w:numId w:val="43"/>
        </w:numPr>
        <w:ind w:right="-1"/>
        <w:rPr>
          <w:i/>
          <w:lang w:eastAsia="pt-BR"/>
        </w:rPr>
      </w:pPr>
      <w:r w:rsidRPr="00204D01">
        <w:rPr>
          <w:i/>
          <w:lang w:eastAsia="pt-BR"/>
        </w:rPr>
        <w:t>Quando necessário, o</w:t>
      </w:r>
      <w:r w:rsidR="00630EBC" w:rsidRPr="00204D01">
        <w:rPr>
          <w:i/>
          <w:lang w:eastAsia="pt-BR"/>
        </w:rPr>
        <w:t xml:space="preserve"> </w:t>
      </w:r>
      <w:r w:rsidR="00A33B0A" w:rsidRPr="00204D01">
        <w:rPr>
          <w:i/>
          <w:lang w:eastAsia="pt-BR"/>
        </w:rPr>
        <w:t>vistoriador do</w:t>
      </w:r>
      <w:r w:rsidR="00630EBC" w:rsidRPr="00204D01">
        <w:rPr>
          <w:i/>
          <w:lang w:eastAsia="pt-BR"/>
        </w:rPr>
        <w:t xml:space="preserve"> CBMAL deverá registrar ocorrência junto a Secretária de Segurança Pública solicitando apoio</w:t>
      </w:r>
      <w:r w:rsidRPr="00204D01">
        <w:rPr>
          <w:i/>
          <w:lang w:eastAsia="pt-BR"/>
        </w:rPr>
        <w:t xml:space="preserve"> </w:t>
      </w:r>
      <w:r w:rsidR="00630EBC" w:rsidRPr="00204D01">
        <w:rPr>
          <w:i/>
          <w:lang w:eastAsia="pt-BR"/>
        </w:rPr>
        <w:t>Polícia Militar.</w:t>
      </w:r>
    </w:p>
    <w:p w:rsidR="00B35718" w:rsidRPr="00630EBC" w:rsidRDefault="00B35718" w:rsidP="0045182E">
      <w:pPr>
        <w:ind w:right="-1"/>
        <w:rPr>
          <w:lang w:eastAsia="pt-BR"/>
        </w:rPr>
      </w:pPr>
    </w:p>
    <w:p w:rsidR="00B35718" w:rsidRDefault="00B35718" w:rsidP="00D30756">
      <w:pPr>
        <w:pStyle w:val="Texto3N"/>
      </w:pPr>
      <w:r>
        <w:lastRenderedPageBreak/>
        <w:t xml:space="preserve">Durante o procedimento de interdição, para fins de manutenção e correção das </w:t>
      </w:r>
      <w:r w:rsidR="008640EE">
        <w:t>não conformidades</w:t>
      </w:r>
      <w:r>
        <w:t xml:space="preserve"> no local, pelo menos um dos acessos à edificação não deve ser lacrado.</w:t>
      </w:r>
    </w:p>
    <w:p w:rsidR="00630EBC" w:rsidRDefault="00CB0012" w:rsidP="00D30756">
      <w:pPr>
        <w:pStyle w:val="Texto3N"/>
      </w:pPr>
      <w:r>
        <w:t xml:space="preserve">A desinterdição deve ser procedida de documento </w:t>
      </w:r>
      <w:r w:rsidR="006753D5">
        <w:t>que comunica</w:t>
      </w:r>
      <w:r w:rsidR="00630EBC" w:rsidRPr="00630EBC">
        <w:t xml:space="preserve"> a liberação do local que se encontrava interditado</w:t>
      </w:r>
      <w:r w:rsidR="006753D5">
        <w:t xml:space="preserve"> às partes envolvidas.</w:t>
      </w:r>
    </w:p>
    <w:p w:rsidR="00630EBC" w:rsidRPr="00630EBC" w:rsidRDefault="00610C9E" w:rsidP="00630EBC">
      <w:pPr>
        <w:pStyle w:val="Ttulo2"/>
        <w:rPr>
          <w:lang w:eastAsia="pt-BR"/>
        </w:rPr>
      </w:pPr>
      <w:r>
        <w:rPr>
          <w:lang w:eastAsia="pt-BR"/>
        </w:rPr>
        <w:t>Embargo</w:t>
      </w:r>
    </w:p>
    <w:p w:rsidR="00610C9E" w:rsidRPr="00610C9E" w:rsidRDefault="00610C9E" w:rsidP="00D30756">
      <w:pPr>
        <w:pStyle w:val="Texto3N"/>
      </w:pPr>
      <w:r w:rsidRPr="00610C9E">
        <w:t>O embargo é o ato formal de registro de autuação do Corpo de Bombeiros Militar interrompendo a execução de construção ou reforma de imóvel quando esta:</w:t>
      </w:r>
    </w:p>
    <w:p w:rsidR="00610C9E" w:rsidRDefault="00610C9E" w:rsidP="00610C9E">
      <w:pPr>
        <w:pStyle w:val="PargrafodaLista"/>
        <w:numPr>
          <w:ilvl w:val="0"/>
          <w:numId w:val="36"/>
        </w:numPr>
        <w:ind w:left="714" w:hanging="357"/>
        <w:contextualSpacing w:val="0"/>
      </w:pPr>
      <w:r>
        <w:rPr>
          <w:lang w:eastAsia="pt-BR"/>
        </w:rPr>
        <w:t>não possuir Alvará de Construção do Corpo de Bombeiros (ACCB), salvo os casos em que o ACCB não é exigido;</w:t>
      </w:r>
    </w:p>
    <w:p w:rsidR="00610C9E" w:rsidRDefault="00610C9E" w:rsidP="00610C9E">
      <w:pPr>
        <w:pStyle w:val="PargrafodaLista"/>
        <w:numPr>
          <w:ilvl w:val="0"/>
          <w:numId w:val="36"/>
        </w:numPr>
        <w:ind w:left="714" w:hanging="357"/>
        <w:contextualSpacing w:val="0"/>
      </w:pPr>
      <w:proofErr w:type="gramStart"/>
      <w:r>
        <w:rPr>
          <w:lang w:eastAsia="pt-BR"/>
        </w:rPr>
        <w:t>estiver</w:t>
      </w:r>
      <w:proofErr w:type="gramEnd"/>
      <w:r>
        <w:rPr>
          <w:lang w:eastAsia="pt-BR"/>
        </w:rPr>
        <w:t xml:space="preserve"> em desacordo com projeto técnico de segurança contra incêndio e emergências devidamente aprovado pelo CBMAL;</w:t>
      </w:r>
    </w:p>
    <w:p w:rsidR="00610C9E" w:rsidRDefault="00610C9E" w:rsidP="00610C9E">
      <w:pPr>
        <w:pStyle w:val="PargrafodaLista"/>
        <w:numPr>
          <w:ilvl w:val="0"/>
          <w:numId w:val="36"/>
        </w:numPr>
        <w:ind w:left="714" w:hanging="357"/>
        <w:contextualSpacing w:val="0"/>
      </w:pPr>
      <w:r>
        <w:rPr>
          <w:lang w:eastAsia="pt-BR"/>
        </w:rPr>
        <w:t>estiver em situação de risco iminente, devidamente fundamentado.</w:t>
      </w:r>
    </w:p>
    <w:p w:rsidR="00610C9E" w:rsidRDefault="00610C9E" w:rsidP="00D30756">
      <w:pPr>
        <w:pStyle w:val="Texto3N"/>
      </w:pPr>
      <w:r>
        <w:t xml:space="preserve">Os embargos decorrentes das alíneas “a” e “c” do item </w:t>
      </w:r>
      <w:r w:rsidR="00880B67">
        <w:t>7.5.1</w:t>
      </w:r>
      <w:r>
        <w:t xml:space="preserve"> é de natureza cautelar, até o cumprimento total das exigências que descaracterizem a situação, sendo o auto lavrado de imediato e encaminhado ao setor de obras da prefeitura local.</w:t>
      </w:r>
    </w:p>
    <w:p w:rsidR="00610C9E" w:rsidRDefault="00610C9E" w:rsidP="00D30756">
      <w:pPr>
        <w:pStyle w:val="Texto3N"/>
      </w:pPr>
      <w:r>
        <w:t>O embargo decorrente da alínea “b” deve ser realizado após prazo de 30 (trinta) dias da notificação, caso esta não seja sanada, sendo o auto lavrado e encaminhado ao setor de obras da prefeitura local.</w:t>
      </w:r>
    </w:p>
    <w:p w:rsidR="00610C9E" w:rsidRPr="00630EBC" w:rsidRDefault="00610C9E" w:rsidP="00610C9E">
      <w:pPr>
        <w:rPr>
          <w:lang w:eastAsia="pt-BR"/>
        </w:rPr>
      </w:pPr>
      <w:r w:rsidRPr="00630EBC">
        <w:rPr>
          <w:b/>
          <w:i/>
          <w:lang w:eastAsia="pt-BR"/>
        </w:rPr>
        <w:t>Nota</w:t>
      </w:r>
      <w:r w:rsidRPr="00630EBC">
        <w:rPr>
          <w:i/>
          <w:lang w:eastAsia="pt-BR"/>
        </w:rPr>
        <w:t xml:space="preserve">: Caso o Projeto já esteja protocolado no CBMAL, o Chefe da Análise de Projeto deverá emitir parecer sobre a pertinência ou não da medida de embargo. </w:t>
      </w:r>
    </w:p>
    <w:p w:rsidR="00610C9E" w:rsidRDefault="00610C9E" w:rsidP="00D30756">
      <w:pPr>
        <w:pStyle w:val="Texto3N"/>
      </w:pPr>
      <w:r>
        <w:t xml:space="preserve">O Auto de Embargo é o documento hábil para </w:t>
      </w:r>
      <w:r w:rsidR="003E2234">
        <w:t xml:space="preserve">fundamentar e </w:t>
      </w:r>
      <w:r>
        <w:t>comunicar a aplicação da sanção de embargo, podendo ser substituído pela Notificação.</w:t>
      </w:r>
    </w:p>
    <w:p w:rsidR="00610C9E" w:rsidRDefault="00610C9E" w:rsidP="00610C9E">
      <w:pPr>
        <w:rPr>
          <w:lang w:eastAsia="pt-BR"/>
        </w:rPr>
      </w:pPr>
      <w:r>
        <w:rPr>
          <w:b/>
          <w:i/>
          <w:lang w:eastAsia="pt-BR"/>
        </w:rPr>
        <w:t>Nota</w:t>
      </w:r>
      <w:r>
        <w:rPr>
          <w:i/>
          <w:lang w:eastAsia="pt-BR"/>
        </w:rPr>
        <w:t xml:space="preserve">: O ato de embargo é executado por bombeiro militar e acompanhado de força policial quando necessário. </w:t>
      </w:r>
    </w:p>
    <w:p w:rsidR="00610C9E" w:rsidRDefault="00610C9E" w:rsidP="00D30756">
      <w:pPr>
        <w:pStyle w:val="Texto3N"/>
      </w:pPr>
      <w:r>
        <w:t>Será aplicada multa de 500 (quinhentos) UPFAL para o imóvel que funcione embargado, nos termo</w:t>
      </w:r>
      <w:r w:rsidR="007A5771">
        <w:t>s</w:t>
      </w:r>
      <w:r>
        <w:t xml:space="preserve"> do Art. 60 do </w:t>
      </w:r>
      <w:r w:rsidR="007A5771" w:rsidRPr="007A5771">
        <w:t>Decreto nº 55.175/2017</w:t>
      </w:r>
      <w:r>
        <w:t xml:space="preserve">. </w:t>
      </w:r>
    </w:p>
    <w:p w:rsidR="00630EBC" w:rsidRPr="00630EBC" w:rsidRDefault="00630EBC" w:rsidP="00D30756">
      <w:pPr>
        <w:pStyle w:val="Texto3N"/>
      </w:pPr>
      <w:r w:rsidRPr="00630EBC">
        <w:t xml:space="preserve">O desembargo de imóvel é efetuado por bombeiro militar após correção de todas as causas que motivaram o embargo, devendo ocorrer tão logo haja comunicação formal ao CBMAL, por parte do responsável pelo imóvel.  </w:t>
      </w:r>
    </w:p>
    <w:p w:rsidR="007A5771" w:rsidRDefault="007A5771" w:rsidP="007A5771">
      <w:pPr>
        <w:pStyle w:val="Texto4N"/>
      </w:pPr>
      <w:r>
        <w:t>O desembargo deve ser procedido de documento que comunica</w:t>
      </w:r>
      <w:r w:rsidRPr="00630EBC">
        <w:t xml:space="preserve"> a liberação</w:t>
      </w:r>
      <w:r w:rsidR="0027229B">
        <w:t xml:space="preserve"> </w:t>
      </w:r>
      <w:r w:rsidR="0027229B" w:rsidRPr="0027229B">
        <w:t>por parte do CBMAL</w:t>
      </w:r>
      <w:r w:rsidRPr="00630EBC">
        <w:t xml:space="preserve"> </w:t>
      </w:r>
      <w:r>
        <w:t>da construção ou reforma.</w:t>
      </w:r>
    </w:p>
    <w:p w:rsidR="0027229B" w:rsidRPr="00630EBC" w:rsidRDefault="0027229B" w:rsidP="0027229B">
      <w:pPr>
        <w:rPr>
          <w:lang w:eastAsia="pt-BR"/>
        </w:rPr>
      </w:pPr>
      <w:r w:rsidRPr="00630EBC">
        <w:rPr>
          <w:b/>
          <w:i/>
          <w:lang w:eastAsia="pt-BR"/>
        </w:rPr>
        <w:t>Nota</w:t>
      </w:r>
      <w:r w:rsidRPr="00630EBC">
        <w:rPr>
          <w:i/>
          <w:lang w:eastAsia="pt-BR"/>
        </w:rPr>
        <w:t xml:space="preserve">: </w:t>
      </w:r>
      <w:r>
        <w:rPr>
          <w:i/>
          <w:lang w:eastAsia="pt-BR"/>
        </w:rPr>
        <w:t>O setor de obras prefeitura local deve ter ciência de que a construção ou reforma foi desembargada pelo CBMAL</w:t>
      </w:r>
      <w:r w:rsidRPr="00630EBC">
        <w:rPr>
          <w:i/>
          <w:lang w:eastAsia="pt-BR"/>
        </w:rPr>
        <w:t>.</w:t>
      </w:r>
    </w:p>
    <w:p w:rsidR="00630EBC" w:rsidRPr="00DF795D" w:rsidRDefault="00DF795D" w:rsidP="00DF795D">
      <w:pPr>
        <w:pStyle w:val="Ttulo2"/>
      </w:pPr>
      <w:r w:rsidRPr="00DF795D">
        <w:t>Apreensão</w:t>
      </w:r>
    </w:p>
    <w:p w:rsidR="00F32346" w:rsidRPr="00F32346" w:rsidRDefault="002E4D98" w:rsidP="00D30756">
      <w:pPr>
        <w:pStyle w:val="Texto3N"/>
      </w:pPr>
      <w:r>
        <w:t>Os</w:t>
      </w:r>
      <w:r w:rsidR="00F32346" w:rsidRPr="00F32346">
        <w:t xml:space="preserve"> </w:t>
      </w:r>
      <w:r w:rsidR="00F32346">
        <w:t>equipamentos</w:t>
      </w:r>
      <w:r w:rsidR="00F32346" w:rsidRPr="00F32346">
        <w:t xml:space="preserve"> </w:t>
      </w:r>
      <w:r>
        <w:t xml:space="preserve">de segurança contra incêndio e emergências </w:t>
      </w:r>
      <w:r w:rsidR="008D04BA">
        <w:t xml:space="preserve">em </w:t>
      </w:r>
      <w:r w:rsidR="008D04BA" w:rsidRPr="008D04BA">
        <w:t xml:space="preserve">desacordo com as especificações técnicas </w:t>
      </w:r>
      <w:r w:rsidR="008D04BA">
        <w:t>ou utilizados indevidamente</w:t>
      </w:r>
      <w:r>
        <w:t xml:space="preserve"> e que tragam riscos aos usuários</w:t>
      </w:r>
      <w:r w:rsidR="00F32346" w:rsidRPr="00F32346">
        <w:t xml:space="preserve"> implica ao infrator, além das sanções previstas, a apreensão pel</w:t>
      </w:r>
      <w:r w:rsidR="003F617E">
        <w:t>o bombeiro militar</w:t>
      </w:r>
      <w:r w:rsidR="00F32346" w:rsidRPr="00F32346">
        <w:t xml:space="preserve"> no local, com comunicação aos órgãos competentes. </w:t>
      </w:r>
    </w:p>
    <w:p w:rsidR="00630EBC" w:rsidRPr="00070494" w:rsidRDefault="00630EBC" w:rsidP="00D30756">
      <w:pPr>
        <w:pStyle w:val="Texto3N"/>
      </w:pPr>
      <w:r w:rsidRPr="00070494">
        <w:t xml:space="preserve">O armazenamento de </w:t>
      </w:r>
      <w:r w:rsidR="002214CE">
        <w:t>materia</w:t>
      </w:r>
      <w:r w:rsidR="000D1AB3">
        <w:t>is</w:t>
      </w:r>
      <w:r w:rsidRPr="00070494">
        <w:t xml:space="preserve"> </w:t>
      </w:r>
      <w:r w:rsidR="003F617E">
        <w:t>incompatível</w:t>
      </w:r>
      <w:r w:rsidRPr="00070494">
        <w:t xml:space="preserve"> com o local</w:t>
      </w:r>
      <w:r w:rsidR="003F617E">
        <w:t xml:space="preserve"> e que crie situação de risco iminente</w:t>
      </w:r>
      <w:r w:rsidRPr="00070494">
        <w:t xml:space="preserve"> implica ao infrator, além das sanções previstas, a apreensão pel</w:t>
      </w:r>
      <w:r w:rsidR="005F2029">
        <w:t>o</w:t>
      </w:r>
      <w:r w:rsidRPr="00070494">
        <w:t xml:space="preserve"> </w:t>
      </w:r>
      <w:r w:rsidR="005F2029" w:rsidRPr="005F2029">
        <w:t xml:space="preserve">bombeiro militar </w:t>
      </w:r>
      <w:r w:rsidRPr="00070494">
        <w:t>no local, com comu</w:t>
      </w:r>
      <w:r w:rsidR="003F617E">
        <w:t>nicação aos órgãos competentes.</w:t>
      </w:r>
    </w:p>
    <w:p w:rsidR="000333E9" w:rsidRDefault="000333E9" w:rsidP="000333E9">
      <w:pPr>
        <w:pStyle w:val="Texto3N"/>
      </w:pPr>
      <w:r>
        <w:t xml:space="preserve">Sempre que for possível o cumprimento </w:t>
      </w:r>
      <w:r w:rsidRPr="00DF795D">
        <w:t>d</w:t>
      </w:r>
      <w:r>
        <w:t>e</w:t>
      </w:r>
      <w:r w:rsidRPr="00DF795D">
        <w:t xml:space="preserve"> exigências</w:t>
      </w:r>
      <w:r>
        <w:t xml:space="preserve"> normativas</w:t>
      </w:r>
      <w:r w:rsidRPr="00DF795D">
        <w:t xml:space="preserve"> que </w:t>
      </w:r>
      <w:r>
        <w:t>elimine</w:t>
      </w:r>
      <w:r w:rsidRPr="00DF795D">
        <w:t xml:space="preserve"> a situação</w:t>
      </w:r>
      <w:r>
        <w:t xml:space="preserve"> de risco, a pena de apreensão pode ser substituída por notificação ou interdição, sem prejuízo da comunicação aos órgãos competentes.</w:t>
      </w:r>
    </w:p>
    <w:p w:rsidR="00A01897" w:rsidRPr="00070494" w:rsidRDefault="00A01897" w:rsidP="00A01897">
      <w:pPr>
        <w:pStyle w:val="Texto3N"/>
      </w:pPr>
      <w:r w:rsidRPr="00070494">
        <w:t xml:space="preserve">O CBMAL pode </w:t>
      </w:r>
      <w:r>
        <w:t xml:space="preserve">estabelecer </w:t>
      </w:r>
      <w:r w:rsidRPr="00070494">
        <w:t xml:space="preserve">fiel depositário </w:t>
      </w:r>
      <w:r>
        <w:t xml:space="preserve">para os equipamentos e materiais </w:t>
      </w:r>
      <w:r w:rsidRPr="00070494">
        <w:t>apreendidos, tomando por base critérios de segurança.</w:t>
      </w:r>
    </w:p>
    <w:p w:rsidR="00A01897" w:rsidRDefault="00F32346" w:rsidP="005F2029">
      <w:pPr>
        <w:pStyle w:val="Texto3N"/>
      </w:pPr>
      <w:r>
        <w:t>Quando as condições de segurança não permitirem a apreensão</w:t>
      </w:r>
      <w:r w:rsidR="001C34DB">
        <w:t xml:space="preserve"> de imediato</w:t>
      </w:r>
      <w:r>
        <w:t xml:space="preserve">, o </w:t>
      </w:r>
      <w:r w:rsidR="005F2029">
        <w:t>bombeiro militar</w:t>
      </w:r>
      <w:r>
        <w:t xml:space="preserve"> </w:t>
      </w:r>
      <w:r w:rsidR="00A01897">
        <w:t>deve aplicar</w:t>
      </w:r>
      <w:r>
        <w:t xml:space="preserve"> a pena de interdição</w:t>
      </w:r>
      <w:r w:rsidR="00A01897">
        <w:t>.</w:t>
      </w:r>
    </w:p>
    <w:p w:rsidR="001C34DB" w:rsidRPr="0093176A" w:rsidRDefault="001C34DB" w:rsidP="001C34DB">
      <w:pPr>
        <w:pStyle w:val="Texto4N"/>
      </w:pPr>
      <w:r w:rsidRPr="0093176A">
        <w:t>O CBMAL pode viabilizar junto a órgãos de competências correlatas as condições necessárias para que seja realizada a apreensão.</w:t>
      </w:r>
    </w:p>
    <w:p w:rsidR="000A3D72" w:rsidRDefault="00630EBC" w:rsidP="000A3D72">
      <w:pPr>
        <w:pStyle w:val="Texto3N"/>
      </w:pPr>
      <w:r w:rsidRPr="00070494">
        <w:lastRenderedPageBreak/>
        <w:t>O Auto de Apreensão é o documento hábil para</w:t>
      </w:r>
      <w:r w:rsidR="003E2234">
        <w:t xml:space="preserve"> fundamentar e</w:t>
      </w:r>
      <w:r w:rsidRPr="00070494">
        <w:t xml:space="preserve"> comunicar a ap</w:t>
      </w:r>
      <w:r w:rsidR="000A3D72">
        <w:t>licação da sanção de apreensão, podendo ser substituído pela Notificação</w:t>
      </w:r>
      <w:r w:rsidR="003E2234">
        <w:t>.</w:t>
      </w:r>
    </w:p>
    <w:p w:rsidR="00815F33" w:rsidRDefault="00815F33" w:rsidP="00815F33">
      <w:pPr>
        <w:pStyle w:val="Texto3N"/>
      </w:pPr>
      <w:r>
        <w:t>O proprietário ou respon</w:t>
      </w:r>
      <w:r w:rsidR="007C1BA6">
        <w:t>sável pelo uso tem um prazo de 6</w:t>
      </w:r>
      <w:r>
        <w:t>0 (</w:t>
      </w:r>
      <w:r w:rsidR="007C1BA6">
        <w:t>sessenta</w:t>
      </w:r>
      <w:r>
        <w:t xml:space="preserve">) dias, a contar da data da apreensão, </w:t>
      </w:r>
      <w:r w:rsidRPr="00815F33">
        <w:t>para requerer fundamentadamente a s</w:t>
      </w:r>
      <w:r>
        <w:t xml:space="preserve">ua devolução, </w:t>
      </w:r>
      <w:r w:rsidR="005E6E76">
        <w:t>devendo ainda</w:t>
      </w:r>
      <w:r w:rsidR="002476A5">
        <w:t xml:space="preserve"> </w:t>
      </w:r>
      <w:r w:rsidR="005E6E76">
        <w:t xml:space="preserve">apresentar </w:t>
      </w:r>
      <w:r>
        <w:t xml:space="preserve">nota fiscal que comprove a propriedade </w:t>
      </w:r>
      <w:r w:rsidR="00AE4CA8">
        <w:t xml:space="preserve">do </w:t>
      </w:r>
      <w:r w:rsidR="005E6E76">
        <w:t>bem</w:t>
      </w:r>
      <w:r w:rsidR="00AE4CA8">
        <w:t xml:space="preserve"> apreendido</w:t>
      </w:r>
      <w:r>
        <w:t xml:space="preserve">, </w:t>
      </w:r>
      <w:r w:rsidR="007C1BA6">
        <w:t>bem como</w:t>
      </w:r>
      <w:r>
        <w:t xml:space="preserve"> </w:t>
      </w:r>
      <w:r w:rsidR="007C1BA6">
        <w:t xml:space="preserve">comprovante de </w:t>
      </w:r>
      <w:r w:rsidR="002476A5">
        <w:t>recolhimento de taxas específicas na legislação em vigor.</w:t>
      </w:r>
      <w:r>
        <w:t xml:space="preserve"> </w:t>
      </w:r>
    </w:p>
    <w:p w:rsidR="007C1BA6" w:rsidRDefault="007C1BA6" w:rsidP="00AE4CA8">
      <w:pPr>
        <w:pStyle w:val="Texto4N"/>
      </w:pPr>
      <w:r>
        <w:t xml:space="preserve">O direito de prorrogação de prazo de notificação não altera o prazo máximo </w:t>
      </w:r>
      <w:r w:rsidR="00F4628D">
        <w:t>do item 7.6.6.</w:t>
      </w:r>
    </w:p>
    <w:p w:rsidR="00815F33" w:rsidRDefault="00AE4CA8" w:rsidP="00AE4CA8">
      <w:pPr>
        <w:pStyle w:val="Texto4N"/>
      </w:pPr>
      <w:r>
        <w:t>Findado o prazo d</w:t>
      </w:r>
      <w:r w:rsidR="00F4628D">
        <w:t>o item 7.6.6</w:t>
      </w:r>
      <w:r>
        <w:t xml:space="preserve"> </w:t>
      </w:r>
      <w:r w:rsidR="005E55FC">
        <w:t>e não havendo manifestação para devolução com deferimento</w:t>
      </w:r>
      <w:r w:rsidR="00FE6102">
        <w:t xml:space="preserve"> de comissão técnica</w:t>
      </w:r>
      <w:r>
        <w:t>,</w:t>
      </w:r>
      <w:r w:rsidR="00FE492E">
        <w:t xml:space="preserve"> cabe</w:t>
      </w:r>
      <w:r>
        <w:t xml:space="preserve"> </w:t>
      </w:r>
      <w:r w:rsidR="00FE492E">
        <w:t>a</w:t>
      </w:r>
      <w:r>
        <w:t>o CBMAL promover a des</w:t>
      </w:r>
      <w:r w:rsidR="00FE492E">
        <w:t xml:space="preserve">tinação do material apreendido por meio de </w:t>
      </w:r>
      <w:r>
        <w:t>destruição</w:t>
      </w:r>
      <w:r w:rsidR="00583CDA">
        <w:t xml:space="preserve"> sustentável, descarte</w:t>
      </w:r>
      <w:r w:rsidR="00FE492E">
        <w:t xml:space="preserve"> ou doação</w:t>
      </w:r>
      <w:r>
        <w:t>.</w:t>
      </w:r>
    </w:p>
    <w:p w:rsidR="00F4628D" w:rsidRDefault="00FE492E" w:rsidP="00F4628D">
      <w:pPr>
        <w:pStyle w:val="Texto4N"/>
      </w:pPr>
      <w:r>
        <w:t xml:space="preserve">Não cabe a devolução de equipamentos e materiais </w:t>
      </w:r>
      <w:r w:rsidR="00F4628D" w:rsidRPr="005E6E76">
        <w:t xml:space="preserve">em </w:t>
      </w:r>
      <w:r>
        <w:t>desacordo com</w:t>
      </w:r>
      <w:r w:rsidR="00F4628D" w:rsidRPr="005E6E76">
        <w:t xml:space="preserve"> especificações técnicas</w:t>
      </w:r>
      <w:r>
        <w:t xml:space="preserve"> ou fora de validade, devendo o CBMAL promover o descarte ou destruição sustentável</w:t>
      </w:r>
      <w:r w:rsidR="00510540">
        <w:t>, independente do prazo do item 7.6.6</w:t>
      </w:r>
      <w:r>
        <w:t>.</w:t>
      </w:r>
    </w:p>
    <w:p w:rsidR="00070494" w:rsidRPr="00070494" w:rsidRDefault="0093176A" w:rsidP="00630EBC">
      <w:pPr>
        <w:pStyle w:val="Ttulo2"/>
        <w:rPr>
          <w:lang w:eastAsia="pt-BR"/>
        </w:rPr>
      </w:pPr>
      <w:bookmarkStart w:id="3" w:name="_3dy6vkm" w:colFirst="0" w:colLast="0"/>
      <w:bookmarkEnd w:id="3"/>
      <w:r>
        <w:rPr>
          <w:lang w:eastAsia="pt-BR"/>
        </w:rPr>
        <w:t>Cassação de Alvará</w:t>
      </w:r>
    </w:p>
    <w:p w:rsidR="003F59E1" w:rsidRDefault="003F59E1" w:rsidP="003F59E1">
      <w:pPr>
        <w:pStyle w:val="Texto3N"/>
      </w:pPr>
      <w:bookmarkStart w:id="4" w:name="_tyjcwt" w:colFirst="0" w:colLast="0"/>
      <w:bookmarkStart w:id="5" w:name="_17dp8vu" w:colFirst="0" w:colLast="0"/>
      <w:bookmarkEnd w:id="4"/>
      <w:bookmarkEnd w:id="5"/>
      <w:r w:rsidRPr="003F59E1">
        <w:t xml:space="preserve">A </w:t>
      </w:r>
      <w:r>
        <w:t>Cassação de Alvará</w:t>
      </w:r>
      <w:r w:rsidRPr="003F59E1">
        <w:t xml:space="preserve"> é o ato formal</w:t>
      </w:r>
      <w:r>
        <w:t xml:space="preserve">, que após constatação de </w:t>
      </w:r>
      <w:r w:rsidR="008640EE">
        <w:t>não conformidades</w:t>
      </w:r>
      <w:r w:rsidR="0028529F">
        <w:t xml:space="preserve"> em vistoria técnica de fiscalização</w:t>
      </w:r>
      <w:r>
        <w:t>, invalida a licença emitida pelo CBMAL.</w:t>
      </w:r>
    </w:p>
    <w:p w:rsidR="003169FF" w:rsidRDefault="003169FF" w:rsidP="00602685">
      <w:pPr>
        <w:pStyle w:val="Texto3N"/>
      </w:pPr>
      <w:r>
        <w:t xml:space="preserve">A </w:t>
      </w:r>
      <w:r w:rsidR="00DD6B38">
        <w:t>N</w:t>
      </w:r>
      <w:r>
        <w:t>otificação</w:t>
      </w:r>
      <w:r w:rsidR="00DD6B38">
        <w:t xml:space="preserve"> decorrente de </w:t>
      </w:r>
      <w:r w:rsidR="00DD6B38" w:rsidRPr="00DD6B38">
        <w:t>vistoria técnica de fiscalização</w:t>
      </w:r>
      <w:r w:rsidR="00DD6B38">
        <w:t xml:space="preserve"> implica na </w:t>
      </w:r>
      <w:r>
        <w:t xml:space="preserve">suspensão </w:t>
      </w:r>
      <w:r w:rsidR="00602685">
        <w:t>temporária</w:t>
      </w:r>
      <w:r>
        <w:t xml:space="preserve"> </w:t>
      </w:r>
      <w:r w:rsidR="00DD6B38">
        <w:t>de</w:t>
      </w:r>
      <w:r>
        <w:t xml:space="preserve"> qualquer licença emitida pelo C</w:t>
      </w:r>
      <w:r w:rsidR="00602685">
        <w:t>BMAL</w:t>
      </w:r>
      <w:r>
        <w:t>.</w:t>
      </w:r>
    </w:p>
    <w:p w:rsidR="00D3239B" w:rsidRDefault="00602685" w:rsidP="00D3239B">
      <w:pPr>
        <w:pStyle w:val="Texto3N"/>
      </w:pPr>
      <w:r>
        <w:t>A suspensão de licença retira temporariamente os efeitos legais dos alvarás emitidos pelo CBMAL</w:t>
      </w:r>
      <w:r w:rsidR="00D3239B">
        <w:t>, ficando o estabelecimento ou evento sujeito às demais sanções</w:t>
      </w:r>
      <w:r w:rsidR="00797594">
        <w:t xml:space="preserve"> administrativas</w:t>
      </w:r>
      <w:r w:rsidR="00D3239B">
        <w:t xml:space="preserve"> cabíveis, em especial à pena de interdição e embargo</w:t>
      </w:r>
      <w:r>
        <w:t>.</w:t>
      </w:r>
    </w:p>
    <w:p w:rsidR="00D3239B" w:rsidRDefault="00602685" w:rsidP="00D3239B">
      <w:pPr>
        <w:pStyle w:val="Texto3N"/>
      </w:pPr>
      <w:r>
        <w:t xml:space="preserve">Sanadas as </w:t>
      </w:r>
      <w:r w:rsidR="008640EE">
        <w:t>não conformidades</w:t>
      </w:r>
      <w:r w:rsidR="00D3239B">
        <w:t xml:space="preserve"> no prazo da notificação</w:t>
      </w:r>
      <w:r>
        <w:t xml:space="preserve">, </w:t>
      </w:r>
      <w:r w:rsidR="00D3239B">
        <w:t>revoga-se a suspensão de licença retornando os efeitos legais dos alvarás emitidos pelo CBMAL.</w:t>
      </w:r>
    </w:p>
    <w:p w:rsidR="00602685" w:rsidRDefault="00D3239B" w:rsidP="00D3239B">
      <w:pPr>
        <w:pStyle w:val="Texto3N"/>
      </w:pPr>
      <w:r>
        <w:t xml:space="preserve">Findo o prazo da notificação sem correção das </w:t>
      </w:r>
      <w:r w:rsidR="008640EE">
        <w:t>não conformidades</w:t>
      </w:r>
      <w:r>
        <w:t>, o CBMAL iniciará o processo de cassação do alvará.</w:t>
      </w:r>
    </w:p>
    <w:p w:rsidR="00070494" w:rsidRDefault="001317A9" w:rsidP="00DA1324">
      <w:pPr>
        <w:pStyle w:val="Ttulo1"/>
        <w:rPr>
          <w:lang w:eastAsia="pt-BR"/>
        </w:rPr>
      </w:pPr>
      <w:r>
        <w:rPr>
          <w:lang w:eastAsia="pt-BR"/>
        </w:rPr>
        <w:t>DIREITO DE DEFESA</w:t>
      </w:r>
    </w:p>
    <w:p w:rsidR="00534E4C" w:rsidRDefault="00534E4C" w:rsidP="009D2338">
      <w:pPr>
        <w:pStyle w:val="Texto2N"/>
        <w:rPr>
          <w:lang w:eastAsia="pt-BR"/>
        </w:rPr>
      </w:pPr>
      <w:r>
        <w:rPr>
          <w:lang w:eastAsia="pt-BR"/>
        </w:rPr>
        <w:t>Ao</w:t>
      </w:r>
      <w:r w:rsidRPr="00534E4C">
        <w:rPr>
          <w:lang w:eastAsia="pt-BR"/>
        </w:rPr>
        <w:t xml:space="preserve"> responsável pel</w:t>
      </w:r>
      <w:r>
        <w:rPr>
          <w:lang w:eastAsia="pt-BR"/>
        </w:rPr>
        <w:t>o imóvel</w:t>
      </w:r>
      <w:r w:rsidRPr="00534E4C">
        <w:rPr>
          <w:lang w:eastAsia="pt-BR"/>
        </w:rPr>
        <w:t xml:space="preserve"> </w:t>
      </w:r>
      <w:r>
        <w:rPr>
          <w:lang w:eastAsia="pt-BR"/>
        </w:rPr>
        <w:t>cabe</w:t>
      </w:r>
      <w:r w:rsidR="00B2698B">
        <w:rPr>
          <w:lang w:eastAsia="pt-BR"/>
        </w:rPr>
        <w:t xml:space="preserve"> o direito de defesa, através de</w:t>
      </w:r>
      <w:r>
        <w:rPr>
          <w:lang w:eastAsia="pt-BR"/>
        </w:rPr>
        <w:t xml:space="preserve"> </w:t>
      </w:r>
      <w:r w:rsidR="00E238D2">
        <w:rPr>
          <w:lang w:eastAsia="pt-BR"/>
        </w:rPr>
        <w:t>contestação</w:t>
      </w:r>
      <w:r w:rsidRPr="00534E4C">
        <w:rPr>
          <w:lang w:eastAsia="pt-BR"/>
        </w:rPr>
        <w:t xml:space="preserve"> devidamente fundamentada das não conformidades elencadas</w:t>
      </w:r>
      <w:r w:rsidR="008640EE">
        <w:rPr>
          <w:lang w:eastAsia="pt-BR"/>
        </w:rPr>
        <w:t xml:space="preserve"> em notificação</w:t>
      </w:r>
      <w:r w:rsidRPr="00534E4C">
        <w:rPr>
          <w:lang w:eastAsia="pt-BR"/>
        </w:rPr>
        <w:t xml:space="preserve"> ou</w:t>
      </w:r>
      <w:r w:rsidR="0059540E">
        <w:rPr>
          <w:lang w:eastAsia="pt-BR"/>
        </w:rPr>
        <w:t xml:space="preserve"> das</w:t>
      </w:r>
      <w:r w:rsidRPr="00534E4C">
        <w:rPr>
          <w:lang w:eastAsia="pt-BR"/>
        </w:rPr>
        <w:t xml:space="preserve"> penalidades aplicadas</w:t>
      </w:r>
      <w:r w:rsidR="008640EE">
        <w:rPr>
          <w:lang w:eastAsia="pt-BR"/>
        </w:rPr>
        <w:t xml:space="preserve"> pelo CBMAL</w:t>
      </w:r>
      <w:r w:rsidR="00B2698B">
        <w:rPr>
          <w:lang w:eastAsia="pt-BR"/>
        </w:rPr>
        <w:t>.</w:t>
      </w:r>
    </w:p>
    <w:p w:rsidR="0073281B" w:rsidRDefault="001F5A2C" w:rsidP="009D2338">
      <w:pPr>
        <w:pStyle w:val="Texto2N"/>
      </w:pPr>
      <w:r>
        <w:t>A defesa deve</w:t>
      </w:r>
      <w:r w:rsidR="00153759">
        <w:t xml:space="preserve"> ser protocolada nos órgãos do serviço de segurança contra incêndio e emergências</w:t>
      </w:r>
      <w:r w:rsidR="0073281B">
        <w:t xml:space="preserve">, no </w:t>
      </w:r>
      <w:r w:rsidR="00534E4C">
        <w:t>p</w:t>
      </w:r>
      <w:r w:rsidR="0073281B">
        <w:t xml:space="preserve">razo </w:t>
      </w:r>
      <w:r w:rsidR="00534E4C">
        <w:t>de 30 (trinta) dias</w:t>
      </w:r>
      <w:r w:rsidR="0059540E">
        <w:t xml:space="preserve"> do recebimento da notificação</w:t>
      </w:r>
      <w:r w:rsidR="00153759">
        <w:t>.</w:t>
      </w:r>
    </w:p>
    <w:p w:rsidR="0073281B" w:rsidRDefault="0073281B" w:rsidP="009D2338">
      <w:pPr>
        <w:pStyle w:val="Texto2N"/>
      </w:pPr>
      <w:r>
        <w:t xml:space="preserve">A defesa </w:t>
      </w:r>
      <w:r w:rsidR="001F5A2C">
        <w:t>deve ser</w:t>
      </w:r>
      <w:r>
        <w:t xml:space="preserve"> apreciada por Comissã</w:t>
      </w:r>
      <w:r w:rsidR="001F5A2C">
        <w:t xml:space="preserve">o Técnica que </w:t>
      </w:r>
      <w:r w:rsidR="00203B04">
        <w:t xml:space="preserve">para </w:t>
      </w:r>
      <w:r w:rsidR="002F62D6">
        <w:t>proferir decisão</w:t>
      </w:r>
      <w:r w:rsidR="00203B04">
        <w:t xml:space="preserve"> deve analisar</w:t>
      </w:r>
      <w:r w:rsidR="001F5A2C" w:rsidRPr="001F5A2C">
        <w:t xml:space="preserve"> os aspect</w:t>
      </w:r>
      <w:r w:rsidR="00203B04">
        <w:t xml:space="preserve">os técnicos e legais da matéria podendo </w:t>
      </w:r>
      <w:r>
        <w:t>determinar a realização de diligências, bem como solicitar do interessado que junte ao processo documentos indispen</w:t>
      </w:r>
      <w:r w:rsidR="00E663D8">
        <w:t>sáveis à verificação dos fatos.</w:t>
      </w:r>
    </w:p>
    <w:p w:rsidR="0073281B" w:rsidRDefault="0073281B" w:rsidP="009D2338">
      <w:pPr>
        <w:pStyle w:val="Texto2N"/>
        <w:rPr>
          <w:lang w:eastAsia="pt-BR"/>
        </w:rPr>
      </w:pPr>
      <w:r>
        <w:t>A C</w:t>
      </w:r>
      <w:r w:rsidR="00203B04">
        <w:t xml:space="preserve">omissão </w:t>
      </w:r>
      <w:r>
        <w:t>T</w:t>
      </w:r>
      <w:r w:rsidR="00203B04">
        <w:t xml:space="preserve">écnica tem </w:t>
      </w:r>
      <w:r>
        <w:t>o prazo de 30 (trinta</w:t>
      </w:r>
      <w:r w:rsidR="00203B04">
        <w:t>) dias para proferir a decisão,</w:t>
      </w:r>
      <w:r w:rsidR="00203B04" w:rsidRPr="00203B04">
        <w:t xml:space="preserve"> </w:t>
      </w:r>
      <w:r w:rsidR="00203B04" w:rsidRPr="00203B04">
        <w:rPr>
          <w:bCs/>
        </w:rPr>
        <w:t>podendo</w:t>
      </w:r>
      <w:r>
        <w:t xml:space="preserve"> ser prorrogado por igual período.</w:t>
      </w:r>
    </w:p>
    <w:p w:rsidR="00203B04" w:rsidRDefault="00203B04" w:rsidP="00595F35">
      <w:pPr>
        <w:pStyle w:val="Texto3N"/>
      </w:pPr>
      <w:r>
        <w:t xml:space="preserve">Até </w:t>
      </w:r>
      <w:r w:rsidR="002F62D6">
        <w:t xml:space="preserve">que seja proferida decisão </w:t>
      </w:r>
      <w:r>
        <w:t>da Comissão Técnica</w:t>
      </w:r>
      <w:r w:rsidR="002F62D6">
        <w:t xml:space="preserve"> sobre a defesa</w:t>
      </w:r>
      <w:r w:rsidRPr="00203B04">
        <w:t>, fica suspenso o prazo estabelecido na notificação.</w:t>
      </w:r>
    </w:p>
    <w:p w:rsidR="008B51FD" w:rsidRDefault="0073281B" w:rsidP="009D2338">
      <w:pPr>
        <w:pStyle w:val="Texto2N"/>
      </w:pPr>
      <w:r>
        <w:t>Da decisão proferida pela C</w:t>
      </w:r>
      <w:r w:rsidR="0059540E">
        <w:t xml:space="preserve">omissão </w:t>
      </w:r>
      <w:r>
        <w:t>T</w:t>
      </w:r>
      <w:r w:rsidR="0059540E">
        <w:t>écnica</w:t>
      </w:r>
      <w:r>
        <w:t xml:space="preserve"> caberá recurso à Comissão Técnica Especial – CTE</w:t>
      </w:r>
      <w:r w:rsidR="00FE68E2">
        <w:t xml:space="preserve"> no prazo de</w:t>
      </w:r>
      <w:r>
        <w:t xml:space="preserve"> 15 (quinze) dias, contado a partir da ciência ou divulgação oficial da decisão.</w:t>
      </w:r>
    </w:p>
    <w:p w:rsidR="0073281B" w:rsidRDefault="0073281B" w:rsidP="008B51FD">
      <w:pPr>
        <w:pStyle w:val="Texto3N"/>
      </w:pPr>
      <w:r>
        <w:t xml:space="preserve"> </w:t>
      </w:r>
      <w:r w:rsidR="008B51FD">
        <w:t>Para fins de desburocratização, dentro do prazo de 15 (quinze) dias, cabe pedido de reanálise à própria comissão técnica, desde que sejam acrescentados fatos novos que ensejem no deferimento do pedido.</w:t>
      </w:r>
    </w:p>
    <w:p w:rsidR="0073281B" w:rsidRDefault="0073281B" w:rsidP="009D2338">
      <w:pPr>
        <w:pStyle w:val="Texto3N"/>
      </w:pPr>
      <w:r>
        <w:t xml:space="preserve">Cabe ao </w:t>
      </w:r>
      <w:r w:rsidR="009D2338">
        <w:t xml:space="preserve">Superintendente de Atividades Técnicas, assessorado pelo </w:t>
      </w:r>
      <w:r>
        <w:t>presidente da C</w:t>
      </w:r>
      <w:r w:rsidR="0059540E">
        <w:t xml:space="preserve">omissão </w:t>
      </w:r>
      <w:r>
        <w:t>T</w:t>
      </w:r>
      <w:r w:rsidR="0059540E">
        <w:t>écnica</w:t>
      </w:r>
      <w:r w:rsidR="009D2338">
        <w:t>,</w:t>
      </w:r>
      <w:r>
        <w:t xml:space="preserve"> o conheciment</w:t>
      </w:r>
      <w:r w:rsidR="009D2338">
        <w:t>o da reanálise ou recurso interposto.</w:t>
      </w:r>
    </w:p>
    <w:p w:rsidR="0073281B" w:rsidRDefault="0073281B" w:rsidP="009D2338">
      <w:pPr>
        <w:pStyle w:val="Texto2N"/>
        <w:rPr>
          <w:lang w:eastAsia="pt-BR"/>
        </w:rPr>
      </w:pPr>
      <w:r>
        <w:t xml:space="preserve">A </w:t>
      </w:r>
      <w:r w:rsidR="0059540E" w:rsidRPr="0059540E">
        <w:t xml:space="preserve">Comissão Técnica Especial </w:t>
      </w:r>
      <w:r>
        <w:t xml:space="preserve">poderá </w:t>
      </w:r>
      <w:proofErr w:type="gramStart"/>
      <w:r>
        <w:t>confirmar,</w:t>
      </w:r>
      <w:proofErr w:type="gramEnd"/>
      <w:r>
        <w:t xml:space="preserve"> modificar, anular ou revogar, total ou parcialmente, a decisão recorrida.</w:t>
      </w:r>
    </w:p>
    <w:p w:rsidR="00204D01" w:rsidRDefault="00204D01" w:rsidP="00204D01">
      <w:pPr>
        <w:pStyle w:val="Texto2N"/>
        <w:numPr>
          <w:ilvl w:val="0"/>
          <w:numId w:val="0"/>
        </w:numPr>
      </w:pPr>
    </w:p>
    <w:p w:rsidR="00204D01" w:rsidRPr="0073281B" w:rsidRDefault="00204D01" w:rsidP="00204D01">
      <w:pPr>
        <w:pStyle w:val="Texto2N"/>
        <w:numPr>
          <w:ilvl w:val="0"/>
          <w:numId w:val="0"/>
        </w:numPr>
        <w:rPr>
          <w:lang w:eastAsia="pt-BR"/>
        </w:rPr>
      </w:pPr>
    </w:p>
    <w:p w:rsidR="00A20379" w:rsidRDefault="00A20379" w:rsidP="00A20379">
      <w:pPr>
        <w:pStyle w:val="Ttulo1"/>
        <w:rPr>
          <w:lang w:eastAsia="pt-BR"/>
        </w:rPr>
      </w:pPr>
      <w:r>
        <w:rPr>
          <w:lang w:eastAsia="pt-BR"/>
        </w:rPr>
        <w:lastRenderedPageBreak/>
        <w:t>PRORROGAÇÃO DE PRAZO</w:t>
      </w:r>
    </w:p>
    <w:p w:rsidR="00017DD8" w:rsidRPr="00FA17A3" w:rsidRDefault="00A758FD" w:rsidP="00FA17A3">
      <w:pPr>
        <w:pStyle w:val="Texto2N"/>
        <w:rPr>
          <w:bCs/>
        </w:rPr>
      </w:pPr>
      <w:r>
        <w:rPr>
          <w:lang w:eastAsia="pt-BR"/>
        </w:rPr>
        <w:t>Para a</w:t>
      </w:r>
      <w:r w:rsidR="00017DD8">
        <w:rPr>
          <w:lang w:eastAsia="pt-BR"/>
        </w:rPr>
        <w:t xml:space="preserve"> prorrogação de prazo da notificação de vistoria técnica de fiscalização</w:t>
      </w:r>
      <w:r>
        <w:rPr>
          <w:lang w:eastAsia="pt-BR"/>
        </w:rPr>
        <w:t xml:space="preserve">, o requerente deve protocolar o pedido </w:t>
      </w:r>
      <w:r w:rsidR="008B4C15" w:rsidRPr="008B4C15">
        <w:rPr>
          <w:lang w:eastAsia="pt-BR"/>
        </w:rPr>
        <w:t xml:space="preserve">devidamente fundamentado </w:t>
      </w:r>
      <w:r>
        <w:rPr>
          <w:lang w:eastAsia="pt-BR"/>
        </w:rPr>
        <w:t xml:space="preserve">nos órgãos do </w:t>
      </w:r>
      <w:r w:rsidRPr="00A758FD">
        <w:rPr>
          <w:lang w:eastAsia="pt-BR"/>
        </w:rPr>
        <w:t>Serviço de Segurança Contra Incêndio e Emergências</w:t>
      </w:r>
      <w:r>
        <w:rPr>
          <w:lang w:eastAsia="pt-BR"/>
        </w:rPr>
        <w:t xml:space="preserve">, o qual </w:t>
      </w:r>
      <w:r w:rsidR="00017DD8">
        <w:rPr>
          <w:lang w:eastAsia="pt-BR"/>
        </w:rPr>
        <w:t>d</w:t>
      </w:r>
      <w:r>
        <w:rPr>
          <w:lang w:eastAsia="pt-BR"/>
        </w:rPr>
        <w:t xml:space="preserve">eve </w:t>
      </w:r>
      <w:r w:rsidR="00FA17A3" w:rsidRPr="00FA17A3">
        <w:rPr>
          <w:bCs/>
        </w:rPr>
        <w:t xml:space="preserve">ser </w:t>
      </w:r>
      <w:r w:rsidR="00017DD8" w:rsidRPr="00FA17A3">
        <w:rPr>
          <w:bCs/>
        </w:rPr>
        <w:t>apreciad</w:t>
      </w:r>
      <w:r w:rsidR="00FA17A3" w:rsidRPr="00FA17A3">
        <w:rPr>
          <w:bCs/>
        </w:rPr>
        <w:t>o</w:t>
      </w:r>
      <w:r w:rsidR="00017DD8" w:rsidRPr="00FA17A3">
        <w:rPr>
          <w:bCs/>
        </w:rPr>
        <w:t xml:space="preserve"> por Comissão Técnica</w:t>
      </w:r>
      <w:r w:rsidR="00FA17A3" w:rsidRPr="00FA17A3">
        <w:rPr>
          <w:bCs/>
        </w:rPr>
        <w:t>,</w:t>
      </w:r>
      <w:r w:rsidR="00017DD8" w:rsidRPr="00FA17A3">
        <w:rPr>
          <w:bCs/>
        </w:rPr>
        <w:t xml:space="preserve"> que para proferir decisão deve analisar os aspectos técnicos e legais da matéria podendo determinar a realização de diligências, bem como solicitar do interessado que junte ao processo documentos indispensáveis à verificação dos fatos.</w:t>
      </w:r>
    </w:p>
    <w:p w:rsidR="00FA17A3" w:rsidRPr="00FA17A3" w:rsidRDefault="00FA17A3" w:rsidP="00CE3DDD">
      <w:pPr>
        <w:pStyle w:val="Texto3N"/>
      </w:pPr>
      <w:r w:rsidRPr="00FA17A3">
        <w:t>Nas notificações da segunda vistoria técnica de fiscalização e subsequentes não cabe pedido de prorrogação de prazo.</w:t>
      </w:r>
    </w:p>
    <w:p w:rsidR="00A20379" w:rsidRDefault="00A758FD" w:rsidP="00A20379">
      <w:pPr>
        <w:pStyle w:val="Texto2N"/>
        <w:rPr>
          <w:lang w:eastAsia="pt-BR"/>
        </w:rPr>
      </w:pPr>
      <w:r>
        <w:rPr>
          <w:lang w:eastAsia="pt-BR"/>
        </w:rPr>
        <w:t xml:space="preserve">Para a prorrogação de prazo da notificação de vistoria técnica de regularização, o requerente deve protocolar </w:t>
      </w:r>
      <w:r w:rsidR="00FA17A3">
        <w:rPr>
          <w:lang w:eastAsia="pt-BR"/>
        </w:rPr>
        <w:t>o pedido n</w:t>
      </w:r>
      <w:r w:rsidR="00A20379">
        <w:rPr>
          <w:lang w:eastAsia="pt-BR"/>
        </w:rPr>
        <w:t>os órgãos do Serviço de Segurança Contra Incêndio e Emergências</w:t>
      </w:r>
      <w:r w:rsidR="00FA17A3">
        <w:rPr>
          <w:lang w:eastAsia="pt-BR"/>
        </w:rPr>
        <w:t>, os quais podem</w:t>
      </w:r>
      <w:r w:rsidR="00A20379">
        <w:rPr>
          <w:lang w:eastAsia="pt-BR"/>
        </w:rPr>
        <w:t xml:space="preserve"> conceder </w:t>
      </w:r>
      <w:r w:rsidR="000B724B">
        <w:rPr>
          <w:lang w:eastAsia="pt-BR"/>
        </w:rPr>
        <w:t>conforme abaixo:</w:t>
      </w:r>
    </w:p>
    <w:p w:rsidR="000B724B" w:rsidRDefault="00CE3DDD" w:rsidP="00B87045">
      <w:pPr>
        <w:pStyle w:val="Texto2N"/>
        <w:numPr>
          <w:ilvl w:val="0"/>
          <w:numId w:val="37"/>
        </w:numPr>
        <w:tabs>
          <w:tab w:val="clear" w:pos="567"/>
        </w:tabs>
        <w:rPr>
          <w:lang w:eastAsia="pt-BR"/>
        </w:rPr>
      </w:pPr>
      <w:r>
        <w:rPr>
          <w:lang w:eastAsia="pt-BR"/>
        </w:rPr>
        <w:t xml:space="preserve">prorrogação </w:t>
      </w:r>
      <w:r w:rsidR="00B87045">
        <w:rPr>
          <w:lang w:eastAsia="pt-BR"/>
        </w:rPr>
        <w:t>de até</w:t>
      </w:r>
      <w:r>
        <w:rPr>
          <w:lang w:eastAsia="pt-BR"/>
        </w:rPr>
        <w:t xml:space="preserve"> 120 (cento e vinte dias) deferida diretamente no setor de atendimento</w:t>
      </w:r>
      <w:r w:rsidR="00B87045">
        <w:rPr>
          <w:lang w:eastAsia="pt-BR"/>
        </w:rPr>
        <w:t xml:space="preserve"> ao público do órgão;</w:t>
      </w:r>
    </w:p>
    <w:p w:rsidR="000B724B" w:rsidRDefault="00B87045" w:rsidP="00B87045">
      <w:pPr>
        <w:pStyle w:val="Texto2N"/>
        <w:numPr>
          <w:ilvl w:val="0"/>
          <w:numId w:val="37"/>
        </w:numPr>
        <w:tabs>
          <w:tab w:val="clear" w:pos="567"/>
        </w:tabs>
        <w:rPr>
          <w:lang w:eastAsia="pt-BR"/>
        </w:rPr>
      </w:pPr>
      <w:r>
        <w:rPr>
          <w:lang w:eastAsia="pt-BR"/>
        </w:rPr>
        <w:t xml:space="preserve">prorrogação acima de </w:t>
      </w:r>
      <w:r w:rsidR="000B724B">
        <w:rPr>
          <w:lang w:eastAsia="pt-BR"/>
        </w:rPr>
        <w:t>120 (cento e vinte dias)</w:t>
      </w:r>
      <w:r>
        <w:rPr>
          <w:lang w:eastAsia="pt-BR"/>
        </w:rPr>
        <w:t xml:space="preserve"> </w:t>
      </w:r>
      <w:r w:rsidRPr="00B87045">
        <w:rPr>
          <w:bCs/>
          <w:lang w:eastAsia="pt-BR"/>
        </w:rPr>
        <w:t>apreciad</w:t>
      </w:r>
      <w:r>
        <w:rPr>
          <w:bCs/>
          <w:lang w:eastAsia="pt-BR"/>
        </w:rPr>
        <w:t>a</w:t>
      </w:r>
      <w:r w:rsidRPr="00B87045">
        <w:rPr>
          <w:bCs/>
          <w:lang w:eastAsia="pt-BR"/>
        </w:rPr>
        <w:t xml:space="preserve"> por Comissão Técnica.</w:t>
      </w:r>
      <w:r>
        <w:rPr>
          <w:lang w:eastAsia="pt-BR"/>
        </w:rPr>
        <w:t xml:space="preserve"> </w:t>
      </w:r>
    </w:p>
    <w:p w:rsidR="0081580C" w:rsidRPr="00FA17A3" w:rsidRDefault="0081580C" w:rsidP="0081580C">
      <w:pPr>
        <w:pStyle w:val="Texto3N"/>
      </w:pPr>
      <w:r>
        <w:t xml:space="preserve">Para a prorrogação de prazo contido na alínea “b” do item 9.2, o requerente deve protocolar o pedido devidamente fundamentado nos órgãos do </w:t>
      </w:r>
      <w:r w:rsidRPr="00A758FD">
        <w:t>Serviço de Segurança Contra Incêndio e Emergências</w:t>
      </w:r>
      <w:r>
        <w:t xml:space="preserve">, o qual deve </w:t>
      </w:r>
      <w:r w:rsidRPr="00FA17A3">
        <w:t>ser apreciado por Comissão Técnica, que para proferir decisão deve analisar os aspectos técnicos e legais da matéria podendo determinar a realização de diligências, bem como solicitar do interessado que junte ao processo documentos indispensáveis à verificação dos fatos.</w:t>
      </w:r>
    </w:p>
    <w:p w:rsidR="00B87045" w:rsidRDefault="00B87045" w:rsidP="00A81DBC">
      <w:pPr>
        <w:pStyle w:val="Texto3N"/>
        <w:spacing w:before="240"/>
      </w:pPr>
      <w:r>
        <w:t>Independente da prorrogação de prazo concedida não cabe novo pedido de prorrogaç</w:t>
      </w:r>
      <w:r w:rsidR="00A81DBC">
        <w:t>ão de prazo da mesma notificação.</w:t>
      </w:r>
    </w:p>
    <w:p w:rsidR="000606C4" w:rsidRPr="00A20379" w:rsidRDefault="000606C4" w:rsidP="00D60FD2">
      <w:pPr>
        <w:pStyle w:val="Texto3N"/>
      </w:pPr>
      <w:r w:rsidRPr="00A20379">
        <w:t xml:space="preserve">A prorrogação </w:t>
      </w:r>
      <w:r w:rsidR="0010063A">
        <w:t xml:space="preserve">total de prazo </w:t>
      </w:r>
      <w:r>
        <w:t>de vistoria técnica de regularização</w:t>
      </w:r>
      <w:r w:rsidRPr="00A20379">
        <w:t xml:space="preserve"> não </w:t>
      </w:r>
      <w:r>
        <w:t>deve ser</w:t>
      </w:r>
      <w:r w:rsidRPr="00A20379">
        <w:t xml:space="preserve"> superior a </w:t>
      </w:r>
      <w:r>
        <w:t>0</w:t>
      </w:r>
      <w:r w:rsidRPr="00A20379">
        <w:t xml:space="preserve">1 (um) ano. </w:t>
      </w:r>
    </w:p>
    <w:p w:rsidR="00B87045" w:rsidRDefault="00B87045" w:rsidP="00950CB9">
      <w:pPr>
        <w:pStyle w:val="Texto2N"/>
      </w:pPr>
      <w:r>
        <w:t>O processo de vistoria técnica de regularização</w:t>
      </w:r>
      <w:r w:rsidR="00A81DBC">
        <w:t xml:space="preserve"> é encerrado sempre que se esgotar o tempo máximo </w:t>
      </w:r>
      <w:r w:rsidR="0081580C">
        <w:t>de 01 (um) ano</w:t>
      </w:r>
      <w:r w:rsidR="00A81DBC">
        <w:t>, a contar da data da primeira notificação</w:t>
      </w:r>
      <w:r w:rsidR="000606C4">
        <w:t xml:space="preserve">, </w:t>
      </w:r>
      <w:r w:rsidR="000606C4" w:rsidRPr="000606C4">
        <w:t>sendo necessária abertura de um novo processo de vistoria técnica de regularização, mediante pagamento de taxa</w:t>
      </w:r>
      <w:r w:rsidR="00A81DBC">
        <w:t>.</w:t>
      </w:r>
    </w:p>
    <w:p w:rsidR="00A20379" w:rsidRPr="00A20379" w:rsidRDefault="00A20379" w:rsidP="00A20379">
      <w:pPr>
        <w:pStyle w:val="Texto2N"/>
        <w:rPr>
          <w:lang w:eastAsia="pt-BR"/>
        </w:rPr>
      </w:pPr>
      <w:r w:rsidRPr="00A20379">
        <w:rPr>
          <w:lang w:eastAsia="pt-BR"/>
        </w:rPr>
        <w:t>A prorrogação de prazo não substitui as licenças de ocupação e funcionamento do CBM/AL, bem como não isenta a pena de i</w:t>
      </w:r>
      <w:r w:rsidR="0081580C">
        <w:rPr>
          <w:lang w:eastAsia="pt-BR"/>
        </w:rPr>
        <w:t>nterdição.</w:t>
      </w:r>
    </w:p>
    <w:p w:rsidR="00070494" w:rsidRPr="00070494" w:rsidRDefault="00070494" w:rsidP="002D4ABB">
      <w:pPr>
        <w:pStyle w:val="Ttulo1"/>
        <w:rPr>
          <w:lang w:eastAsia="pt-BR"/>
        </w:rPr>
      </w:pPr>
      <w:r w:rsidRPr="00070494">
        <w:rPr>
          <w:lang w:eastAsia="pt-BR"/>
        </w:rPr>
        <w:t>TERMO DE AUTORIZAÇÃO PARA ADEQUAÇÃO DO CORPO DE BOMBEIROS (TAACB)</w:t>
      </w:r>
    </w:p>
    <w:p w:rsidR="003560D9" w:rsidRPr="003560D9" w:rsidRDefault="00070494" w:rsidP="002D4ABB">
      <w:pPr>
        <w:pStyle w:val="Texto2N"/>
        <w:rPr>
          <w:color w:val="auto"/>
          <w:lang w:eastAsia="pt-BR"/>
        </w:rPr>
      </w:pPr>
      <w:r w:rsidRPr="00070494">
        <w:rPr>
          <w:lang w:eastAsia="pt-BR"/>
        </w:rPr>
        <w:t>O processo administrativo para concessão do Termo de Autorização para Adequação do Corpo de Bombeiros (TAACB) objetiva excepcionalmente a concessão de prazo, mediante fundamentada razão, para implementação das medidas de segurança contra incêndio</w:t>
      </w:r>
      <w:r w:rsidR="003560D9">
        <w:rPr>
          <w:lang w:eastAsia="pt-BR"/>
        </w:rPr>
        <w:t xml:space="preserve"> e emergências</w:t>
      </w:r>
      <w:r w:rsidRPr="00070494">
        <w:rPr>
          <w:lang w:eastAsia="pt-BR"/>
        </w:rPr>
        <w:t xml:space="preserve"> previstas na legislação vigente</w:t>
      </w:r>
      <w:r w:rsidR="003560D9">
        <w:rPr>
          <w:lang w:eastAsia="pt-BR"/>
        </w:rPr>
        <w:t>.</w:t>
      </w:r>
    </w:p>
    <w:p w:rsidR="00070494" w:rsidRPr="00070494" w:rsidRDefault="00070494" w:rsidP="002D4ABB">
      <w:pPr>
        <w:pStyle w:val="Texto3N"/>
      </w:pPr>
      <w:r w:rsidRPr="00070494">
        <w:t>A Autorização para Adequação se destina exclusivamente à implementação de medidas de segurança contra incêndio</w:t>
      </w:r>
      <w:r w:rsidR="00D12C62">
        <w:t xml:space="preserve"> e emergências</w:t>
      </w:r>
      <w:r w:rsidRPr="00070494">
        <w:t xml:space="preserve"> constituídas por sistemas de proteção complexos para instalação, ou à implementação de medidas de segurança contra incêndio que impliquem a necessidade de realização de obras estruturais de grande porte na edificação</w:t>
      </w:r>
      <w:r w:rsidR="00D12C62">
        <w:t xml:space="preserve"> ou ainda </w:t>
      </w:r>
      <w:r w:rsidR="00D12C62" w:rsidRPr="00D12C62">
        <w:t>pela necessidade de processo licitatório ou por questões de desativação de áreas que impeçam o funcionamento da edificação ou área de risco</w:t>
      </w:r>
      <w:r w:rsidRPr="00070494">
        <w:t>.</w:t>
      </w:r>
    </w:p>
    <w:p w:rsidR="00070494" w:rsidRPr="00070494" w:rsidRDefault="00070494" w:rsidP="002D4ABB">
      <w:pPr>
        <w:pStyle w:val="Texto3N"/>
      </w:pPr>
      <w:r w:rsidRPr="00070494">
        <w:t>A Autorização para Adequação pode ser avaliada por ocasião da penalidade de interdição perante o CBMAL nos casos que interfiram diretamente em serviços essenciais ininterruptos.</w:t>
      </w:r>
    </w:p>
    <w:p w:rsidR="00070494" w:rsidRPr="00070494" w:rsidRDefault="00070494" w:rsidP="002D4ABB">
      <w:pPr>
        <w:pStyle w:val="Texto2N"/>
        <w:rPr>
          <w:color w:val="auto"/>
          <w:lang w:eastAsia="pt-BR"/>
        </w:rPr>
      </w:pPr>
      <w:r w:rsidRPr="00070494">
        <w:rPr>
          <w:lang w:eastAsia="pt-BR"/>
        </w:rPr>
        <w:t>Consideram-se como medidas compensatórias de segurança contra incêndio, para efeitos de concessão de TAACB, aquelas medidas que, associadas às características da ocupação, propiciem a utilização segura da edificação ou da</w:t>
      </w:r>
      <w:r w:rsidRPr="00070494">
        <w:rPr>
          <w:sz w:val="18"/>
          <w:szCs w:val="18"/>
          <w:lang w:eastAsia="pt-BR"/>
        </w:rPr>
        <w:t xml:space="preserve"> </w:t>
      </w:r>
      <w:r w:rsidRPr="00070494">
        <w:rPr>
          <w:lang w:eastAsia="pt-BR"/>
        </w:rPr>
        <w:t>área de risco, até a execução das medidas de segurança contra incêndio de forma definitiva.</w:t>
      </w:r>
    </w:p>
    <w:p w:rsidR="00070494" w:rsidRPr="00070494" w:rsidRDefault="00070494" w:rsidP="00D12C62">
      <w:pPr>
        <w:pStyle w:val="Texto3N"/>
      </w:pPr>
      <w:r w:rsidRPr="00070494">
        <w:t xml:space="preserve">As medidas compensatórias possuem caráter temporário e devem atender aos objetivos constantes no </w:t>
      </w:r>
      <w:r w:rsidR="00DB2D65">
        <w:t>Código</w:t>
      </w:r>
      <w:r w:rsidRPr="00070494">
        <w:t xml:space="preserve"> de Segurança contra Incêndio das Edificações e Áreas de Risco.</w:t>
      </w:r>
    </w:p>
    <w:p w:rsidR="00070494" w:rsidRPr="00070494" w:rsidRDefault="00070494" w:rsidP="002D4ABB">
      <w:pPr>
        <w:pStyle w:val="Texto2N"/>
        <w:rPr>
          <w:color w:val="auto"/>
          <w:lang w:eastAsia="pt-BR"/>
        </w:rPr>
      </w:pPr>
      <w:r w:rsidRPr="00070494">
        <w:rPr>
          <w:lang w:eastAsia="pt-BR"/>
        </w:rPr>
        <w:t>Considera-se exclusivamente como interessado na regularização da edificação ou área de risco, apto a pleitear a concessão da Autorização para Adequação, o proprietário da edificação ou o responsável pelo uso, devidamente assistido por responsável técnico habilitado.</w:t>
      </w:r>
    </w:p>
    <w:p w:rsidR="00070494" w:rsidRPr="00204D01" w:rsidRDefault="00070494" w:rsidP="002D4ABB">
      <w:pPr>
        <w:pStyle w:val="Texto2N"/>
        <w:rPr>
          <w:color w:val="auto"/>
          <w:lang w:eastAsia="pt-BR"/>
        </w:rPr>
      </w:pPr>
      <w:r w:rsidRPr="00204D01">
        <w:rPr>
          <w:lang w:eastAsia="pt-BR"/>
        </w:rPr>
        <w:t xml:space="preserve">A solicitação de análise </w:t>
      </w:r>
      <w:r w:rsidR="006E3B7C" w:rsidRPr="00204D01">
        <w:rPr>
          <w:lang w:eastAsia="pt-BR"/>
        </w:rPr>
        <w:t xml:space="preserve">para TAACB </w:t>
      </w:r>
      <w:r w:rsidRPr="00204D01">
        <w:rPr>
          <w:lang w:eastAsia="pt-BR"/>
        </w:rPr>
        <w:t>somente pode ser protocolada</w:t>
      </w:r>
      <w:r w:rsidR="006E3B7C" w:rsidRPr="00204D01">
        <w:rPr>
          <w:lang w:eastAsia="pt-BR"/>
        </w:rPr>
        <w:t xml:space="preserve"> para edificações e áreas de risco com PSCIE aprovados e</w:t>
      </w:r>
      <w:r w:rsidRPr="00204D01">
        <w:rPr>
          <w:lang w:eastAsia="pt-BR"/>
        </w:rPr>
        <w:t xml:space="preserve"> </w:t>
      </w:r>
      <w:r w:rsidR="006E3B7C" w:rsidRPr="00204D01">
        <w:rPr>
          <w:lang w:eastAsia="pt-BR"/>
        </w:rPr>
        <w:t>mediante</w:t>
      </w:r>
      <w:r w:rsidRPr="00204D01">
        <w:rPr>
          <w:lang w:eastAsia="pt-BR"/>
        </w:rPr>
        <w:t xml:space="preserve"> solicitação de vistoria técnica</w:t>
      </w:r>
      <w:r w:rsidR="006E3B7C" w:rsidRPr="00204D01">
        <w:rPr>
          <w:lang w:eastAsia="pt-BR"/>
        </w:rPr>
        <w:t xml:space="preserve"> de regularização</w:t>
      </w:r>
      <w:r w:rsidRPr="00204D01">
        <w:rPr>
          <w:lang w:eastAsia="pt-BR"/>
        </w:rPr>
        <w:t>.</w:t>
      </w:r>
    </w:p>
    <w:p w:rsidR="006E3B7C" w:rsidRPr="00204D01" w:rsidRDefault="006E3B7C" w:rsidP="006E3B7C">
      <w:pPr>
        <w:pStyle w:val="Texto2N"/>
        <w:rPr>
          <w:color w:val="auto"/>
          <w:lang w:eastAsia="pt-BR"/>
        </w:rPr>
      </w:pPr>
      <w:r w:rsidRPr="00204D01">
        <w:rPr>
          <w:lang w:eastAsia="pt-BR"/>
        </w:rPr>
        <w:t>Para protocolar o pedido de análise para TAACB é necessário recolher previamente as taxas correspondentes ao processo de acordo com a legislação em vigor.</w:t>
      </w:r>
    </w:p>
    <w:p w:rsidR="00070494" w:rsidRPr="00204D01" w:rsidRDefault="00070494" w:rsidP="002D4ABB">
      <w:pPr>
        <w:pStyle w:val="Texto2N"/>
        <w:rPr>
          <w:color w:val="auto"/>
          <w:lang w:eastAsia="pt-BR"/>
        </w:rPr>
      </w:pPr>
      <w:r w:rsidRPr="00204D01">
        <w:rPr>
          <w:lang w:eastAsia="pt-BR"/>
        </w:rPr>
        <w:lastRenderedPageBreak/>
        <w:t xml:space="preserve">O pedido </w:t>
      </w:r>
      <w:r w:rsidR="006A11EA" w:rsidRPr="00204D01">
        <w:rPr>
          <w:lang w:eastAsia="pt-BR"/>
        </w:rPr>
        <w:t>é</w:t>
      </w:r>
      <w:r w:rsidRPr="00204D01">
        <w:rPr>
          <w:lang w:eastAsia="pt-BR"/>
        </w:rPr>
        <w:t xml:space="preserve"> analisado por Comissão Técnica Especial (CTE) nomeada pelo Comandante Geral do CBMAL.</w:t>
      </w:r>
    </w:p>
    <w:p w:rsidR="00070494" w:rsidRPr="00204D01" w:rsidRDefault="00070494" w:rsidP="002D4ABB">
      <w:pPr>
        <w:pStyle w:val="Texto2N"/>
        <w:rPr>
          <w:color w:val="auto"/>
          <w:lang w:eastAsia="pt-BR"/>
        </w:rPr>
      </w:pPr>
      <w:r w:rsidRPr="00204D01">
        <w:rPr>
          <w:lang w:eastAsia="pt-BR"/>
        </w:rPr>
        <w:t>O pedido deve conter:</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 xml:space="preserve">As não conformidades identificadas pelo CBMAL lançadas em </w:t>
      </w:r>
      <w:r w:rsidR="00A06D77">
        <w:rPr>
          <w:rFonts w:eastAsia="Times New Roman" w:cs="Times New Roman"/>
          <w:lang w:eastAsia="pt-BR"/>
        </w:rPr>
        <w:t>notificação</w:t>
      </w:r>
      <w:r w:rsidRPr="00070494">
        <w:rPr>
          <w:rFonts w:eastAsia="Times New Roman" w:cs="Times New Roman"/>
          <w:lang w:eastAsia="pt-BR"/>
        </w:rPr>
        <w:t xml:space="preserve">; </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 xml:space="preserve">A descrição do pedido e sua fundamentação; </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As medidas compensatórias propostas</w:t>
      </w:r>
      <w:r w:rsidR="00A06D77">
        <w:rPr>
          <w:rFonts w:eastAsia="Times New Roman" w:cs="Times New Roman"/>
          <w:lang w:eastAsia="pt-BR"/>
        </w:rPr>
        <w:t>, quando necessárias</w:t>
      </w:r>
      <w:r w:rsidRPr="00070494">
        <w:rPr>
          <w:rFonts w:eastAsia="Times New Roman" w:cs="Times New Roman"/>
          <w:lang w:eastAsia="pt-BR"/>
        </w:rPr>
        <w:t xml:space="preserve">; </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 xml:space="preserve">O cronograma de execução das medidas </w:t>
      </w:r>
      <w:r w:rsidR="00A06D77" w:rsidRPr="00A06D77">
        <w:rPr>
          <w:rFonts w:eastAsia="Times New Roman" w:cs="Times New Roman"/>
          <w:lang w:eastAsia="pt-BR"/>
        </w:rPr>
        <w:t xml:space="preserve">definitivas </w:t>
      </w:r>
      <w:r w:rsidRPr="00070494">
        <w:rPr>
          <w:rFonts w:eastAsia="Times New Roman" w:cs="Times New Roman"/>
          <w:lang w:eastAsia="pt-BR"/>
        </w:rPr>
        <w:t>de segurança contra incêndio</w:t>
      </w:r>
      <w:r w:rsidR="00A06D77">
        <w:rPr>
          <w:rFonts w:eastAsia="Times New Roman" w:cs="Times New Roman"/>
          <w:lang w:eastAsia="pt-BR"/>
        </w:rPr>
        <w:t xml:space="preserve"> e emergências</w:t>
      </w:r>
      <w:r w:rsidRPr="00070494">
        <w:rPr>
          <w:rFonts w:eastAsia="Times New Roman" w:cs="Times New Roman"/>
          <w:lang w:eastAsia="pt-BR"/>
        </w:rPr>
        <w:t xml:space="preserve">; </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 xml:space="preserve">Declaração de compromisso do interessado com as propostas das medidas compensatórias; </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Os dados do responsável técnico;</w:t>
      </w:r>
    </w:p>
    <w:p w:rsidR="00070494" w:rsidRPr="00070494" w:rsidRDefault="00070494" w:rsidP="00911C15">
      <w:pPr>
        <w:numPr>
          <w:ilvl w:val="0"/>
          <w:numId w:val="6"/>
        </w:numPr>
        <w:pBdr>
          <w:top w:val="nil"/>
          <w:left w:val="nil"/>
          <w:bottom w:val="nil"/>
          <w:right w:val="nil"/>
          <w:between w:val="nil"/>
        </w:pBdr>
        <w:autoSpaceDE/>
        <w:autoSpaceDN/>
        <w:adjustRightInd/>
        <w:spacing w:after="0" w:line="276" w:lineRule="auto"/>
        <w:ind w:right="-1"/>
        <w:rPr>
          <w:rFonts w:eastAsia="Times New Roman" w:cs="Times New Roman"/>
          <w:lang w:eastAsia="pt-BR"/>
        </w:rPr>
      </w:pPr>
      <w:r w:rsidRPr="00070494">
        <w:rPr>
          <w:rFonts w:eastAsia="Times New Roman" w:cs="Times New Roman"/>
          <w:lang w:eastAsia="pt-BR"/>
        </w:rPr>
        <w:t xml:space="preserve">Relatório técnico das medidas preventivas instaladas (com as devidas anotações de responsabilidades técnicas, notas fiscais, laudos, </w:t>
      </w:r>
      <w:proofErr w:type="spellStart"/>
      <w:r w:rsidRPr="00070494">
        <w:rPr>
          <w:rFonts w:eastAsia="Times New Roman" w:cs="Times New Roman"/>
          <w:lang w:eastAsia="pt-BR"/>
        </w:rPr>
        <w:t>etc</w:t>
      </w:r>
      <w:proofErr w:type="spellEnd"/>
      <w:r w:rsidRPr="00070494">
        <w:rPr>
          <w:rFonts w:eastAsia="Times New Roman" w:cs="Times New Roman"/>
          <w:lang w:eastAsia="pt-BR"/>
        </w:rPr>
        <w:t xml:space="preserve">); </w:t>
      </w:r>
    </w:p>
    <w:p w:rsidR="00070494" w:rsidRPr="003E15AF" w:rsidRDefault="00515B6A" w:rsidP="00911C15">
      <w:pPr>
        <w:numPr>
          <w:ilvl w:val="0"/>
          <w:numId w:val="6"/>
        </w:numPr>
        <w:pBdr>
          <w:top w:val="nil"/>
          <w:left w:val="nil"/>
          <w:bottom w:val="nil"/>
          <w:right w:val="nil"/>
          <w:between w:val="nil"/>
        </w:pBdr>
        <w:autoSpaceDE/>
        <w:autoSpaceDN/>
        <w:adjustRightInd/>
        <w:spacing w:line="276" w:lineRule="auto"/>
        <w:ind w:right="-1"/>
        <w:rPr>
          <w:rFonts w:eastAsia="Times New Roman" w:cs="Times New Roman"/>
          <w:lang w:eastAsia="pt-BR"/>
        </w:rPr>
      </w:pPr>
      <w:r>
        <w:rPr>
          <w:rFonts w:eastAsia="Times New Roman" w:cs="Times New Roman"/>
          <w:lang w:eastAsia="pt-BR"/>
        </w:rPr>
        <w:t>Documento de Responsabilidade Técnica</w:t>
      </w:r>
      <w:r w:rsidR="00070494" w:rsidRPr="00070494">
        <w:rPr>
          <w:rFonts w:eastAsia="Times New Roman" w:cs="Times New Roman"/>
          <w:lang w:eastAsia="pt-BR"/>
        </w:rPr>
        <w:t xml:space="preserve"> referente à implementação das medidas </w:t>
      </w:r>
      <w:r w:rsidR="00070494" w:rsidRPr="003E15AF">
        <w:rPr>
          <w:rFonts w:eastAsia="Times New Roman" w:cs="Times New Roman"/>
          <w:lang w:eastAsia="pt-BR"/>
        </w:rPr>
        <w:t>definitivas de segurança contra incêndio.</w:t>
      </w:r>
    </w:p>
    <w:p w:rsidR="00070494" w:rsidRPr="00070494" w:rsidRDefault="00070494" w:rsidP="002D4ABB">
      <w:pPr>
        <w:pStyle w:val="Texto2N"/>
        <w:rPr>
          <w:color w:val="auto"/>
          <w:lang w:eastAsia="pt-BR"/>
        </w:rPr>
      </w:pPr>
      <w:r w:rsidRPr="00070494">
        <w:rPr>
          <w:lang w:eastAsia="pt-BR"/>
        </w:rPr>
        <w:t>O prazo de análise de pedido de TAACB deve ainda ser adequado quanto à urgência da decisão, desde que esteja devidamente fundamentada, no requerimento, a necessidade do interessado.</w:t>
      </w:r>
    </w:p>
    <w:p w:rsidR="003E15AF" w:rsidRDefault="003E15AF" w:rsidP="006A11EA">
      <w:pPr>
        <w:pStyle w:val="Texto2N"/>
      </w:pPr>
      <w:r>
        <w:t>Para fins de apreciação do TAACB, são consideradas como medidas básicas que devem estar em funcionamento:</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extintores</w:t>
      </w:r>
      <w:proofErr w:type="gramEnd"/>
      <w:r w:rsidRPr="00204D01">
        <w:rPr>
          <w:rFonts w:eastAsia="Times New Roman" w:cs="Times New Roman"/>
          <w:lang w:eastAsia="pt-BR"/>
        </w:rPr>
        <w:t xml:space="preserve"> de incêndio;</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iluminação</w:t>
      </w:r>
      <w:proofErr w:type="gramEnd"/>
      <w:r w:rsidRPr="00204D01">
        <w:rPr>
          <w:rFonts w:eastAsia="Times New Roman" w:cs="Times New Roman"/>
          <w:lang w:eastAsia="pt-BR"/>
        </w:rPr>
        <w:t xml:space="preserve"> de emergência;</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sinalização</w:t>
      </w:r>
      <w:proofErr w:type="gramEnd"/>
      <w:r w:rsidRPr="00204D01">
        <w:rPr>
          <w:rFonts w:eastAsia="Times New Roman" w:cs="Times New Roman"/>
          <w:lang w:eastAsia="pt-BR"/>
        </w:rPr>
        <w:t xml:space="preserve"> de emergência;</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alarme</w:t>
      </w:r>
      <w:proofErr w:type="gramEnd"/>
      <w:r w:rsidRPr="00204D01">
        <w:rPr>
          <w:rFonts w:eastAsia="Times New Roman" w:cs="Times New Roman"/>
          <w:lang w:eastAsia="pt-BR"/>
        </w:rPr>
        <w:t xml:space="preserve"> de incêndio;</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instalações</w:t>
      </w:r>
      <w:proofErr w:type="gramEnd"/>
      <w:r w:rsidRPr="00204D01">
        <w:rPr>
          <w:rFonts w:eastAsia="Times New Roman" w:cs="Times New Roman"/>
          <w:lang w:eastAsia="pt-BR"/>
        </w:rPr>
        <w:t xml:space="preserve"> elétricas em conformidade com as normas técnicas;</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brigada</w:t>
      </w:r>
      <w:proofErr w:type="gramEnd"/>
      <w:r w:rsidRPr="00204D01">
        <w:rPr>
          <w:rFonts w:eastAsia="Times New Roman" w:cs="Times New Roman"/>
          <w:lang w:eastAsia="pt-BR"/>
        </w:rPr>
        <w:t xml:space="preserve"> de incêndio;</w:t>
      </w:r>
    </w:p>
    <w:p w:rsidR="003E15AF" w:rsidRPr="00204D01"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hidrantes</w:t>
      </w:r>
      <w:proofErr w:type="gramEnd"/>
      <w:r w:rsidRPr="00204D01">
        <w:rPr>
          <w:rFonts w:eastAsia="Times New Roman" w:cs="Times New Roman"/>
          <w:lang w:eastAsia="pt-BR"/>
        </w:rPr>
        <w:t>;</w:t>
      </w:r>
    </w:p>
    <w:p w:rsidR="003E15AF" w:rsidRDefault="003E15AF" w:rsidP="00204D01">
      <w:pPr>
        <w:numPr>
          <w:ilvl w:val="0"/>
          <w:numId w:val="45"/>
        </w:numPr>
        <w:pBdr>
          <w:top w:val="nil"/>
          <w:left w:val="nil"/>
          <w:bottom w:val="nil"/>
          <w:right w:val="nil"/>
          <w:between w:val="nil"/>
        </w:pBdr>
        <w:autoSpaceDE/>
        <w:autoSpaceDN/>
        <w:adjustRightInd/>
        <w:spacing w:after="0" w:line="276" w:lineRule="auto"/>
        <w:ind w:right="-1"/>
        <w:rPr>
          <w:rFonts w:eastAsia="Times New Roman" w:cs="Times New Roman"/>
          <w:lang w:eastAsia="pt-BR"/>
        </w:rPr>
      </w:pPr>
      <w:proofErr w:type="gramStart"/>
      <w:r w:rsidRPr="00204D01">
        <w:rPr>
          <w:rFonts w:eastAsia="Times New Roman" w:cs="Times New Roman"/>
          <w:lang w:eastAsia="pt-BR"/>
        </w:rPr>
        <w:t>saída</w:t>
      </w:r>
      <w:proofErr w:type="gramEnd"/>
      <w:r w:rsidRPr="00204D01">
        <w:rPr>
          <w:rFonts w:eastAsia="Times New Roman" w:cs="Times New Roman"/>
          <w:lang w:eastAsia="pt-BR"/>
        </w:rPr>
        <w:t xml:space="preserve"> de emergência;</w:t>
      </w:r>
    </w:p>
    <w:p w:rsidR="00204D01" w:rsidRPr="00204D01" w:rsidRDefault="00204D01" w:rsidP="00204D01">
      <w:pPr>
        <w:pBdr>
          <w:top w:val="nil"/>
          <w:left w:val="nil"/>
          <w:bottom w:val="nil"/>
          <w:right w:val="nil"/>
          <w:between w:val="nil"/>
        </w:pBdr>
        <w:autoSpaceDE/>
        <w:autoSpaceDN/>
        <w:adjustRightInd/>
        <w:spacing w:after="0" w:line="276" w:lineRule="auto"/>
        <w:ind w:left="720" w:right="-1"/>
        <w:rPr>
          <w:rFonts w:eastAsia="Times New Roman" w:cs="Times New Roman"/>
          <w:lang w:eastAsia="pt-BR"/>
        </w:rPr>
      </w:pPr>
    </w:p>
    <w:p w:rsidR="006A11EA" w:rsidRPr="003E15AF" w:rsidRDefault="006A11EA" w:rsidP="006A11EA">
      <w:pPr>
        <w:pStyle w:val="Texto3N"/>
      </w:pPr>
      <w:r w:rsidRPr="00070494">
        <w:t xml:space="preserve">A CTE verificará as condições de segurança contra incêndio e da efetividade das medidas compensatórias propostas pelo interessado, emitindo o parecer </w:t>
      </w:r>
      <w:r>
        <w:t>técnico</w:t>
      </w:r>
      <w:r w:rsidRPr="00070494">
        <w:t>.</w:t>
      </w:r>
    </w:p>
    <w:p w:rsidR="00070494" w:rsidRPr="00A06D77" w:rsidRDefault="00070494" w:rsidP="002D4ABB">
      <w:pPr>
        <w:pStyle w:val="Texto2N"/>
        <w:rPr>
          <w:color w:val="auto"/>
          <w:lang w:eastAsia="pt-BR"/>
        </w:rPr>
      </w:pPr>
      <w:r w:rsidRPr="00070494">
        <w:rPr>
          <w:lang w:eastAsia="pt-BR"/>
        </w:rPr>
        <w:t>A CTE pode ajustar os prazos propostos pelo interessado, bem como definir nova exigência de medidas compensatórias, a fim de possibilitar condições mínimas de segurança contra incêndio para a utilização da edificação ou área de risco, até a finalização da instalação das medidas de segurança contra incêndio</w:t>
      </w:r>
      <w:r w:rsidR="006A11EA">
        <w:rPr>
          <w:lang w:eastAsia="pt-BR"/>
        </w:rPr>
        <w:t xml:space="preserve"> e emergências</w:t>
      </w:r>
      <w:r w:rsidRPr="00070494">
        <w:rPr>
          <w:lang w:eastAsia="pt-BR"/>
        </w:rPr>
        <w:t xml:space="preserve"> definitivas.</w:t>
      </w:r>
    </w:p>
    <w:p w:rsidR="00070494" w:rsidRPr="00070494" w:rsidRDefault="00070494" w:rsidP="002D4ABB">
      <w:pPr>
        <w:pStyle w:val="Texto2N"/>
        <w:rPr>
          <w:color w:val="auto"/>
          <w:lang w:eastAsia="pt-BR"/>
        </w:rPr>
      </w:pPr>
      <w:r w:rsidRPr="00070494">
        <w:rPr>
          <w:lang w:eastAsia="pt-BR"/>
        </w:rPr>
        <w:t>O parecer emitido pela CTE deve ser encaminhado para conferência e homologação pelo Comandante Geral do CBMAL que pode manter ou não os prazos e as medidas compensatórias deferidas pela CTE.</w:t>
      </w:r>
    </w:p>
    <w:p w:rsidR="00070494" w:rsidRPr="00070494" w:rsidRDefault="00070494" w:rsidP="002D4ABB">
      <w:pPr>
        <w:pStyle w:val="Texto2N"/>
        <w:rPr>
          <w:color w:val="auto"/>
          <w:lang w:eastAsia="pt-BR"/>
        </w:rPr>
      </w:pPr>
      <w:r w:rsidRPr="00070494">
        <w:rPr>
          <w:lang w:eastAsia="pt-BR"/>
        </w:rPr>
        <w:t>Independentemente do prazo concedido, o TAACB deve ser renovado anualmente mediante o pagamento das taxas previstas na Lei Estadual nº 6.442, de 2003.</w:t>
      </w:r>
    </w:p>
    <w:p w:rsidR="00070494" w:rsidRPr="00070494" w:rsidRDefault="00070494" w:rsidP="002D4ABB">
      <w:pPr>
        <w:pStyle w:val="Texto2N"/>
        <w:rPr>
          <w:color w:val="auto"/>
          <w:lang w:eastAsia="pt-BR"/>
        </w:rPr>
      </w:pPr>
      <w:r w:rsidRPr="00070494">
        <w:rPr>
          <w:lang w:eastAsia="pt-BR"/>
        </w:rPr>
        <w:t xml:space="preserve">O TAACB </w:t>
      </w:r>
      <w:r w:rsidR="006A11EA">
        <w:rPr>
          <w:lang w:eastAsia="pt-BR"/>
        </w:rPr>
        <w:t>é</w:t>
      </w:r>
      <w:r w:rsidRPr="00070494">
        <w:rPr>
          <w:lang w:eastAsia="pt-BR"/>
        </w:rPr>
        <w:t xml:space="preserve"> expedido pelo CBMAL em caráter unilateral, discricionário e precário e, para a sua emissão, o interessado autorizará o Corpo de Bombeiros a fiscalizar, a qualquer tempo, a fiel execução do cronograma aprovado.</w:t>
      </w:r>
    </w:p>
    <w:p w:rsidR="00070494" w:rsidRPr="00070494" w:rsidRDefault="00070494" w:rsidP="002D4ABB">
      <w:pPr>
        <w:pStyle w:val="Texto2N"/>
        <w:rPr>
          <w:color w:val="auto"/>
          <w:lang w:eastAsia="pt-BR"/>
        </w:rPr>
      </w:pPr>
      <w:r w:rsidRPr="00070494">
        <w:rPr>
          <w:lang w:eastAsia="pt-BR"/>
        </w:rPr>
        <w:t>Em qualquer hipótese de violação das condições estipuladas, o TAACB será cassado pelo Corpo de Bombe</w:t>
      </w:r>
      <w:r w:rsidR="006A11EA">
        <w:rPr>
          <w:lang w:eastAsia="pt-BR"/>
        </w:rPr>
        <w:t>iros Militar de Alagoas (CBMAL)</w:t>
      </w:r>
      <w:r w:rsidRPr="00070494">
        <w:rPr>
          <w:lang w:eastAsia="pt-BR"/>
        </w:rPr>
        <w:t>.</w:t>
      </w:r>
    </w:p>
    <w:p w:rsidR="009B5205" w:rsidRDefault="006A11EA" w:rsidP="00213C06">
      <w:pPr>
        <w:pStyle w:val="Texto2N"/>
        <w:rPr>
          <w:lang w:eastAsia="pt-BR"/>
        </w:rPr>
      </w:pPr>
      <w:r w:rsidRPr="006A11EA">
        <w:rPr>
          <w:lang w:eastAsia="pt-BR"/>
        </w:rPr>
        <w:t xml:space="preserve">O TAACB </w:t>
      </w:r>
      <w:r>
        <w:rPr>
          <w:lang w:eastAsia="pt-BR"/>
        </w:rPr>
        <w:t>equipara-se</w:t>
      </w:r>
      <w:r w:rsidRPr="006A11EA">
        <w:rPr>
          <w:lang w:eastAsia="pt-BR"/>
        </w:rPr>
        <w:t xml:space="preserve"> ao AVCB para todos os efeitos legais enquanto durar o seu prazo.</w:t>
      </w:r>
    </w:p>
    <w:p w:rsidR="00166978" w:rsidRDefault="00166978">
      <w:pPr>
        <w:autoSpaceDE/>
        <w:autoSpaceDN/>
        <w:adjustRightInd/>
        <w:spacing w:after="200" w:line="276" w:lineRule="auto"/>
        <w:ind w:right="0"/>
        <w:jc w:val="left"/>
        <w:rPr>
          <w:lang w:eastAsia="pt-BR"/>
        </w:rPr>
      </w:pPr>
      <w:r>
        <w:rPr>
          <w:lang w:eastAsia="pt-BR"/>
        </w:rPr>
        <w:br w:type="page"/>
      </w:r>
    </w:p>
    <w:p w:rsidR="00166978" w:rsidRPr="00166978" w:rsidRDefault="00166978" w:rsidP="00166978">
      <w:pPr>
        <w:autoSpaceDE/>
        <w:autoSpaceDN/>
        <w:adjustRightInd/>
        <w:spacing w:after="200" w:line="276" w:lineRule="auto"/>
        <w:ind w:right="0"/>
        <w:jc w:val="center"/>
        <w:rPr>
          <w:lang w:eastAsia="pt-BR"/>
        </w:rPr>
      </w:pPr>
      <w:r w:rsidRPr="00166978">
        <w:rPr>
          <w:b/>
          <w:lang w:eastAsia="pt-BR"/>
        </w:rPr>
        <w:lastRenderedPageBreak/>
        <w:t>ANEXO</w:t>
      </w:r>
      <w:r>
        <w:rPr>
          <w:b/>
          <w:lang w:eastAsia="pt-BR"/>
        </w:rPr>
        <w:t xml:space="preserve"> A</w:t>
      </w:r>
    </w:p>
    <w:p w:rsidR="00166978" w:rsidRPr="00166978" w:rsidRDefault="00166978" w:rsidP="00166978">
      <w:pPr>
        <w:autoSpaceDE/>
        <w:autoSpaceDN/>
        <w:adjustRightInd/>
        <w:spacing w:after="200" w:line="276" w:lineRule="auto"/>
        <w:ind w:right="0"/>
        <w:jc w:val="center"/>
        <w:rPr>
          <w:b/>
          <w:lang w:eastAsia="pt-BR"/>
        </w:rPr>
      </w:pPr>
      <w:r w:rsidRPr="00166978">
        <w:rPr>
          <w:b/>
          <w:lang w:eastAsia="pt-BR"/>
        </w:rPr>
        <w:t>Fluxograma de Processo de Vistoria Técnica de Regularização</w:t>
      </w:r>
    </w:p>
    <w:p w:rsidR="00166978" w:rsidRDefault="00102DF1" w:rsidP="00204D01">
      <w:pPr>
        <w:autoSpaceDE/>
        <w:autoSpaceDN/>
        <w:adjustRightInd/>
        <w:spacing w:after="200" w:line="276" w:lineRule="auto"/>
        <w:ind w:right="0"/>
        <w:jc w:val="center"/>
        <w:rPr>
          <w:b/>
          <w:lang w:eastAsia="pt-BR"/>
        </w:rPr>
      </w:pPr>
      <w:r>
        <w:rPr>
          <w:b/>
          <w:noProof/>
          <w:lang w:eastAsia="pt-BR"/>
        </w:rPr>
        <w:drawing>
          <wp:inline distT="0" distB="0" distL="0" distR="0">
            <wp:extent cx="5803205" cy="7389628"/>
            <wp:effectExtent l="0" t="0" r="762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451" cy="7389942"/>
                    </a:xfrm>
                    <a:prstGeom prst="rect">
                      <a:avLst/>
                    </a:prstGeom>
                    <a:noFill/>
                    <a:ln>
                      <a:noFill/>
                    </a:ln>
                  </pic:spPr>
                </pic:pic>
              </a:graphicData>
            </a:graphic>
          </wp:inline>
        </w:drawing>
      </w:r>
    </w:p>
    <w:p w:rsidR="00166978" w:rsidRDefault="00166978" w:rsidP="00166978">
      <w:pPr>
        <w:autoSpaceDE/>
        <w:autoSpaceDN/>
        <w:adjustRightInd/>
        <w:spacing w:after="200" w:line="276" w:lineRule="auto"/>
        <w:ind w:right="0"/>
        <w:jc w:val="left"/>
        <w:rPr>
          <w:b/>
          <w:lang w:eastAsia="pt-BR"/>
        </w:rPr>
      </w:pPr>
    </w:p>
    <w:p w:rsidR="00166978" w:rsidRDefault="00166978" w:rsidP="008673D0">
      <w:pPr>
        <w:autoSpaceDE/>
        <w:autoSpaceDN/>
        <w:adjustRightInd/>
        <w:spacing w:after="200" w:line="276" w:lineRule="auto"/>
        <w:ind w:right="0"/>
        <w:jc w:val="center"/>
        <w:rPr>
          <w:b/>
          <w:lang w:eastAsia="pt-BR"/>
        </w:rPr>
      </w:pPr>
    </w:p>
    <w:p w:rsidR="00166978" w:rsidRDefault="00166978" w:rsidP="00166978">
      <w:pPr>
        <w:autoSpaceDE/>
        <w:autoSpaceDN/>
        <w:adjustRightInd/>
        <w:spacing w:after="200" w:line="276" w:lineRule="auto"/>
        <w:ind w:right="0"/>
        <w:jc w:val="left"/>
        <w:rPr>
          <w:b/>
          <w:lang w:eastAsia="pt-BR"/>
        </w:rPr>
      </w:pPr>
    </w:p>
    <w:p w:rsidR="00166978" w:rsidRDefault="00166978" w:rsidP="00166978">
      <w:pPr>
        <w:autoSpaceDE/>
        <w:autoSpaceDN/>
        <w:adjustRightInd/>
        <w:spacing w:after="200" w:line="276" w:lineRule="auto"/>
        <w:ind w:right="0"/>
        <w:jc w:val="center"/>
        <w:rPr>
          <w:b/>
          <w:lang w:eastAsia="pt-BR"/>
        </w:rPr>
      </w:pPr>
      <w:r w:rsidRPr="00166978">
        <w:rPr>
          <w:b/>
          <w:lang w:eastAsia="pt-BR"/>
        </w:rPr>
        <w:lastRenderedPageBreak/>
        <w:t>ANEXO B</w:t>
      </w:r>
    </w:p>
    <w:p w:rsidR="00166978" w:rsidRDefault="00166978" w:rsidP="00166978">
      <w:pPr>
        <w:autoSpaceDE/>
        <w:autoSpaceDN/>
        <w:adjustRightInd/>
        <w:spacing w:after="200" w:line="276" w:lineRule="auto"/>
        <w:ind w:right="0"/>
        <w:jc w:val="center"/>
        <w:rPr>
          <w:b/>
          <w:lang w:eastAsia="pt-BR"/>
        </w:rPr>
      </w:pPr>
      <w:r w:rsidRPr="00166978">
        <w:rPr>
          <w:b/>
          <w:lang w:eastAsia="pt-BR"/>
        </w:rPr>
        <w:t>Fluxograma de Processo de Vistoria Técnica de Fiscalização</w:t>
      </w:r>
    </w:p>
    <w:p w:rsidR="008673D0" w:rsidRDefault="008673D0" w:rsidP="00166978">
      <w:pPr>
        <w:autoSpaceDE/>
        <w:autoSpaceDN/>
        <w:adjustRightInd/>
        <w:spacing w:after="200" w:line="276" w:lineRule="auto"/>
        <w:ind w:right="0"/>
        <w:jc w:val="center"/>
        <w:rPr>
          <w:b/>
          <w:lang w:eastAsia="pt-BR"/>
        </w:rPr>
      </w:pPr>
    </w:p>
    <w:p w:rsidR="002D4ABB" w:rsidRPr="00391067" w:rsidRDefault="008673D0" w:rsidP="00204D01">
      <w:pPr>
        <w:autoSpaceDE/>
        <w:autoSpaceDN/>
        <w:adjustRightInd/>
        <w:spacing w:after="200" w:line="276" w:lineRule="auto"/>
        <w:ind w:right="0"/>
        <w:jc w:val="center"/>
        <w:rPr>
          <w:lang w:eastAsia="pt-BR"/>
        </w:rPr>
      </w:pPr>
      <w:bookmarkStart w:id="6" w:name="_GoBack"/>
      <w:r>
        <w:rPr>
          <w:b/>
          <w:noProof/>
          <w:lang w:eastAsia="pt-BR"/>
        </w:rPr>
        <w:drawing>
          <wp:inline distT="0" distB="0" distL="0" distR="0" wp14:anchorId="5A7F45C3" wp14:editId="5FA437E8">
            <wp:extent cx="5996763" cy="7953153"/>
            <wp:effectExtent l="0" t="0" r="0" b="0"/>
            <wp:docPr id="3" name="Imagem 3" descr="C:\Users\tence\AppData\Local\Microsoft\Windows\INetCache\Content.Word\vistoria_fluxogram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nce\AppData\Local\Microsoft\Windows\INetCache\Content.Word\vistoria_fluxograma-01.png"/>
                    <pic:cNvPicPr>
                      <a:picLocks noChangeAspect="1" noChangeArrowheads="1"/>
                    </pic:cNvPicPr>
                  </pic:nvPicPr>
                  <pic:blipFill>
                    <a:blip r:embed="rId12" cstate="print"/>
                    <a:srcRect/>
                    <a:stretch>
                      <a:fillRect/>
                    </a:stretch>
                  </pic:blipFill>
                  <pic:spPr bwMode="auto">
                    <a:xfrm>
                      <a:off x="0" y="0"/>
                      <a:ext cx="6004989" cy="7964063"/>
                    </a:xfrm>
                    <a:prstGeom prst="rect">
                      <a:avLst/>
                    </a:prstGeom>
                    <a:noFill/>
                    <a:ln w="9525">
                      <a:noFill/>
                      <a:miter lim="800000"/>
                      <a:headEnd/>
                      <a:tailEnd/>
                    </a:ln>
                  </pic:spPr>
                </pic:pic>
              </a:graphicData>
            </a:graphic>
          </wp:inline>
        </w:drawing>
      </w:r>
      <w:bookmarkEnd w:id="6"/>
    </w:p>
    <w:sectPr w:rsidR="002D4ABB" w:rsidRPr="00391067" w:rsidSect="00204D01">
      <w:headerReference w:type="default" r:id="rId13"/>
      <w:footerReference w:type="default" r:id="rId14"/>
      <w:headerReference w:type="first" r:id="rId15"/>
      <w:pgSz w:w="11906" w:h="17338"/>
      <w:pgMar w:top="1134" w:right="1134" w:bottom="1134" w:left="1134"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636" w:rsidRDefault="00D25636" w:rsidP="009860D0">
      <w:r>
        <w:separator/>
      </w:r>
    </w:p>
  </w:endnote>
  <w:endnote w:type="continuationSeparator" w:id="0">
    <w:p w:rsidR="00D25636" w:rsidRDefault="00D25636" w:rsidP="0098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D01" w:rsidRPr="00204D01" w:rsidRDefault="00204D01">
    <w:pPr>
      <w:pStyle w:val="Rodap"/>
      <w:pBdr>
        <w:top w:val="thinThickSmallGap" w:sz="24" w:space="1" w:color="622423" w:themeColor="accent2" w:themeShade="7F"/>
      </w:pBdr>
      <w:rPr>
        <w:rFonts w:eastAsiaTheme="majorEastAsia" w:cs="Times New Roman"/>
      </w:rPr>
    </w:pPr>
    <w:r w:rsidRPr="00204D01">
      <w:rPr>
        <w:rFonts w:eastAsiaTheme="majorEastAsia" w:cs="Times New Roman"/>
      </w:rPr>
      <w:t>Corpo de Bombeiros Militar de Alagoas</w:t>
    </w:r>
    <w:r w:rsidRPr="00204D01">
      <w:rPr>
        <w:rFonts w:eastAsiaTheme="majorEastAsia" w:cs="Times New Roman"/>
      </w:rPr>
      <w:ptab w:relativeTo="margin" w:alignment="right" w:leader="none"/>
    </w:r>
    <w:r w:rsidRPr="00204D01">
      <w:rPr>
        <w:rFonts w:eastAsiaTheme="majorEastAsia" w:cs="Times New Roman"/>
      </w:rPr>
      <w:t xml:space="preserve">Página </w:t>
    </w:r>
    <w:r w:rsidRPr="00204D01">
      <w:rPr>
        <w:rFonts w:eastAsiaTheme="minorEastAsia" w:cs="Times New Roman"/>
      </w:rPr>
      <w:fldChar w:fldCharType="begin"/>
    </w:r>
    <w:r w:rsidRPr="00204D01">
      <w:rPr>
        <w:rFonts w:cs="Times New Roman"/>
      </w:rPr>
      <w:instrText>PAGE   \* MERGEFORMAT</w:instrText>
    </w:r>
    <w:r w:rsidRPr="00204D01">
      <w:rPr>
        <w:rFonts w:eastAsiaTheme="minorEastAsia" w:cs="Times New Roman"/>
      </w:rPr>
      <w:fldChar w:fldCharType="separate"/>
    </w:r>
    <w:r w:rsidR="00D16017" w:rsidRPr="00D16017">
      <w:rPr>
        <w:rFonts w:eastAsiaTheme="majorEastAsia" w:cs="Times New Roman"/>
        <w:noProof/>
      </w:rPr>
      <w:t>15</w:t>
    </w:r>
    <w:r w:rsidRPr="00204D01">
      <w:rPr>
        <w:rFonts w:eastAsiaTheme="majorEastAsia" w:cs="Times New Roman"/>
      </w:rPr>
      <w:fldChar w:fldCharType="end"/>
    </w:r>
  </w:p>
  <w:p w:rsidR="00204D01" w:rsidRPr="00204D01" w:rsidRDefault="00204D01">
    <w:pPr>
      <w:pStyle w:val="Rodap"/>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636" w:rsidRDefault="00D25636" w:rsidP="009860D0">
      <w:r>
        <w:separator/>
      </w:r>
    </w:p>
  </w:footnote>
  <w:footnote w:type="continuationSeparator" w:id="0">
    <w:p w:rsidR="00D25636" w:rsidRDefault="00D25636" w:rsidP="00986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D01" w:rsidRDefault="00A82C45">
    <w:pPr>
      <w:pStyle w:val="Cabealho"/>
    </w:pPr>
    <w:r>
      <w:rPr>
        <w:noProof/>
        <w:lang w:eastAsia="pt-BR"/>
      </w:rPr>
      <mc:AlternateContent>
        <mc:Choice Requires="wpg">
          <w:drawing>
            <wp:anchor distT="0" distB="0" distL="114300" distR="114300" simplePos="0" relativeHeight="251665408" behindDoc="0" locked="0" layoutInCell="0" allowOverlap="1">
              <wp:simplePos x="0" y="0"/>
              <wp:positionH relativeFrom="page">
                <wp:align>center</wp:align>
              </wp:positionH>
              <wp:positionV relativeFrom="topMargin">
                <wp:align>center</wp:align>
              </wp:positionV>
              <wp:extent cx="7162165" cy="530225"/>
              <wp:effectExtent l="0" t="0" r="18415" b="22225"/>
              <wp:wrapNone/>
              <wp:docPr id="225"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26" name="Rectangle 197"/>
                      <wps:cNvSpPr>
                        <a:spLocks noChangeArrowheads="1"/>
                      </wps:cNvSpPr>
                      <wps:spPr bwMode="auto">
                        <a:xfrm>
                          <a:off x="377" y="360"/>
                          <a:ext cx="9346" cy="720"/>
                        </a:xfrm>
                        <a:prstGeom prst="rect">
                          <a:avLst/>
                        </a:prstGeom>
                        <a:solidFill>
                          <a:schemeClr val="accent6">
                            <a:lumMod val="75000"/>
                          </a:schemeClr>
                        </a:solidFill>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rsidR="00204D01" w:rsidRDefault="00204D01">
                                <w:pPr>
                                  <w:pStyle w:val="Cabealho"/>
                                  <w:rPr>
                                    <w:color w:val="FFFFFF" w:themeColor="background1"/>
                                    <w:sz w:val="28"/>
                                    <w:szCs w:val="28"/>
                                  </w:rPr>
                                </w:pPr>
                                <w:r>
                                  <w:rPr>
                                    <w:color w:val="FFFFFF" w:themeColor="background1"/>
                                    <w:sz w:val="28"/>
                                    <w:szCs w:val="28"/>
                                  </w:rPr>
                                  <w:t>IT01 CBMAL – Parte 3</w:t>
                                </w:r>
                              </w:p>
                            </w:sdtContent>
                          </w:sdt>
                        </w:txbxContent>
                      </wps:txbx>
                      <wps:bodyPr rot="0" vert="horz" wrap="square" lIns="91440" tIns="45720" rIns="91440" bIns="45720" anchor="ctr" anchorCtr="0" upright="1">
                        <a:noAutofit/>
                      </wps:bodyPr>
                    </wps:wsp>
                    <wps:wsp>
                      <wps:cNvPr id="227" name="Rectangle 198"/>
                      <wps:cNvSpPr>
                        <a:spLocks noChangeArrowheads="1"/>
                      </wps:cNvSpPr>
                      <wps:spPr bwMode="auto">
                        <a:xfrm>
                          <a:off x="9763" y="360"/>
                          <a:ext cx="2102" cy="720"/>
                        </a:xfrm>
                        <a:prstGeom prst="rect">
                          <a:avLst/>
                        </a:prstGeom>
                        <a:solidFill>
                          <a:schemeClr val="accent3"/>
                        </a:solidFill>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204D01" w:rsidRDefault="00204D01" w:rsidP="00204D01">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228"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540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f1wQMAAFUNAAAOAAAAZHJzL2Uyb0RvYy54bWzsV9tu3DYQfS/QfyD0Luu6usFy4OzFKOC2&#10;QZJ+AFeiLqhEqiTXWqfov3c42pt3gzq1USMP9YMsLsnhzJk5c6jrd9u+Iw9Mqlbw3PKuXIswXoiy&#10;5XVu/fZ5ZScWUZryknaCs9x6ZMp6d/PjD9fjkDFfNKIrmSRghKtsHHKr0XrIHEcVDeupuhID4zBZ&#10;CdlTDUNZO6WkI1jvO8d33cgZhSwHKQqmFPy6mCatG7RfVazQv1aVYpp0uQW+aXxKfK7N07m5plkt&#10;6dC0xc4N+gIvetpyOPRgakE1JRvZXpjq20IKJSp9VYjeEVXVFgxjgGg89yyaOyk2A8ZSZ2M9HGAC&#10;aM9werHZ4peHD5K0ZW75/swinPaQpDu5GQTx0sjAMw51Bqvu5PBp+CCnGOH1XhS/K5h2zufNuJ4W&#10;k/X4syjBIN1ogfBsK9kbExA42WIWHg9ZYFtNCvgx9iLfi8CZAuZmgWscwzQVDeTSbAsCSCVMBm6y&#10;n1nuNnveLImmrUmA+xyaTaeipzvPTFhQcOqIqXodpp8aOjBMlTJoHTAFXyZMP0IpUl53DHCNJ1xx&#10;5R5UNSFKuJg3sI7dSinGhtESHPPMenD/ZIMZKMjHsxAHcTxhFe2KfQ9zGoQ7oGIfpw5A0WyQSt8x&#10;0RPzklsSfMf00Yd7pY0vxyUmm0p0bblquw4Hhrps3knyQIF0tCgY1xFu7zY91MP0ezxz3f2xyHaz&#10;BS0/sQbewpHGrvEbGfVn6vmh+95P7VWUxHa4Cmd2GruJ7Xrp+zRywzRcrP4yB3ph1rRlyfh9y9me&#10;3V74bZne9ZmJl8hvMkIqUnfmYjBP3FSyXh9CXuEf5uwMm77V0O26ts+tBMKfAKCZSfOSl1jkmrbd&#10;9O489R+xARD2/xEWLApTB1NB6+16C1ZMcaxF+QjlIQXkD9gCLRpeGiG/WGSEdpdb6o8Nlcwi3U8c&#10;Siz1wtD0RxyEM1MSRJ7OrE9nKC/AVG4VWlpkGsz11FU3g2zrBs7yECUuboH7VYtVc/QLgjADIOCb&#10;MRFocMlE7B/GE+Dsf83ENI6Cr1PR91x/6llvQMXga4X5vdHMn4VAjsve8v3QDDUTG/Oxqv9n20H3&#10;4Np3ybb0LXXv/I5g9MNcL/7hhnBUtW8UPi6M6mHf7jjKgx8/W7fY+A/Sdyqd/1Ieso7vhPFSIt10&#10;mSyT0A79aGmH7mJh367moR2tvHi2CBbz+cJ7KpEmkNdL5MsYe6J00y0C7hfPKN2byJt+vbjhpRPu&#10;7qjau+8M83FwOkYxPH4N3fwNAAD//wMAUEsDBBQABgAIAAAAIQBvdIU53QAAAAUBAAAPAAAAZHJz&#10;L2Rvd25yZXYueG1sTI/NTsMwEITvSH0Haytxo06LKG0ap6qQ4IQqGirUoxsviYW9TmPnh7fH5QKX&#10;lUYzmvk2247WsB5brx0JmM8SYEilU5oqAcf357sVMB8kKWkcoYBv9LDNJzeZTJUb6IB9ESoWS8in&#10;UkAdQpNy7ssarfQz1yBF79O1VoYo24qrVg6x3Bq+SJIlt1JTXKhlg081ll9FZwWY/etLXywvp4/9&#10;iXQ3HP2b7kohbqfjbgMs4Bj+wnDFj+iQR6az60h5ZgTER8LvvXrzxeMa2FnA6v4BeJ7x//T5DwAA&#10;AP//AwBQSwECLQAUAAYACAAAACEAtoM4kv4AAADhAQAAEwAAAAAAAAAAAAAAAAAAAAAAW0NvbnRl&#10;bnRfVHlwZXNdLnhtbFBLAQItABQABgAIAAAAIQA4/SH/1gAAAJQBAAALAAAAAAAAAAAAAAAAAC8B&#10;AABfcmVscy8ucmVsc1BLAQItABQABgAIAAAAIQDuRDf1wQMAAFUNAAAOAAAAAAAAAAAAAAAAAC4C&#10;AABkcnMvZTJvRG9jLnhtbFBLAQItABQABgAIAAAAIQBvdIU53QAAAAUBAAAPAAAAAAAAAAAAAAAA&#10;ABsGAABkcnMvZG93bnJldi54bWxQSwUGAAAAAAQABADzAAAAJQc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cUA&#10;AADcAAAADwAAAGRycy9kb3ducmV2LnhtbESPT2vCQBTE7wW/w/KE3urGQEOJboJKbT0JtYLXR/bl&#10;D2bfprtbTfvpu4LQ4zAzv2GW5Wh6cSHnO8sK5rMEBHFldceNguPn9ukFhA/IGnvLpOCHPJTF5GGJ&#10;ubZX/qDLITQiQtjnqKANYcil9FVLBv3MDsTRq60zGKJ0jdQOrxFuepkmSSYNdhwXWhxo01J1Pnwb&#10;Bdnrbv/1+5ytXepPW5T7enh7r5V6nI6rBYhAY/gP39s7rSBNM7id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g9xQAAANwAAAAPAAAAAAAAAAAAAAAAAJgCAABkcnMv&#10;ZG93bnJldi54bWxQSwUGAAAAAAQABAD1AAAAigMAAAAA&#10;" fillcolor="#e36c0a [2409]" stroked="f" strokecolor="white" strokeweight="1.5pt">
                <v:textbox>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rsidR="00204D01" w:rsidRDefault="00204D01">
                          <w:pPr>
                            <w:pStyle w:val="Cabealho"/>
                            <w:rPr>
                              <w:color w:val="FFFFFF" w:themeColor="background1"/>
                              <w:sz w:val="28"/>
                              <w:szCs w:val="28"/>
                            </w:rPr>
                          </w:pPr>
                          <w:r>
                            <w:rPr>
                              <w:color w:val="FFFFFF" w:themeColor="background1"/>
                              <w:sz w:val="28"/>
                              <w:szCs w:val="28"/>
                            </w:rPr>
                            <w:t>IT01 CBMAL – Parte 3</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HqscA&#10;AADcAAAADwAAAGRycy9kb3ducmV2LnhtbESPQWvCQBSE7wX/w/IKvUjdGGjTxmxECoLUQzGK9vjI&#10;PpPU7NuQ3Wr6712h4HGYmW+YbD6YVpypd41lBdNJBIK4tLrhSsFuu3x+A+E8ssbWMin4IwfzfPSQ&#10;YarthTd0LnwlAoRdigpq77tUSlfWZNBNbEccvKPtDfog+0rqHi8BbloZR9GrNNhwWKixo4+aylPx&#10;axQUyyT+su8v43L/M/48fMs17VZrpZ4eh8UMhKfB38P/7ZVWEMcJ3M6EI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AR6rHAAAA3AAAAA8AAAAAAAAAAAAAAAAAmAIAAGRy&#10;cy9kb3ducmV2LnhtbFBLBQYAAAAABAAEAPUAAACMAwAAAAA=&#10;" fillcolor="#9bbb59 [3206]" stroked="f" strokecolor="white" strokeweight="2pt">
                <v:textbox>
                  <w:txbxContent>
                    <w:sdt>
                      <w:sdtPr>
                        <w:rPr>
                          <w:color w:val="FFFFFF" w:themeColor="background1"/>
                          <w:sz w:val="36"/>
                          <w:szCs w:val="36"/>
                        </w:rPr>
                        <w:alias w:val="Ano"/>
                        <w:id w:val="7870992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204D01" w:rsidRDefault="00204D01" w:rsidP="00204D01">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mc:Fallback>
      </mc:AlternateContent>
    </w:r>
  </w:p>
  <w:p w:rsidR="003560D9" w:rsidRPr="00E54203" w:rsidRDefault="003560D9" w:rsidP="00E5420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D01" w:rsidRDefault="00204D01">
    <w:pPr>
      <w:pStyle w:val="Cabealho"/>
    </w:pPr>
  </w:p>
  <w:p w:rsidR="0078527E" w:rsidRDefault="0078527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0C7"/>
    <w:multiLevelType w:val="multilevel"/>
    <w:tmpl w:val="2472927A"/>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56C2857"/>
    <w:multiLevelType w:val="multilevel"/>
    <w:tmpl w:val="81C26312"/>
    <w:lvl w:ilvl="0">
      <w:start w:val="1"/>
      <w:numFmt w:val="lowerLetter"/>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6C60B0C"/>
    <w:multiLevelType w:val="multilevel"/>
    <w:tmpl w:val="105AA50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sz w:val="20"/>
        <w:szCs w:val="20"/>
        <w:vertAlign w:val="baseline"/>
      </w:rPr>
    </w:lvl>
    <w:lvl w:ilvl="2">
      <w:start w:val="1"/>
      <w:numFmt w:val="decimal"/>
      <w:lvlText w:val="%1.%2.%3"/>
      <w:lvlJc w:val="left"/>
      <w:pPr>
        <w:ind w:left="720" w:hanging="720"/>
      </w:pPr>
      <w:rPr>
        <w:rFonts w:ascii="Times New Roman" w:eastAsia="Times New Roman" w:hAnsi="Times New Roman" w:cs="Times New Roman"/>
        <w:b/>
        <w:i w:val="0"/>
        <w:smallCaps w:val="0"/>
        <w:strike w:val="0"/>
        <w:color w:val="000000"/>
        <w:u w:val="none"/>
        <w:vertAlign w:val="baseline"/>
      </w:rPr>
    </w:lvl>
    <w:lvl w:ilvl="3">
      <w:start w:val="1"/>
      <w:numFmt w:val="decimal"/>
      <w:lvlText w:val="%1.%2.%3.%4"/>
      <w:lvlJc w:val="left"/>
      <w:pPr>
        <w:ind w:left="864" w:hanging="864"/>
      </w:pPr>
      <w:rPr>
        <w:b/>
        <w:vertAlign w:val="baseline"/>
      </w:rPr>
    </w:lvl>
    <w:lvl w:ilvl="4">
      <w:start w:val="1"/>
      <w:numFmt w:val="decimal"/>
      <w:lvlText w:val="%1.%2.%3.%4.%5"/>
      <w:lvlJc w:val="left"/>
      <w:pPr>
        <w:ind w:left="1008" w:hanging="1008"/>
      </w:pPr>
      <w:rPr>
        <w:b/>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nsid w:val="07A747A1"/>
    <w:multiLevelType w:val="multilevel"/>
    <w:tmpl w:val="68BC8DAE"/>
    <w:lvl w:ilvl="0">
      <w:start w:val="1"/>
      <w:numFmt w:val="lowerLetter"/>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0B2B151F"/>
    <w:multiLevelType w:val="hybridMultilevel"/>
    <w:tmpl w:val="0FE2A0DE"/>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CE72E0D"/>
    <w:multiLevelType w:val="hybridMultilevel"/>
    <w:tmpl w:val="C6AADA9A"/>
    <w:lvl w:ilvl="0" w:tplc="04160017">
      <w:start w:val="1"/>
      <w:numFmt w:val="lowerLetter"/>
      <w:lvlText w:val="%1)"/>
      <w:lvlJc w:val="lef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nsid w:val="14676E23"/>
    <w:multiLevelType w:val="multilevel"/>
    <w:tmpl w:val="CE40102A"/>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18744772"/>
    <w:multiLevelType w:val="multilevel"/>
    <w:tmpl w:val="4D74E4E2"/>
    <w:lvl w:ilvl="0">
      <w:start w:val="1"/>
      <w:numFmt w:val="lowerLetter"/>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18DB2C69"/>
    <w:multiLevelType w:val="multilevel"/>
    <w:tmpl w:val="DFB0E69C"/>
    <w:lvl w:ilvl="0">
      <w:start w:val="1"/>
      <w:numFmt w:val="decimal"/>
      <w:lvlText w:val="%1"/>
      <w:lvlJc w:val="left"/>
      <w:pPr>
        <w:ind w:left="432" w:hanging="432"/>
      </w:pPr>
      <w:rPr>
        <w:vertAlign w:val="baseline"/>
      </w:rPr>
    </w:lvl>
    <w:lvl w:ilvl="1">
      <w:start w:val="1"/>
      <w:numFmt w:val="decimal"/>
      <w:lvlText w:val="%1.%2"/>
      <w:lvlJc w:val="left"/>
      <w:pPr>
        <w:ind w:left="576" w:hanging="576"/>
      </w:pPr>
      <w:rPr>
        <w:b/>
        <w:vertAlign w:val="baseline"/>
      </w:rPr>
    </w:lvl>
    <w:lvl w:ilvl="2">
      <w:start w:val="1"/>
      <w:numFmt w:val="decimal"/>
      <w:lvlText w:val="%1.%2.%3"/>
      <w:lvlJc w:val="left"/>
      <w:pPr>
        <w:ind w:left="720" w:hanging="720"/>
      </w:pPr>
      <w:rPr>
        <w:rFonts w:ascii="Times New Roman" w:eastAsia="Times New Roman" w:hAnsi="Times New Roman" w:cs="Times New Roman"/>
        <w:b/>
        <w:i w:val="0"/>
        <w:smallCaps w:val="0"/>
        <w:strike w:val="0"/>
        <w:color w:val="000000"/>
        <w:u w:val="none"/>
        <w:vertAlign w:val="baseline"/>
      </w:rPr>
    </w:lvl>
    <w:lvl w:ilvl="3">
      <w:start w:val="1"/>
      <w:numFmt w:val="decimal"/>
      <w:lvlText w:val="%1.%2.%3.%4"/>
      <w:lvlJc w:val="left"/>
      <w:pPr>
        <w:ind w:left="864" w:hanging="864"/>
      </w:pPr>
      <w:rPr>
        <w:b/>
        <w:vertAlign w:val="baseline"/>
      </w:rPr>
    </w:lvl>
    <w:lvl w:ilvl="4">
      <w:start w:val="1"/>
      <w:numFmt w:val="decimal"/>
      <w:lvlText w:val="%1.%2.%3.%4.%5"/>
      <w:lvlJc w:val="left"/>
      <w:pPr>
        <w:ind w:left="1008" w:hanging="1008"/>
      </w:pPr>
      <w:rPr>
        <w:b/>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1DB728A8"/>
    <w:multiLevelType w:val="multilevel"/>
    <w:tmpl w:val="C7E0969C"/>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1F245CF9"/>
    <w:multiLevelType w:val="hybridMultilevel"/>
    <w:tmpl w:val="F58A38F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D67A16"/>
    <w:multiLevelType w:val="multilevel"/>
    <w:tmpl w:val="E27E7BA2"/>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217A6D37"/>
    <w:multiLevelType w:val="multilevel"/>
    <w:tmpl w:val="F3128B36"/>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26B52114"/>
    <w:multiLevelType w:val="multilevel"/>
    <w:tmpl w:val="53BA850C"/>
    <w:lvl w:ilvl="0">
      <w:start w:val="1"/>
      <w:numFmt w:val="lowerLetter"/>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285A4654"/>
    <w:multiLevelType w:val="multilevel"/>
    <w:tmpl w:val="838E47EC"/>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2C451A9D"/>
    <w:multiLevelType w:val="multilevel"/>
    <w:tmpl w:val="81029D54"/>
    <w:lvl w:ilvl="0">
      <w:start w:val="1"/>
      <w:numFmt w:val="decimal"/>
      <w:lvlText w:val="%1)"/>
      <w:lvlJc w:val="left"/>
      <w:pPr>
        <w:ind w:left="720" w:hanging="360"/>
      </w:pPr>
      <w:rPr>
        <w:rFonts w:ascii="Times New Roman" w:eastAsia="Times New Roman" w:hAnsi="Times New Roman" w:cs="Times New Roman"/>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2C834F49"/>
    <w:multiLevelType w:val="multilevel"/>
    <w:tmpl w:val="11ECD9F8"/>
    <w:lvl w:ilvl="0">
      <w:start w:val="1"/>
      <w:numFmt w:val="decimal"/>
      <w:pStyle w:val="1Nota1"/>
      <w:suff w:val="space"/>
      <w:lvlText w:val="%1)"/>
      <w:lvlJc w:val="left"/>
      <w:pPr>
        <w:ind w:left="0" w:firstLine="0"/>
      </w:pPr>
      <w:rPr>
        <w:rFonts w:ascii="Arial" w:hAnsi="Arial" w:hint="default"/>
        <w:b w:val="0"/>
        <w:i/>
        <w:sz w:val="1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62D0BDA"/>
    <w:multiLevelType w:val="hybridMultilevel"/>
    <w:tmpl w:val="D8223F3E"/>
    <w:lvl w:ilvl="0" w:tplc="2B9EAC3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369F2257"/>
    <w:multiLevelType w:val="multilevel"/>
    <w:tmpl w:val="1562C8C2"/>
    <w:lvl w:ilvl="0">
      <w:start w:val="1"/>
      <w:numFmt w:val="decimal"/>
      <w:lvlText w:val="%1"/>
      <w:lvlJc w:val="left"/>
      <w:pPr>
        <w:ind w:left="432" w:hanging="432"/>
      </w:pPr>
      <w:rPr>
        <w:b/>
        <w:position w:val="0"/>
        <w:sz w:val="20"/>
        <w:vertAlign w:val="baseline"/>
      </w:rPr>
    </w:lvl>
    <w:lvl w:ilvl="1">
      <w:start w:val="1"/>
      <w:numFmt w:val="decimal"/>
      <w:lvlText w:val="%1.%2"/>
      <w:lvlJc w:val="left"/>
      <w:pPr>
        <w:ind w:left="576" w:hanging="576"/>
      </w:pPr>
      <w:rPr>
        <w:rFonts w:eastAsia="Times New Roman" w:cs="Times New Roman"/>
        <w:b/>
        <w:position w:val="0"/>
        <w:sz w:val="20"/>
        <w:szCs w:val="20"/>
        <w:vertAlign w:val="baseline"/>
      </w:rPr>
    </w:lvl>
    <w:lvl w:ilvl="2">
      <w:start w:val="1"/>
      <w:numFmt w:val="decimal"/>
      <w:lvlText w:val="%1.%2.%3"/>
      <w:lvlJc w:val="left"/>
      <w:pPr>
        <w:ind w:left="720" w:hanging="720"/>
      </w:pPr>
      <w:rPr>
        <w:rFonts w:eastAsia="Times New Roman" w:cs="Times New Roman"/>
        <w:b/>
        <w:i w:val="0"/>
        <w:caps w:val="0"/>
        <w:smallCaps w:val="0"/>
        <w:strike w:val="0"/>
        <w:dstrike w:val="0"/>
        <w:color w:val="000000"/>
        <w:position w:val="0"/>
        <w:sz w:val="20"/>
        <w:u w:val="none"/>
        <w:vertAlign w:val="baseline"/>
      </w:rPr>
    </w:lvl>
    <w:lvl w:ilvl="3">
      <w:start w:val="1"/>
      <w:numFmt w:val="decimal"/>
      <w:lvlText w:val="%1.%2.%3.%4"/>
      <w:lvlJc w:val="left"/>
      <w:pPr>
        <w:ind w:left="864" w:hanging="864"/>
      </w:pPr>
      <w:rPr>
        <w:b/>
        <w:position w:val="0"/>
        <w:sz w:val="20"/>
        <w:vertAlign w:val="baseline"/>
      </w:rPr>
    </w:lvl>
    <w:lvl w:ilvl="4">
      <w:start w:val="1"/>
      <w:numFmt w:val="decimal"/>
      <w:lvlText w:val="%1.%2.%3.%4.%5"/>
      <w:lvlJc w:val="left"/>
      <w:pPr>
        <w:ind w:left="1008" w:hanging="1008"/>
      </w:pPr>
      <w:rPr>
        <w:b/>
        <w:position w:val="0"/>
        <w:sz w:val="20"/>
        <w:vertAlign w:val="baseline"/>
      </w:rPr>
    </w:lvl>
    <w:lvl w:ilvl="5">
      <w:start w:val="1"/>
      <w:numFmt w:val="decimal"/>
      <w:lvlText w:val="%1.%2.%3.%4.%5.%6"/>
      <w:lvlJc w:val="left"/>
      <w:pPr>
        <w:ind w:left="1152" w:hanging="1152"/>
      </w:pPr>
      <w:rPr>
        <w:position w:val="0"/>
        <w:sz w:val="20"/>
        <w:vertAlign w:val="baseline"/>
      </w:rPr>
    </w:lvl>
    <w:lvl w:ilvl="6">
      <w:start w:val="1"/>
      <w:numFmt w:val="decimal"/>
      <w:lvlText w:val="%1.%2.%3.%4.%5.%6.%7"/>
      <w:lvlJc w:val="left"/>
      <w:pPr>
        <w:ind w:left="1296" w:hanging="1296"/>
      </w:pPr>
      <w:rPr>
        <w:position w:val="0"/>
        <w:sz w:val="20"/>
        <w:vertAlign w:val="baseline"/>
      </w:rPr>
    </w:lvl>
    <w:lvl w:ilvl="7">
      <w:start w:val="1"/>
      <w:numFmt w:val="decimal"/>
      <w:lvlText w:val="%1.%2.%3.%4.%5.%6.%7.%8"/>
      <w:lvlJc w:val="left"/>
      <w:pPr>
        <w:ind w:left="1440" w:hanging="1440"/>
      </w:pPr>
      <w:rPr>
        <w:position w:val="0"/>
        <w:sz w:val="20"/>
        <w:vertAlign w:val="baseline"/>
      </w:rPr>
    </w:lvl>
    <w:lvl w:ilvl="8">
      <w:start w:val="1"/>
      <w:numFmt w:val="decimal"/>
      <w:lvlText w:val="%1.%2.%3.%4.%5.%6.%7.%8.%9"/>
      <w:lvlJc w:val="left"/>
      <w:pPr>
        <w:ind w:left="1584" w:hanging="1584"/>
      </w:pPr>
      <w:rPr>
        <w:position w:val="0"/>
        <w:sz w:val="20"/>
        <w:vertAlign w:val="baseline"/>
      </w:rPr>
    </w:lvl>
  </w:abstractNum>
  <w:abstractNum w:abstractNumId="19">
    <w:nsid w:val="37C42AD0"/>
    <w:multiLevelType w:val="multilevel"/>
    <w:tmpl w:val="F3128B36"/>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400C45E2"/>
    <w:multiLevelType w:val="multilevel"/>
    <w:tmpl w:val="5F5CAD7A"/>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401B10AC"/>
    <w:multiLevelType w:val="multilevel"/>
    <w:tmpl w:val="99EA2E98"/>
    <w:lvl w:ilvl="0">
      <w:start w:val="1"/>
      <w:numFmt w:val="lowerLetter"/>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nsid w:val="44775051"/>
    <w:multiLevelType w:val="multilevel"/>
    <w:tmpl w:val="2BEE91E0"/>
    <w:numStyleLink w:val="Estilo1"/>
  </w:abstractNum>
  <w:abstractNum w:abstractNumId="23">
    <w:nsid w:val="491E396F"/>
    <w:multiLevelType w:val="multilevel"/>
    <w:tmpl w:val="19BA67E0"/>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nsid w:val="4D946037"/>
    <w:multiLevelType w:val="multilevel"/>
    <w:tmpl w:val="81B0BE34"/>
    <w:lvl w:ilvl="0">
      <w:start w:val="1"/>
      <w:numFmt w:val="lowerLetter"/>
      <w:lvlText w:val="%1)"/>
      <w:lvlJc w:val="left"/>
      <w:pPr>
        <w:ind w:left="720" w:hanging="360"/>
      </w:pPr>
      <w:rPr>
        <w:rFonts w:hint="default"/>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nsid w:val="4DB84FB6"/>
    <w:multiLevelType w:val="hybridMultilevel"/>
    <w:tmpl w:val="FF3E9F38"/>
    <w:lvl w:ilvl="0" w:tplc="04160019">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FB173A0"/>
    <w:multiLevelType w:val="multilevel"/>
    <w:tmpl w:val="3E385474"/>
    <w:lvl w:ilvl="0">
      <w:start w:val="1"/>
      <w:numFmt w:val="lowerLetter"/>
      <w:lvlText w:val="%1)"/>
      <w:lvlJc w:val="left"/>
      <w:pPr>
        <w:ind w:left="720" w:hanging="360"/>
      </w:pPr>
      <w:rPr>
        <w:rFonts w:hint="default"/>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nsid w:val="514B6CAD"/>
    <w:multiLevelType w:val="hybridMultilevel"/>
    <w:tmpl w:val="1BB2C33A"/>
    <w:lvl w:ilvl="0" w:tplc="0F70932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17E231E"/>
    <w:multiLevelType w:val="hybridMultilevel"/>
    <w:tmpl w:val="2AE611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18642BF"/>
    <w:multiLevelType w:val="multilevel"/>
    <w:tmpl w:val="0A78E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34E2701"/>
    <w:multiLevelType w:val="multilevel"/>
    <w:tmpl w:val="F3DAB610"/>
    <w:lvl w:ilvl="0">
      <w:start w:val="1"/>
      <w:numFmt w:val="decimal"/>
      <w:lvlText w:val="%1.1.1"/>
      <w:lvlJc w:val="left"/>
      <w:pPr>
        <w:ind w:left="720" w:hanging="360"/>
      </w:pPr>
      <w:rPr>
        <w:b/>
        <w:i w:val="0"/>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nsid w:val="540F1CB9"/>
    <w:multiLevelType w:val="hybridMultilevel"/>
    <w:tmpl w:val="D394948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8655048"/>
    <w:multiLevelType w:val="multilevel"/>
    <w:tmpl w:val="5234FA3C"/>
    <w:lvl w:ilvl="0">
      <w:start w:val="1"/>
      <w:numFmt w:val="decimal"/>
      <w:lvlText w:val="%1)"/>
      <w:lvlJc w:val="left"/>
      <w:pPr>
        <w:ind w:left="720" w:hanging="360"/>
      </w:pPr>
      <w:rPr>
        <w:rFonts w:ascii="Times New Roman" w:eastAsia="Times New Roman" w:hAnsi="Times New Roman" w:cs="Times New Roman"/>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nsid w:val="5BEC2A95"/>
    <w:multiLevelType w:val="multilevel"/>
    <w:tmpl w:val="103AF12E"/>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nsid w:val="5C060B9C"/>
    <w:multiLevelType w:val="multilevel"/>
    <w:tmpl w:val="FFDEB266"/>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nsid w:val="62674A90"/>
    <w:multiLevelType w:val="hybridMultilevel"/>
    <w:tmpl w:val="52A6FD70"/>
    <w:lvl w:ilvl="0" w:tplc="04160019">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80551C2"/>
    <w:multiLevelType w:val="multilevel"/>
    <w:tmpl w:val="9476E07A"/>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1855" w:hanging="720"/>
      </w:pPr>
      <w:rPr>
        <w:rFonts w:ascii="Times New Roman" w:hAnsi="Times New Roman"/>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7">
    <w:nsid w:val="6A4D63A2"/>
    <w:multiLevelType w:val="multilevel"/>
    <w:tmpl w:val="F8800AD8"/>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nsid w:val="713134B7"/>
    <w:multiLevelType w:val="multilevel"/>
    <w:tmpl w:val="F3943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72683EEC"/>
    <w:multiLevelType w:val="multilevel"/>
    <w:tmpl w:val="45344DE8"/>
    <w:lvl w:ilvl="0">
      <w:start w:val="1"/>
      <w:numFmt w:val="decimal"/>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40">
    <w:nsid w:val="744D79A3"/>
    <w:multiLevelType w:val="multilevel"/>
    <w:tmpl w:val="2BEE91E0"/>
    <w:numStyleLink w:val="Estilo1"/>
  </w:abstractNum>
  <w:abstractNum w:abstractNumId="41">
    <w:nsid w:val="77A9733D"/>
    <w:multiLevelType w:val="multilevel"/>
    <w:tmpl w:val="2BEE91E0"/>
    <w:styleLink w:val="Estilo1"/>
    <w:lvl w:ilvl="0">
      <w:start w:val="1"/>
      <w:numFmt w:val="none"/>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3A.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AB12B38"/>
    <w:multiLevelType w:val="multilevel"/>
    <w:tmpl w:val="652CBA20"/>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C941630"/>
    <w:multiLevelType w:val="multilevel"/>
    <w:tmpl w:val="1982004A"/>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rFonts w:hint="default"/>
        <w:b/>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nsid w:val="7CD4131F"/>
    <w:multiLevelType w:val="multilevel"/>
    <w:tmpl w:val="85160D84"/>
    <w:lvl w:ilvl="0">
      <w:start w:val="1"/>
      <w:numFmt w:val="lowerLetter"/>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6"/>
  </w:num>
  <w:num w:numId="2">
    <w:abstractNumId w:val="16"/>
  </w:num>
  <w:num w:numId="3">
    <w:abstractNumId w:val="33"/>
  </w:num>
  <w:num w:numId="4">
    <w:abstractNumId w:val="0"/>
  </w:num>
  <w:num w:numId="5">
    <w:abstractNumId w:val="43"/>
  </w:num>
  <w:num w:numId="6">
    <w:abstractNumId w:val="19"/>
  </w:num>
  <w:num w:numId="7">
    <w:abstractNumId w:val="1"/>
  </w:num>
  <w:num w:numId="8">
    <w:abstractNumId w:val="11"/>
  </w:num>
  <w:num w:numId="9">
    <w:abstractNumId w:val="23"/>
  </w:num>
  <w:num w:numId="10">
    <w:abstractNumId w:val="20"/>
  </w:num>
  <w:num w:numId="11">
    <w:abstractNumId w:val="34"/>
  </w:num>
  <w:num w:numId="12">
    <w:abstractNumId w:val="26"/>
  </w:num>
  <w:num w:numId="13">
    <w:abstractNumId w:val="2"/>
  </w:num>
  <w:num w:numId="14">
    <w:abstractNumId w:val="7"/>
  </w:num>
  <w:num w:numId="15">
    <w:abstractNumId w:val="8"/>
  </w:num>
  <w:num w:numId="16">
    <w:abstractNumId w:val="24"/>
  </w:num>
  <w:num w:numId="17">
    <w:abstractNumId w:val="21"/>
  </w:num>
  <w:num w:numId="18">
    <w:abstractNumId w:val="39"/>
  </w:num>
  <w:num w:numId="19">
    <w:abstractNumId w:val="3"/>
  </w:num>
  <w:num w:numId="20">
    <w:abstractNumId w:val="38"/>
  </w:num>
  <w:num w:numId="21">
    <w:abstractNumId w:val="9"/>
  </w:num>
  <w:num w:numId="22">
    <w:abstractNumId w:val="14"/>
  </w:num>
  <w:num w:numId="23">
    <w:abstractNumId w:val="32"/>
  </w:num>
  <w:num w:numId="24">
    <w:abstractNumId w:val="15"/>
  </w:num>
  <w:num w:numId="25">
    <w:abstractNumId w:val="13"/>
  </w:num>
  <w:num w:numId="26">
    <w:abstractNumId w:val="30"/>
  </w:num>
  <w:num w:numId="27">
    <w:abstractNumId w:val="44"/>
  </w:num>
  <w:num w:numId="28">
    <w:abstractNumId w:val="37"/>
  </w:num>
  <w:num w:numId="29">
    <w:abstractNumId w:val="35"/>
  </w:num>
  <w:num w:numId="30">
    <w:abstractNumId w:val="29"/>
  </w:num>
  <w:num w:numId="31">
    <w:abstractNumId w:val="28"/>
  </w:num>
  <w:num w:numId="32">
    <w:abstractNumId w:val="17"/>
  </w:num>
  <w:num w:numId="33">
    <w:abstractNumId w:val="42"/>
  </w:num>
  <w:num w:numId="34">
    <w:abstractNumId w:val="27"/>
  </w:num>
  <w:num w:numId="35">
    <w:abstractNumId w:val="18"/>
  </w:num>
  <w:num w:numId="36">
    <w:abstractNumId w:val="31"/>
  </w:num>
  <w:num w:numId="37">
    <w:abstractNumId w:val="4"/>
  </w:num>
  <w:num w:numId="38">
    <w:abstractNumId w:val="6"/>
  </w:num>
  <w:num w:numId="39">
    <w:abstractNumId w:val="41"/>
  </w:num>
  <w:num w:numId="40">
    <w:abstractNumId w:val="40"/>
  </w:num>
  <w:num w:numId="41">
    <w:abstractNumId w:val="22"/>
  </w:num>
  <w:num w:numId="42">
    <w:abstractNumId w:val="25"/>
  </w:num>
  <w:num w:numId="43">
    <w:abstractNumId w:val="10"/>
  </w:num>
  <w:num w:numId="44">
    <w:abstractNumId w:val="5"/>
  </w:num>
  <w:num w:numId="45">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0B"/>
    <w:rsid w:val="00007E22"/>
    <w:rsid w:val="00017DD8"/>
    <w:rsid w:val="00021FAA"/>
    <w:rsid w:val="00025F6F"/>
    <w:rsid w:val="000333E9"/>
    <w:rsid w:val="00034342"/>
    <w:rsid w:val="00036083"/>
    <w:rsid w:val="000436BE"/>
    <w:rsid w:val="00051BD3"/>
    <w:rsid w:val="00053E12"/>
    <w:rsid w:val="00053E18"/>
    <w:rsid w:val="00056209"/>
    <w:rsid w:val="000606C4"/>
    <w:rsid w:val="00062E04"/>
    <w:rsid w:val="00065B15"/>
    <w:rsid w:val="00070494"/>
    <w:rsid w:val="00072D9E"/>
    <w:rsid w:val="00075CC2"/>
    <w:rsid w:val="0008762D"/>
    <w:rsid w:val="000A0E09"/>
    <w:rsid w:val="000A3D72"/>
    <w:rsid w:val="000B2571"/>
    <w:rsid w:val="000B5B47"/>
    <w:rsid w:val="000B5D7F"/>
    <w:rsid w:val="000B724B"/>
    <w:rsid w:val="000C2B74"/>
    <w:rsid w:val="000C5CEB"/>
    <w:rsid w:val="000C7A98"/>
    <w:rsid w:val="000D0365"/>
    <w:rsid w:val="000D04DA"/>
    <w:rsid w:val="000D1AB3"/>
    <w:rsid w:val="000D208F"/>
    <w:rsid w:val="000D4724"/>
    <w:rsid w:val="000E157C"/>
    <w:rsid w:val="000E2F18"/>
    <w:rsid w:val="000F1233"/>
    <w:rsid w:val="000F435A"/>
    <w:rsid w:val="000F490D"/>
    <w:rsid w:val="000F51E5"/>
    <w:rsid w:val="0010063A"/>
    <w:rsid w:val="001019A2"/>
    <w:rsid w:val="00102BD3"/>
    <w:rsid w:val="00102DF1"/>
    <w:rsid w:val="00103738"/>
    <w:rsid w:val="001045B8"/>
    <w:rsid w:val="0010521D"/>
    <w:rsid w:val="00105E70"/>
    <w:rsid w:val="001200D3"/>
    <w:rsid w:val="001317A9"/>
    <w:rsid w:val="00131A02"/>
    <w:rsid w:val="00131E0F"/>
    <w:rsid w:val="00132257"/>
    <w:rsid w:val="00132696"/>
    <w:rsid w:val="00135532"/>
    <w:rsid w:val="00141DDA"/>
    <w:rsid w:val="00142F36"/>
    <w:rsid w:val="00153759"/>
    <w:rsid w:val="001548D5"/>
    <w:rsid w:val="00165482"/>
    <w:rsid w:val="00166978"/>
    <w:rsid w:val="00167617"/>
    <w:rsid w:val="00171505"/>
    <w:rsid w:val="001723E4"/>
    <w:rsid w:val="0017247F"/>
    <w:rsid w:val="001770BD"/>
    <w:rsid w:val="0018032C"/>
    <w:rsid w:val="0018108F"/>
    <w:rsid w:val="00182033"/>
    <w:rsid w:val="00191A00"/>
    <w:rsid w:val="001B4B45"/>
    <w:rsid w:val="001B6E97"/>
    <w:rsid w:val="001C122A"/>
    <w:rsid w:val="001C1AAF"/>
    <w:rsid w:val="001C34DB"/>
    <w:rsid w:val="001D05C3"/>
    <w:rsid w:val="001E2BE5"/>
    <w:rsid w:val="001E6559"/>
    <w:rsid w:val="001F22FB"/>
    <w:rsid w:val="001F5A2C"/>
    <w:rsid w:val="00203B04"/>
    <w:rsid w:val="00204465"/>
    <w:rsid w:val="00204D01"/>
    <w:rsid w:val="0020541E"/>
    <w:rsid w:val="00207E05"/>
    <w:rsid w:val="0021279B"/>
    <w:rsid w:val="00213C06"/>
    <w:rsid w:val="00220BFA"/>
    <w:rsid w:val="002214CE"/>
    <w:rsid w:val="0022276C"/>
    <w:rsid w:val="00224288"/>
    <w:rsid w:val="00224559"/>
    <w:rsid w:val="00226C93"/>
    <w:rsid w:val="0023218B"/>
    <w:rsid w:val="00241018"/>
    <w:rsid w:val="0024678A"/>
    <w:rsid w:val="002476A5"/>
    <w:rsid w:val="00252A5F"/>
    <w:rsid w:val="002541D8"/>
    <w:rsid w:val="00255593"/>
    <w:rsid w:val="00266F39"/>
    <w:rsid w:val="0026784D"/>
    <w:rsid w:val="0027229B"/>
    <w:rsid w:val="00275BC7"/>
    <w:rsid w:val="002775F4"/>
    <w:rsid w:val="00277A0E"/>
    <w:rsid w:val="0028359C"/>
    <w:rsid w:val="0028529F"/>
    <w:rsid w:val="00287A69"/>
    <w:rsid w:val="0029018C"/>
    <w:rsid w:val="002A1687"/>
    <w:rsid w:val="002A4465"/>
    <w:rsid w:val="002A7E19"/>
    <w:rsid w:val="002B01F0"/>
    <w:rsid w:val="002D4ABB"/>
    <w:rsid w:val="002D6FEB"/>
    <w:rsid w:val="002D7446"/>
    <w:rsid w:val="002E4D98"/>
    <w:rsid w:val="002E50EE"/>
    <w:rsid w:val="002E66EC"/>
    <w:rsid w:val="002E6DF5"/>
    <w:rsid w:val="002F2863"/>
    <w:rsid w:val="002F62D6"/>
    <w:rsid w:val="002F7309"/>
    <w:rsid w:val="003006D5"/>
    <w:rsid w:val="0030434F"/>
    <w:rsid w:val="003053B6"/>
    <w:rsid w:val="003127D3"/>
    <w:rsid w:val="00314E59"/>
    <w:rsid w:val="003169FF"/>
    <w:rsid w:val="00321B7D"/>
    <w:rsid w:val="003236BE"/>
    <w:rsid w:val="00330C62"/>
    <w:rsid w:val="0033215F"/>
    <w:rsid w:val="00332B71"/>
    <w:rsid w:val="00333C89"/>
    <w:rsid w:val="0034768C"/>
    <w:rsid w:val="00352664"/>
    <w:rsid w:val="00355C7B"/>
    <w:rsid w:val="003560D9"/>
    <w:rsid w:val="00357264"/>
    <w:rsid w:val="003574D4"/>
    <w:rsid w:val="003574D7"/>
    <w:rsid w:val="003726E5"/>
    <w:rsid w:val="003739DE"/>
    <w:rsid w:val="00374325"/>
    <w:rsid w:val="00381058"/>
    <w:rsid w:val="003876E0"/>
    <w:rsid w:val="00391067"/>
    <w:rsid w:val="00392938"/>
    <w:rsid w:val="003944DA"/>
    <w:rsid w:val="00394EEE"/>
    <w:rsid w:val="003A2740"/>
    <w:rsid w:val="003A5A94"/>
    <w:rsid w:val="003C3E85"/>
    <w:rsid w:val="003D53D0"/>
    <w:rsid w:val="003D70CD"/>
    <w:rsid w:val="003E0E72"/>
    <w:rsid w:val="003E15AF"/>
    <w:rsid w:val="003E2234"/>
    <w:rsid w:val="003E3480"/>
    <w:rsid w:val="003F0338"/>
    <w:rsid w:val="003F3193"/>
    <w:rsid w:val="003F42E3"/>
    <w:rsid w:val="003F59E1"/>
    <w:rsid w:val="003F5DC6"/>
    <w:rsid w:val="003F617E"/>
    <w:rsid w:val="003F7A8E"/>
    <w:rsid w:val="00402ED9"/>
    <w:rsid w:val="004062B4"/>
    <w:rsid w:val="00406D5B"/>
    <w:rsid w:val="00413A3A"/>
    <w:rsid w:val="00415511"/>
    <w:rsid w:val="004155BF"/>
    <w:rsid w:val="004234AA"/>
    <w:rsid w:val="00431006"/>
    <w:rsid w:val="004318AD"/>
    <w:rsid w:val="0043568D"/>
    <w:rsid w:val="004379F5"/>
    <w:rsid w:val="004506D0"/>
    <w:rsid w:val="00450AEE"/>
    <w:rsid w:val="0045182E"/>
    <w:rsid w:val="0045241B"/>
    <w:rsid w:val="00452D52"/>
    <w:rsid w:val="004552FC"/>
    <w:rsid w:val="00456D38"/>
    <w:rsid w:val="004573AF"/>
    <w:rsid w:val="00462025"/>
    <w:rsid w:val="004675F3"/>
    <w:rsid w:val="0047463D"/>
    <w:rsid w:val="00475E70"/>
    <w:rsid w:val="004777DA"/>
    <w:rsid w:val="00477FD4"/>
    <w:rsid w:val="00483AFE"/>
    <w:rsid w:val="0048732A"/>
    <w:rsid w:val="00495D28"/>
    <w:rsid w:val="004A1CE4"/>
    <w:rsid w:val="004A728A"/>
    <w:rsid w:val="004B0C1E"/>
    <w:rsid w:val="004B0D08"/>
    <w:rsid w:val="004B1C2C"/>
    <w:rsid w:val="004B4212"/>
    <w:rsid w:val="004C3D84"/>
    <w:rsid w:val="004C4C23"/>
    <w:rsid w:val="004C56F3"/>
    <w:rsid w:val="004C66B9"/>
    <w:rsid w:val="004D4983"/>
    <w:rsid w:val="004F1C02"/>
    <w:rsid w:val="004F1CE1"/>
    <w:rsid w:val="004F674D"/>
    <w:rsid w:val="00500139"/>
    <w:rsid w:val="00510540"/>
    <w:rsid w:val="00511447"/>
    <w:rsid w:val="0051574C"/>
    <w:rsid w:val="00515B6A"/>
    <w:rsid w:val="00515CC4"/>
    <w:rsid w:val="00533E25"/>
    <w:rsid w:val="00534E4C"/>
    <w:rsid w:val="0053514B"/>
    <w:rsid w:val="00541C2B"/>
    <w:rsid w:val="00552B54"/>
    <w:rsid w:val="00553FF4"/>
    <w:rsid w:val="00561164"/>
    <w:rsid w:val="0056166E"/>
    <w:rsid w:val="00563C58"/>
    <w:rsid w:val="00567A9D"/>
    <w:rsid w:val="00571BAF"/>
    <w:rsid w:val="00571D3D"/>
    <w:rsid w:val="0057779C"/>
    <w:rsid w:val="00580A6A"/>
    <w:rsid w:val="00583CDA"/>
    <w:rsid w:val="00584BDF"/>
    <w:rsid w:val="0058780E"/>
    <w:rsid w:val="00587831"/>
    <w:rsid w:val="0059540E"/>
    <w:rsid w:val="00595F35"/>
    <w:rsid w:val="005A212A"/>
    <w:rsid w:val="005A3A34"/>
    <w:rsid w:val="005A70E6"/>
    <w:rsid w:val="005B0207"/>
    <w:rsid w:val="005C252F"/>
    <w:rsid w:val="005C459E"/>
    <w:rsid w:val="005C5D54"/>
    <w:rsid w:val="005D4764"/>
    <w:rsid w:val="005D49AA"/>
    <w:rsid w:val="005D71AB"/>
    <w:rsid w:val="005E55FC"/>
    <w:rsid w:val="005E69C8"/>
    <w:rsid w:val="005E6E76"/>
    <w:rsid w:val="005E7146"/>
    <w:rsid w:val="005E78B4"/>
    <w:rsid w:val="005F2029"/>
    <w:rsid w:val="005F26DC"/>
    <w:rsid w:val="005F4265"/>
    <w:rsid w:val="005F4B4C"/>
    <w:rsid w:val="005F5766"/>
    <w:rsid w:val="005F7DE5"/>
    <w:rsid w:val="00602685"/>
    <w:rsid w:val="006062C7"/>
    <w:rsid w:val="00610C9E"/>
    <w:rsid w:val="0061140E"/>
    <w:rsid w:val="00613D55"/>
    <w:rsid w:val="006162EE"/>
    <w:rsid w:val="0061789F"/>
    <w:rsid w:val="00623B5D"/>
    <w:rsid w:val="006246B3"/>
    <w:rsid w:val="00630EBC"/>
    <w:rsid w:val="00634784"/>
    <w:rsid w:val="00635AAD"/>
    <w:rsid w:val="00644A6B"/>
    <w:rsid w:val="00644DBD"/>
    <w:rsid w:val="00650099"/>
    <w:rsid w:val="006506DB"/>
    <w:rsid w:val="00653C99"/>
    <w:rsid w:val="0065489D"/>
    <w:rsid w:val="006562D0"/>
    <w:rsid w:val="0066142D"/>
    <w:rsid w:val="006615A5"/>
    <w:rsid w:val="006647B9"/>
    <w:rsid w:val="006668DB"/>
    <w:rsid w:val="00673396"/>
    <w:rsid w:val="006753D5"/>
    <w:rsid w:val="00680C44"/>
    <w:rsid w:val="00694ED8"/>
    <w:rsid w:val="006A0F37"/>
    <w:rsid w:val="006A11EA"/>
    <w:rsid w:val="006A20DA"/>
    <w:rsid w:val="006B2E28"/>
    <w:rsid w:val="006B511B"/>
    <w:rsid w:val="006D07FA"/>
    <w:rsid w:val="006D3500"/>
    <w:rsid w:val="006D4539"/>
    <w:rsid w:val="006D6A4F"/>
    <w:rsid w:val="006E3B7C"/>
    <w:rsid w:val="006E76A8"/>
    <w:rsid w:val="007030A0"/>
    <w:rsid w:val="007114E1"/>
    <w:rsid w:val="007116BA"/>
    <w:rsid w:val="007142C0"/>
    <w:rsid w:val="00715BE5"/>
    <w:rsid w:val="007224AD"/>
    <w:rsid w:val="0073281B"/>
    <w:rsid w:val="00734A7F"/>
    <w:rsid w:val="0074040B"/>
    <w:rsid w:val="00743B9D"/>
    <w:rsid w:val="00746FC9"/>
    <w:rsid w:val="007638DE"/>
    <w:rsid w:val="00766114"/>
    <w:rsid w:val="007679AD"/>
    <w:rsid w:val="00772B2C"/>
    <w:rsid w:val="0078527E"/>
    <w:rsid w:val="007873BE"/>
    <w:rsid w:val="00787C46"/>
    <w:rsid w:val="00797594"/>
    <w:rsid w:val="007A1200"/>
    <w:rsid w:val="007A5771"/>
    <w:rsid w:val="007A6C50"/>
    <w:rsid w:val="007B300E"/>
    <w:rsid w:val="007B31C9"/>
    <w:rsid w:val="007B3BF8"/>
    <w:rsid w:val="007B4BA5"/>
    <w:rsid w:val="007B5AED"/>
    <w:rsid w:val="007C1BA6"/>
    <w:rsid w:val="007C4E91"/>
    <w:rsid w:val="007C7B9F"/>
    <w:rsid w:val="007C7BA2"/>
    <w:rsid w:val="007D1B6D"/>
    <w:rsid w:val="007D2590"/>
    <w:rsid w:val="00806504"/>
    <w:rsid w:val="0081580C"/>
    <w:rsid w:val="00815B87"/>
    <w:rsid w:val="00815F33"/>
    <w:rsid w:val="00823166"/>
    <w:rsid w:val="00824C35"/>
    <w:rsid w:val="008306D8"/>
    <w:rsid w:val="00833DB6"/>
    <w:rsid w:val="008348D3"/>
    <w:rsid w:val="00835C68"/>
    <w:rsid w:val="008379FF"/>
    <w:rsid w:val="00841457"/>
    <w:rsid w:val="008455C0"/>
    <w:rsid w:val="0085003A"/>
    <w:rsid w:val="008552C5"/>
    <w:rsid w:val="00860FD4"/>
    <w:rsid w:val="008626AE"/>
    <w:rsid w:val="008640EE"/>
    <w:rsid w:val="00867222"/>
    <w:rsid w:val="008673D0"/>
    <w:rsid w:val="00870823"/>
    <w:rsid w:val="008709C9"/>
    <w:rsid w:val="00871728"/>
    <w:rsid w:val="008741BB"/>
    <w:rsid w:val="008756AC"/>
    <w:rsid w:val="00876AD0"/>
    <w:rsid w:val="00877D08"/>
    <w:rsid w:val="00880B67"/>
    <w:rsid w:val="0088527A"/>
    <w:rsid w:val="00891659"/>
    <w:rsid w:val="00893486"/>
    <w:rsid w:val="0089722A"/>
    <w:rsid w:val="008A0864"/>
    <w:rsid w:val="008A57C6"/>
    <w:rsid w:val="008B4187"/>
    <w:rsid w:val="008B4C15"/>
    <w:rsid w:val="008B51FD"/>
    <w:rsid w:val="008B5F2A"/>
    <w:rsid w:val="008B5FAF"/>
    <w:rsid w:val="008C244C"/>
    <w:rsid w:val="008D04BA"/>
    <w:rsid w:val="008E0258"/>
    <w:rsid w:val="008E1D6D"/>
    <w:rsid w:val="008E237C"/>
    <w:rsid w:val="008E382C"/>
    <w:rsid w:val="008E4A2F"/>
    <w:rsid w:val="008F1674"/>
    <w:rsid w:val="008F4690"/>
    <w:rsid w:val="008F4FA2"/>
    <w:rsid w:val="008F73E9"/>
    <w:rsid w:val="009029CE"/>
    <w:rsid w:val="00911C15"/>
    <w:rsid w:val="00912179"/>
    <w:rsid w:val="0092494C"/>
    <w:rsid w:val="00927DF8"/>
    <w:rsid w:val="0093176A"/>
    <w:rsid w:val="00932C9F"/>
    <w:rsid w:val="0094130B"/>
    <w:rsid w:val="009509FB"/>
    <w:rsid w:val="00950CB9"/>
    <w:rsid w:val="00955E6B"/>
    <w:rsid w:val="00966FC8"/>
    <w:rsid w:val="00972B68"/>
    <w:rsid w:val="00980D69"/>
    <w:rsid w:val="009860D0"/>
    <w:rsid w:val="009874CD"/>
    <w:rsid w:val="00994AE7"/>
    <w:rsid w:val="009B5205"/>
    <w:rsid w:val="009B5BFB"/>
    <w:rsid w:val="009C652B"/>
    <w:rsid w:val="009C7558"/>
    <w:rsid w:val="009D01B4"/>
    <w:rsid w:val="009D101C"/>
    <w:rsid w:val="009D16C2"/>
    <w:rsid w:val="009D2338"/>
    <w:rsid w:val="009D7024"/>
    <w:rsid w:val="009E05D4"/>
    <w:rsid w:val="009F0F6C"/>
    <w:rsid w:val="009F203B"/>
    <w:rsid w:val="009F623B"/>
    <w:rsid w:val="00A00AC7"/>
    <w:rsid w:val="00A01897"/>
    <w:rsid w:val="00A02AE2"/>
    <w:rsid w:val="00A06D77"/>
    <w:rsid w:val="00A114CA"/>
    <w:rsid w:val="00A11BE4"/>
    <w:rsid w:val="00A12AD7"/>
    <w:rsid w:val="00A13CBE"/>
    <w:rsid w:val="00A20379"/>
    <w:rsid w:val="00A20421"/>
    <w:rsid w:val="00A20D66"/>
    <w:rsid w:val="00A25E00"/>
    <w:rsid w:val="00A33B0A"/>
    <w:rsid w:val="00A34C33"/>
    <w:rsid w:val="00A45106"/>
    <w:rsid w:val="00A464FD"/>
    <w:rsid w:val="00A636C6"/>
    <w:rsid w:val="00A64BBF"/>
    <w:rsid w:val="00A650EB"/>
    <w:rsid w:val="00A67A3C"/>
    <w:rsid w:val="00A754EB"/>
    <w:rsid w:val="00A758FD"/>
    <w:rsid w:val="00A75A6D"/>
    <w:rsid w:val="00A81DBC"/>
    <w:rsid w:val="00A82C45"/>
    <w:rsid w:val="00A867F5"/>
    <w:rsid w:val="00A96931"/>
    <w:rsid w:val="00AA32C6"/>
    <w:rsid w:val="00AA55D9"/>
    <w:rsid w:val="00AB00DA"/>
    <w:rsid w:val="00AB0116"/>
    <w:rsid w:val="00AB700A"/>
    <w:rsid w:val="00AC44FF"/>
    <w:rsid w:val="00AD0377"/>
    <w:rsid w:val="00AD306F"/>
    <w:rsid w:val="00AE1972"/>
    <w:rsid w:val="00AE4CA8"/>
    <w:rsid w:val="00AE6618"/>
    <w:rsid w:val="00AE7E9A"/>
    <w:rsid w:val="00AF0D58"/>
    <w:rsid w:val="00AF6310"/>
    <w:rsid w:val="00B01F56"/>
    <w:rsid w:val="00B05D4A"/>
    <w:rsid w:val="00B15B48"/>
    <w:rsid w:val="00B17357"/>
    <w:rsid w:val="00B17992"/>
    <w:rsid w:val="00B17AE8"/>
    <w:rsid w:val="00B236CA"/>
    <w:rsid w:val="00B25609"/>
    <w:rsid w:val="00B25BF9"/>
    <w:rsid w:val="00B2698B"/>
    <w:rsid w:val="00B35718"/>
    <w:rsid w:val="00B37855"/>
    <w:rsid w:val="00B40437"/>
    <w:rsid w:val="00B460C0"/>
    <w:rsid w:val="00B473E3"/>
    <w:rsid w:val="00B5595D"/>
    <w:rsid w:val="00B60151"/>
    <w:rsid w:val="00B6491C"/>
    <w:rsid w:val="00B64FA3"/>
    <w:rsid w:val="00B66684"/>
    <w:rsid w:val="00B75809"/>
    <w:rsid w:val="00B7687C"/>
    <w:rsid w:val="00B87045"/>
    <w:rsid w:val="00B87264"/>
    <w:rsid w:val="00B904A0"/>
    <w:rsid w:val="00B94409"/>
    <w:rsid w:val="00B95B0B"/>
    <w:rsid w:val="00BA11CA"/>
    <w:rsid w:val="00BA1B2B"/>
    <w:rsid w:val="00BA2DC4"/>
    <w:rsid w:val="00BA55AF"/>
    <w:rsid w:val="00BA7B4C"/>
    <w:rsid w:val="00BB2F90"/>
    <w:rsid w:val="00BB673C"/>
    <w:rsid w:val="00BD2822"/>
    <w:rsid w:val="00BD5BED"/>
    <w:rsid w:val="00BD71AB"/>
    <w:rsid w:val="00BD7418"/>
    <w:rsid w:val="00BD7A22"/>
    <w:rsid w:val="00BE3E3E"/>
    <w:rsid w:val="00BE5FCF"/>
    <w:rsid w:val="00BE7300"/>
    <w:rsid w:val="00BF2E3A"/>
    <w:rsid w:val="00BF76A7"/>
    <w:rsid w:val="00C04D47"/>
    <w:rsid w:val="00C06348"/>
    <w:rsid w:val="00C2087F"/>
    <w:rsid w:val="00C21370"/>
    <w:rsid w:val="00C21E57"/>
    <w:rsid w:val="00C22845"/>
    <w:rsid w:val="00C24DE1"/>
    <w:rsid w:val="00C335D5"/>
    <w:rsid w:val="00C3697E"/>
    <w:rsid w:val="00C5404C"/>
    <w:rsid w:val="00C556F3"/>
    <w:rsid w:val="00C5630A"/>
    <w:rsid w:val="00C60165"/>
    <w:rsid w:val="00C66708"/>
    <w:rsid w:val="00C72167"/>
    <w:rsid w:val="00C7713C"/>
    <w:rsid w:val="00C8026E"/>
    <w:rsid w:val="00C8341A"/>
    <w:rsid w:val="00C853C7"/>
    <w:rsid w:val="00C85AF4"/>
    <w:rsid w:val="00C87A44"/>
    <w:rsid w:val="00C90800"/>
    <w:rsid w:val="00C910AE"/>
    <w:rsid w:val="00C93644"/>
    <w:rsid w:val="00C93EBC"/>
    <w:rsid w:val="00CA0BB0"/>
    <w:rsid w:val="00CA1FF8"/>
    <w:rsid w:val="00CA3FB6"/>
    <w:rsid w:val="00CA7E33"/>
    <w:rsid w:val="00CB0012"/>
    <w:rsid w:val="00CB12FE"/>
    <w:rsid w:val="00CB22BB"/>
    <w:rsid w:val="00CB3014"/>
    <w:rsid w:val="00CC5AEC"/>
    <w:rsid w:val="00CC624B"/>
    <w:rsid w:val="00CD14E9"/>
    <w:rsid w:val="00CE3DDD"/>
    <w:rsid w:val="00CF0188"/>
    <w:rsid w:val="00CF2583"/>
    <w:rsid w:val="00CF2C91"/>
    <w:rsid w:val="00CF349B"/>
    <w:rsid w:val="00CF3A20"/>
    <w:rsid w:val="00CF3FA2"/>
    <w:rsid w:val="00CF59E9"/>
    <w:rsid w:val="00CF6E65"/>
    <w:rsid w:val="00D00232"/>
    <w:rsid w:val="00D01F3C"/>
    <w:rsid w:val="00D044A3"/>
    <w:rsid w:val="00D11219"/>
    <w:rsid w:val="00D121CA"/>
    <w:rsid w:val="00D12C62"/>
    <w:rsid w:val="00D13D0B"/>
    <w:rsid w:val="00D14DBA"/>
    <w:rsid w:val="00D16017"/>
    <w:rsid w:val="00D1647D"/>
    <w:rsid w:val="00D22737"/>
    <w:rsid w:val="00D25636"/>
    <w:rsid w:val="00D30756"/>
    <w:rsid w:val="00D313D1"/>
    <w:rsid w:val="00D3239B"/>
    <w:rsid w:val="00D40720"/>
    <w:rsid w:val="00D43555"/>
    <w:rsid w:val="00D54BEC"/>
    <w:rsid w:val="00D60FD2"/>
    <w:rsid w:val="00D61A78"/>
    <w:rsid w:val="00D75B8D"/>
    <w:rsid w:val="00D816A0"/>
    <w:rsid w:val="00D81F0D"/>
    <w:rsid w:val="00D83C5C"/>
    <w:rsid w:val="00D96719"/>
    <w:rsid w:val="00D970A3"/>
    <w:rsid w:val="00DA1324"/>
    <w:rsid w:val="00DA7E4C"/>
    <w:rsid w:val="00DB0444"/>
    <w:rsid w:val="00DB0520"/>
    <w:rsid w:val="00DB1B76"/>
    <w:rsid w:val="00DB2D65"/>
    <w:rsid w:val="00DB40E3"/>
    <w:rsid w:val="00DB6570"/>
    <w:rsid w:val="00DB6DCB"/>
    <w:rsid w:val="00DC0359"/>
    <w:rsid w:val="00DC19D2"/>
    <w:rsid w:val="00DC6644"/>
    <w:rsid w:val="00DD28F9"/>
    <w:rsid w:val="00DD5FA4"/>
    <w:rsid w:val="00DD6B38"/>
    <w:rsid w:val="00DE254E"/>
    <w:rsid w:val="00DE2DD9"/>
    <w:rsid w:val="00DE2EA7"/>
    <w:rsid w:val="00DE47F9"/>
    <w:rsid w:val="00DE6152"/>
    <w:rsid w:val="00DF6F0F"/>
    <w:rsid w:val="00DF795D"/>
    <w:rsid w:val="00DF7B13"/>
    <w:rsid w:val="00E06400"/>
    <w:rsid w:val="00E13B95"/>
    <w:rsid w:val="00E21102"/>
    <w:rsid w:val="00E22E5C"/>
    <w:rsid w:val="00E23695"/>
    <w:rsid w:val="00E238D2"/>
    <w:rsid w:val="00E412E8"/>
    <w:rsid w:val="00E417B2"/>
    <w:rsid w:val="00E44362"/>
    <w:rsid w:val="00E458E1"/>
    <w:rsid w:val="00E4750A"/>
    <w:rsid w:val="00E51621"/>
    <w:rsid w:val="00E54203"/>
    <w:rsid w:val="00E61882"/>
    <w:rsid w:val="00E6213E"/>
    <w:rsid w:val="00E663D8"/>
    <w:rsid w:val="00E718A3"/>
    <w:rsid w:val="00E7317F"/>
    <w:rsid w:val="00E73BAE"/>
    <w:rsid w:val="00E90550"/>
    <w:rsid w:val="00E9311A"/>
    <w:rsid w:val="00E947FE"/>
    <w:rsid w:val="00E97726"/>
    <w:rsid w:val="00EA45AA"/>
    <w:rsid w:val="00EA4BA6"/>
    <w:rsid w:val="00EA7443"/>
    <w:rsid w:val="00EA7C8A"/>
    <w:rsid w:val="00EA7EA8"/>
    <w:rsid w:val="00EB0A4A"/>
    <w:rsid w:val="00EB195E"/>
    <w:rsid w:val="00EB2130"/>
    <w:rsid w:val="00EC158B"/>
    <w:rsid w:val="00ED3C24"/>
    <w:rsid w:val="00EE1001"/>
    <w:rsid w:val="00EE2024"/>
    <w:rsid w:val="00EE3BB3"/>
    <w:rsid w:val="00EE6A08"/>
    <w:rsid w:val="00EF4272"/>
    <w:rsid w:val="00EF628F"/>
    <w:rsid w:val="00EF707F"/>
    <w:rsid w:val="00F05875"/>
    <w:rsid w:val="00F07D7E"/>
    <w:rsid w:val="00F1243A"/>
    <w:rsid w:val="00F21021"/>
    <w:rsid w:val="00F22714"/>
    <w:rsid w:val="00F26635"/>
    <w:rsid w:val="00F30E45"/>
    <w:rsid w:val="00F32346"/>
    <w:rsid w:val="00F355FC"/>
    <w:rsid w:val="00F36927"/>
    <w:rsid w:val="00F37209"/>
    <w:rsid w:val="00F408DE"/>
    <w:rsid w:val="00F409FE"/>
    <w:rsid w:val="00F442F2"/>
    <w:rsid w:val="00F4628D"/>
    <w:rsid w:val="00F4781F"/>
    <w:rsid w:val="00F54E7D"/>
    <w:rsid w:val="00F55860"/>
    <w:rsid w:val="00F55AE9"/>
    <w:rsid w:val="00F57BE0"/>
    <w:rsid w:val="00F6077B"/>
    <w:rsid w:val="00F60BC5"/>
    <w:rsid w:val="00F63463"/>
    <w:rsid w:val="00F664AD"/>
    <w:rsid w:val="00F73CD4"/>
    <w:rsid w:val="00F7632E"/>
    <w:rsid w:val="00F8302A"/>
    <w:rsid w:val="00F87542"/>
    <w:rsid w:val="00F918D9"/>
    <w:rsid w:val="00F9267C"/>
    <w:rsid w:val="00F973A2"/>
    <w:rsid w:val="00FA17A3"/>
    <w:rsid w:val="00FA1F7C"/>
    <w:rsid w:val="00FA3A28"/>
    <w:rsid w:val="00FA5DE2"/>
    <w:rsid w:val="00FB01F2"/>
    <w:rsid w:val="00FB07CE"/>
    <w:rsid w:val="00FB1A74"/>
    <w:rsid w:val="00FB6312"/>
    <w:rsid w:val="00FC3DB9"/>
    <w:rsid w:val="00FD6416"/>
    <w:rsid w:val="00FE0004"/>
    <w:rsid w:val="00FE0296"/>
    <w:rsid w:val="00FE492E"/>
    <w:rsid w:val="00FE5F1B"/>
    <w:rsid w:val="00FE6102"/>
    <w:rsid w:val="00FE68E2"/>
    <w:rsid w:val="00FF0E2D"/>
    <w:rsid w:val="00FF358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9"/>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0" w:unhideWhenUsed="0"/>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03"/>
    <w:pPr>
      <w:autoSpaceDE w:val="0"/>
      <w:autoSpaceDN w:val="0"/>
      <w:adjustRightInd w:val="0"/>
      <w:spacing w:after="120" w:line="240" w:lineRule="auto"/>
      <w:ind w:right="181"/>
      <w:jc w:val="both"/>
    </w:pPr>
    <w:rPr>
      <w:rFonts w:ascii="Times New Roman" w:hAnsi="Times New Roman" w:cs="Arial"/>
      <w:color w:val="000000"/>
      <w:sz w:val="20"/>
      <w:szCs w:val="20"/>
    </w:rPr>
  </w:style>
  <w:style w:type="paragraph" w:styleId="Ttulo1">
    <w:name w:val="heading 1"/>
    <w:basedOn w:val="Default"/>
    <w:next w:val="Normal"/>
    <w:link w:val="Ttulo1Char"/>
    <w:qFormat/>
    <w:rsid w:val="00241018"/>
    <w:pPr>
      <w:numPr>
        <w:numId w:val="1"/>
      </w:numPr>
      <w:spacing w:before="240" w:after="120" w:line="276" w:lineRule="auto"/>
      <w:ind w:left="284" w:right="-1" w:hanging="284"/>
      <w:jc w:val="both"/>
      <w:outlineLvl w:val="0"/>
    </w:pPr>
    <w:rPr>
      <w:b/>
      <w:bCs/>
      <w:color w:val="000000" w:themeColor="text1"/>
      <w:sz w:val="20"/>
      <w:szCs w:val="20"/>
    </w:rPr>
  </w:style>
  <w:style w:type="paragraph" w:styleId="Ttulo2">
    <w:name w:val="heading 2"/>
    <w:basedOn w:val="Normal"/>
    <w:next w:val="Normal"/>
    <w:link w:val="Ttulo2Char"/>
    <w:unhideWhenUsed/>
    <w:qFormat/>
    <w:rsid w:val="00F973A2"/>
    <w:pPr>
      <w:numPr>
        <w:ilvl w:val="1"/>
        <w:numId w:val="1"/>
      </w:numPr>
      <w:spacing w:before="240"/>
      <w:ind w:left="426" w:hanging="426"/>
      <w:outlineLvl w:val="1"/>
    </w:pPr>
    <w:rPr>
      <w:b/>
    </w:rPr>
  </w:style>
  <w:style w:type="paragraph" w:styleId="Ttulo3">
    <w:name w:val="heading 3"/>
    <w:basedOn w:val="Ttulo2"/>
    <w:next w:val="Normal"/>
    <w:link w:val="Ttulo3Char"/>
    <w:autoRedefine/>
    <w:unhideWhenUsed/>
    <w:qFormat/>
    <w:rsid w:val="00D30756"/>
    <w:pPr>
      <w:numPr>
        <w:ilvl w:val="2"/>
      </w:numPr>
      <w:spacing w:line="276" w:lineRule="auto"/>
      <w:ind w:left="567" w:hanging="567"/>
      <w:outlineLvl w:val="2"/>
    </w:pPr>
    <w:rPr>
      <w:bCs/>
      <w:color w:val="000000" w:themeColor="text1"/>
      <w:lang w:eastAsia="pt-BR"/>
    </w:rPr>
  </w:style>
  <w:style w:type="paragraph" w:styleId="Ttulo4">
    <w:name w:val="heading 4"/>
    <w:basedOn w:val="Default"/>
    <w:next w:val="Normal"/>
    <w:link w:val="Ttulo4Char"/>
    <w:unhideWhenUsed/>
    <w:qFormat/>
    <w:rsid w:val="00D54BEC"/>
    <w:pPr>
      <w:numPr>
        <w:ilvl w:val="3"/>
        <w:numId w:val="1"/>
      </w:numPr>
      <w:tabs>
        <w:tab w:val="left" w:pos="851"/>
      </w:tabs>
      <w:spacing w:before="240" w:after="120" w:line="276" w:lineRule="auto"/>
      <w:ind w:left="0" w:right="181" w:firstLine="0"/>
      <w:jc w:val="both"/>
      <w:outlineLvl w:val="3"/>
    </w:pPr>
    <w:rPr>
      <w:rFonts w:ascii="Arial" w:hAnsi="Arial" w:cs="Arial"/>
      <w:b/>
      <w:bCs/>
      <w:sz w:val="20"/>
      <w:szCs w:val="20"/>
    </w:rPr>
  </w:style>
  <w:style w:type="paragraph" w:styleId="Ttulo5">
    <w:name w:val="heading 5"/>
    <w:basedOn w:val="Ttulo"/>
    <w:next w:val="Normal"/>
    <w:link w:val="Ttulo5Char"/>
    <w:unhideWhenUsed/>
    <w:rsid w:val="00EE1001"/>
    <w:pPr>
      <w:outlineLvl w:val="4"/>
    </w:pPr>
  </w:style>
  <w:style w:type="paragraph" w:styleId="Ttulo6">
    <w:name w:val="heading 6"/>
    <w:basedOn w:val="Ttulo4"/>
    <w:next w:val="Normal"/>
    <w:link w:val="Ttulo6Char"/>
    <w:unhideWhenUsed/>
    <w:rsid w:val="00EE1001"/>
    <w:pPr>
      <w:outlineLvl w:val="5"/>
    </w:pPr>
    <w:rPr>
      <w:b w:val="0"/>
    </w:rPr>
  </w:style>
  <w:style w:type="paragraph" w:styleId="Ttulo7">
    <w:name w:val="heading 7"/>
    <w:basedOn w:val="Normal"/>
    <w:next w:val="Normal"/>
    <w:link w:val="Ttulo7Char"/>
    <w:uiPriority w:val="9"/>
    <w:semiHidden/>
    <w:unhideWhenUsed/>
    <w:rsid w:val="00571D3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71D3D"/>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nhideWhenUsed/>
    <w:qFormat/>
    <w:rsid w:val="00571D3D"/>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4130B"/>
    <w:rPr>
      <w:rFonts w:ascii="Tahoma" w:hAnsi="Tahoma" w:cs="Tahoma"/>
      <w:sz w:val="16"/>
      <w:szCs w:val="16"/>
    </w:rPr>
  </w:style>
  <w:style w:type="character" w:customStyle="1" w:styleId="TextodebaloChar">
    <w:name w:val="Texto de balão Char"/>
    <w:basedOn w:val="Fontepargpadro"/>
    <w:link w:val="Textodebalo"/>
    <w:uiPriority w:val="99"/>
    <w:semiHidden/>
    <w:rsid w:val="0094130B"/>
    <w:rPr>
      <w:rFonts w:ascii="Tahoma" w:hAnsi="Tahoma" w:cs="Tahoma"/>
      <w:sz w:val="16"/>
      <w:szCs w:val="16"/>
    </w:rPr>
  </w:style>
  <w:style w:type="paragraph" w:customStyle="1" w:styleId="Default">
    <w:name w:val="Default"/>
    <w:rsid w:val="0094130B"/>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59"/>
    <w:rsid w:val="0094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4130B"/>
    <w:pPr>
      <w:tabs>
        <w:tab w:val="center" w:pos="4252"/>
        <w:tab w:val="right" w:pos="8504"/>
      </w:tabs>
    </w:pPr>
  </w:style>
  <w:style w:type="character" w:customStyle="1" w:styleId="CabealhoChar">
    <w:name w:val="Cabeçalho Char"/>
    <w:basedOn w:val="Fontepargpadro"/>
    <w:link w:val="Cabealho"/>
    <w:uiPriority w:val="99"/>
    <w:rsid w:val="0094130B"/>
  </w:style>
  <w:style w:type="paragraph" w:styleId="Rodap">
    <w:name w:val="footer"/>
    <w:basedOn w:val="Normal"/>
    <w:link w:val="RodapChar"/>
    <w:uiPriority w:val="99"/>
    <w:unhideWhenUsed/>
    <w:rsid w:val="0094130B"/>
    <w:pPr>
      <w:tabs>
        <w:tab w:val="center" w:pos="4252"/>
        <w:tab w:val="right" w:pos="8504"/>
      </w:tabs>
    </w:pPr>
  </w:style>
  <w:style w:type="character" w:customStyle="1" w:styleId="RodapChar">
    <w:name w:val="Rodapé Char"/>
    <w:basedOn w:val="Fontepargpadro"/>
    <w:link w:val="Rodap"/>
    <w:uiPriority w:val="99"/>
    <w:rsid w:val="0094130B"/>
  </w:style>
  <w:style w:type="paragraph" w:customStyle="1" w:styleId="ABNT">
    <w:name w:val="ABNT"/>
    <w:basedOn w:val="Default"/>
    <w:next w:val="Default"/>
    <w:uiPriority w:val="99"/>
    <w:rsid w:val="00C72167"/>
    <w:rPr>
      <w:rFonts w:ascii="Arial Black" w:hAnsi="Arial Black" w:cstheme="minorBidi"/>
      <w:color w:val="auto"/>
    </w:rPr>
  </w:style>
  <w:style w:type="paragraph" w:styleId="Legenda">
    <w:name w:val="caption"/>
    <w:basedOn w:val="Default"/>
    <w:next w:val="Default"/>
    <w:uiPriority w:val="99"/>
    <w:qFormat/>
    <w:rsid w:val="00C72167"/>
    <w:rPr>
      <w:color w:val="auto"/>
    </w:rPr>
  </w:style>
  <w:style w:type="paragraph" w:styleId="Recuodecorpodetexto">
    <w:name w:val="Body Text Indent"/>
    <w:basedOn w:val="Normal"/>
    <w:link w:val="RecuodecorpodetextoChar"/>
    <w:unhideWhenUsed/>
    <w:rsid w:val="00C72167"/>
    <w:pPr>
      <w:ind w:left="283"/>
    </w:pPr>
  </w:style>
  <w:style w:type="character" w:customStyle="1" w:styleId="RecuodecorpodetextoChar">
    <w:name w:val="Recuo de corpo de texto Char"/>
    <w:basedOn w:val="Fontepargpadro"/>
    <w:link w:val="Recuodecorpodetexto"/>
    <w:rsid w:val="00C72167"/>
  </w:style>
  <w:style w:type="paragraph" w:styleId="Corpodetexto">
    <w:name w:val="Body Text"/>
    <w:basedOn w:val="Normal"/>
    <w:link w:val="CorpodetextoChar"/>
    <w:uiPriority w:val="1"/>
    <w:unhideWhenUsed/>
    <w:qFormat/>
    <w:rsid w:val="00C60165"/>
  </w:style>
  <w:style w:type="character" w:customStyle="1" w:styleId="CorpodetextoChar">
    <w:name w:val="Corpo de texto Char"/>
    <w:basedOn w:val="Fontepargpadro"/>
    <w:link w:val="Corpodetexto"/>
    <w:uiPriority w:val="1"/>
    <w:rsid w:val="00C60165"/>
  </w:style>
  <w:style w:type="character" w:styleId="Hyperlink">
    <w:name w:val="Hyperlink"/>
    <w:basedOn w:val="Fontepargpadro"/>
    <w:semiHidden/>
    <w:unhideWhenUsed/>
    <w:rsid w:val="00C60165"/>
    <w:rPr>
      <w:color w:val="0000FF"/>
      <w:u w:val="single"/>
    </w:rPr>
  </w:style>
  <w:style w:type="paragraph" w:styleId="PargrafodaLista">
    <w:name w:val="List Paragraph"/>
    <w:basedOn w:val="Normal"/>
    <w:uiPriority w:val="34"/>
    <w:qFormat/>
    <w:rsid w:val="006D3500"/>
    <w:pPr>
      <w:ind w:left="720"/>
      <w:contextualSpacing/>
    </w:pPr>
  </w:style>
  <w:style w:type="character" w:customStyle="1" w:styleId="Ttulo1Char">
    <w:name w:val="Título 1 Char"/>
    <w:basedOn w:val="Fontepargpadro"/>
    <w:link w:val="Ttulo1"/>
    <w:rsid w:val="00241018"/>
    <w:rPr>
      <w:rFonts w:ascii="Times New Roman" w:hAnsi="Times New Roman" w:cs="Times New Roman"/>
      <w:b/>
      <w:bCs/>
      <w:color w:val="000000" w:themeColor="text1"/>
      <w:sz w:val="20"/>
      <w:szCs w:val="20"/>
    </w:rPr>
  </w:style>
  <w:style w:type="character" w:customStyle="1" w:styleId="Ttulo2Char">
    <w:name w:val="Título 2 Char"/>
    <w:basedOn w:val="Fontepargpadro"/>
    <w:link w:val="Ttulo2"/>
    <w:rsid w:val="00F973A2"/>
    <w:rPr>
      <w:rFonts w:ascii="Times New Roman" w:hAnsi="Times New Roman" w:cs="Arial"/>
      <w:b/>
      <w:color w:val="000000"/>
      <w:sz w:val="20"/>
      <w:szCs w:val="20"/>
    </w:rPr>
  </w:style>
  <w:style w:type="character" w:customStyle="1" w:styleId="Ttulo3Char">
    <w:name w:val="Título 3 Char"/>
    <w:basedOn w:val="Fontepargpadro"/>
    <w:link w:val="Ttulo3"/>
    <w:rsid w:val="00D30756"/>
    <w:rPr>
      <w:rFonts w:ascii="Times New Roman" w:hAnsi="Times New Roman" w:cs="Arial"/>
      <w:b/>
      <w:bCs/>
      <w:color w:val="000000" w:themeColor="text1"/>
      <w:sz w:val="20"/>
      <w:szCs w:val="20"/>
      <w:lang w:eastAsia="pt-BR"/>
    </w:rPr>
  </w:style>
  <w:style w:type="character" w:customStyle="1" w:styleId="Ttulo4Char">
    <w:name w:val="Título 4 Char"/>
    <w:basedOn w:val="Fontepargpadro"/>
    <w:link w:val="Ttulo4"/>
    <w:rsid w:val="00D54BEC"/>
    <w:rPr>
      <w:rFonts w:ascii="Arial" w:hAnsi="Arial" w:cs="Arial"/>
      <w:b/>
      <w:bCs/>
      <w:color w:val="000000"/>
      <w:sz w:val="20"/>
      <w:szCs w:val="20"/>
    </w:rPr>
  </w:style>
  <w:style w:type="character" w:customStyle="1" w:styleId="Ttulo5Char">
    <w:name w:val="Título 5 Char"/>
    <w:basedOn w:val="Fontepargpadro"/>
    <w:link w:val="Ttulo5"/>
    <w:rsid w:val="00EE1001"/>
    <w:rPr>
      <w:rFonts w:ascii="Times New Roman" w:hAnsi="Times New Roman" w:cs="Arial"/>
      <w:bCs/>
      <w:color w:val="000000" w:themeColor="text1"/>
      <w:sz w:val="20"/>
      <w:szCs w:val="20"/>
    </w:rPr>
  </w:style>
  <w:style w:type="character" w:customStyle="1" w:styleId="Ttulo6Char">
    <w:name w:val="Título 6 Char"/>
    <w:basedOn w:val="Fontepargpadro"/>
    <w:link w:val="Ttulo6"/>
    <w:rsid w:val="00EE1001"/>
    <w:rPr>
      <w:rFonts w:ascii="Arial" w:hAnsi="Arial" w:cs="Arial"/>
      <w:bCs/>
      <w:color w:val="000000"/>
      <w:sz w:val="20"/>
      <w:szCs w:val="20"/>
    </w:rPr>
  </w:style>
  <w:style w:type="character" w:customStyle="1" w:styleId="Ttulo7Char">
    <w:name w:val="Título 7 Char"/>
    <w:basedOn w:val="Fontepargpadro"/>
    <w:link w:val="Ttulo7"/>
    <w:uiPriority w:val="9"/>
    <w:semiHidden/>
    <w:rsid w:val="00571D3D"/>
    <w:rPr>
      <w:rFonts w:asciiTheme="majorHAnsi" w:eastAsiaTheme="majorEastAsia" w:hAnsiTheme="majorHAnsi" w:cstheme="majorBidi"/>
      <w:i/>
      <w:iCs/>
      <w:color w:val="404040" w:themeColor="text1" w:themeTint="BF"/>
      <w:sz w:val="20"/>
      <w:szCs w:val="20"/>
    </w:rPr>
  </w:style>
  <w:style w:type="character" w:customStyle="1" w:styleId="Ttulo8Char">
    <w:name w:val="Título 8 Char"/>
    <w:basedOn w:val="Fontepargpadro"/>
    <w:link w:val="Ttulo8"/>
    <w:uiPriority w:val="9"/>
    <w:semiHidden/>
    <w:rsid w:val="00571D3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rsid w:val="00571D3D"/>
    <w:rPr>
      <w:rFonts w:asciiTheme="majorHAnsi" w:eastAsiaTheme="majorEastAsia" w:hAnsiTheme="majorHAnsi" w:cstheme="majorBidi"/>
      <w:i/>
      <w:iCs/>
      <w:color w:val="404040" w:themeColor="text1" w:themeTint="BF"/>
      <w:sz w:val="20"/>
      <w:szCs w:val="20"/>
    </w:rPr>
  </w:style>
  <w:style w:type="paragraph" w:styleId="Subttulo">
    <w:name w:val="Subtitle"/>
    <w:basedOn w:val="Ttulo3"/>
    <w:next w:val="Normal"/>
    <w:link w:val="SubttuloChar"/>
    <w:rsid w:val="00CF3A20"/>
    <w:pPr>
      <w:tabs>
        <w:tab w:val="left" w:pos="567"/>
      </w:tabs>
      <w:ind w:left="0" w:firstLine="0"/>
    </w:pPr>
    <w:rPr>
      <w:b w:val="0"/>
    </w:rPr>
  </w:style>
  <w:style w:type="character" w:customStyle="1" w:styleId="SubttuloChar">
    <w:name w:val="Subtítulo Char"/>
    <w:basedOn w:val="Fontepargpadro"/>
    <w:link w:val="Subttulo"/>
    <w:rsid w:val="00CF3A20"/>
    <w:rPr>
      <w:rFonts w:ascii="Times New Roman" w:hAnsi="Times New Roman" w:cs="Arial"/>
      <w:bCs/>
      <w:color w:val="000000" w:themeColor="text1"/>
      <w:sz w:val="20"/>
      <w:szCs w:val="20"/>
    </w:rPr>
  </w:style>
  <w:style w:type="paragraph" w:styleId="Ttulo">
    <w:name w:val="Title"/>
    <w:basedOn w:val="Subttulo"/>
    <w:next w:val="Normal"/>
    <w:link w:val="TtuloChar"/>
    <w:qFormat/>
    <w:rsid w:val="00EE1001"/>
  </w:style>
  <w:style w:type="character" w:customStyle="1" w:styleId="TtuloChar">
    <w:name w:val="Título Char"/>
    <w:basedOn w:val="Fontepargpadro"/>
    <w:link w:val="Ttulo"/>
    <w:rsid w:val="00EE1001"/>
    <w:rPr>
      <w:rFonts w:ascii="Times New Roman" w:hAnsi="Times New Roman" w:cs="Arial"/>
      <w:bCs/>
      <w:color w:val="000000" w:themeColor="text1"/>
      <w:sz w:val="20"/>
      <w:szCs w:val="20"/>
    </w:rPr>
  </w:style>
  <w:style w:type="character" w:styleId="nfaseSutil">
    <w:name w:val="Subtle Emphasis"/>
    <w:basedOn w:val="Ttulo3Char"/>
    <w:uiPriority w:val="19"/>
    <w:rsid w:val="00452D52"/>
    <w:rPr>
      <w:rFonts w:ascii="Arial" w:hAnsi="Arial" w:cs="Arial"/>
      <w:b/>
      <w:bCs/>
      <w:color w:val="000000" w:themeColor="text1"/>
      <w:sz w:val="20"/>
      <w:szCs w:val="20"/>
      <w:lang w:eastAsia="pt-BR"/>
    </w:rPr>
  </w:style>
  <w:style w:type="paragraph" w:customStyle="1" w:styleId="Texto1">
    <w:name w:val="Texto 1"/>
    <w:basedOn w:val="Ttulo1"/>
    <w:rsid w:val="00EE1001"/>
  </w:style>
  <w:style w:type="paragraph" w:customStyle="1" w:styleId="Texto2N">
    <w:name w:val="Texto 2N"/>
    <w:basedOn w:val="Ttulo2"/>
    <w:qFormat/>
    <w:rsid w:val="009D2338"/>
    <w:pPr>
      <w:tabs>
        <w:tab w:val="left" w:pos="567"/>
      </w:tabs>
      <w:spacing w:before="0"/>
      <w:ind w:left="0" w:right="0" w:firstLine="0"/>
    </w:pPr>
    <w:rPr>
      <w:b w:val="0"/>
    </w:rPr>
  </w:style>
  <w:style w:type="paragraph" w:customStyle="1" w:styleId="Texto3N">
    <w:name w:val="Texto 3N"/>
    <w:basedOn w:val="Ttulo3"/>
    <w:qFormat/>
    <w:rsid w:val="005C459E"/>
    <w:pPr>
      <w:spacing w:before="0"/>
      <w:ind w:left="0" w:right="-1" w:firstLine="0"/>
    </w:pPr>
    <w:rPr>
      <w:rFonts w:cs="Times New Roman"/>
      <w:b w:val="0"/>
      <w:color w:val="auto"/>
    </w:rPr>
  </w:style>
  <w:style w:type="paragraph" w:customStyle="1" w:styleId="Texto4N">
    <w:name w:val="Texto 4N"/>
    <w:basedOn w:val="Ttulo4"/>
    <w:qFormat/>
    <w:rsid w:val="00A02AE2"/>
    <w:pPr>
      <w:tabs>
        <w:tab w:val="clear" w:pos="851"/>
      </w:tabs>
      <w:spacing w:before="0"/>
      <w:ind w:right="0"/>
    </w:pPr>
    <w:rPr>
      <w:rFonts w:ascii="Times New Roman" w:hAnsi="Times New Roman"/>
      <w:b w:val="0"/>
      <w:lang w:eastAsia="pt-BR"/>
    </w:rPr>
  </w:style>
  <w:style w:type="table" w:customStyle="1" w:styleId="TableNormal">
    <w:name w:val="Table Normal"/>
    <w:uiPriority w:val="2"/>
    <w:semiHidden/>
    <w:unhideWhenUsed/>
    <w:qFormat/>
    <w:rsid w:val="00A867F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Notatexto">
    <w:name w:val="1 Nota texto"/>
    <w:basedOn w:val="Normal"/>
    <w:next w:val="Corpodetexto"/>
    <w:autoRedefine/>
    <w:uiPriority w:val="3"/>
    <w:qFormat/>
    <w:rsid w:val="0034768C"/>
    <w:pPr>
      <w:widowControl w:val="0"/>
      <w:autoSpaceDE/>
      <w:autoSpaceDN/>
      <w:adjustRightInd/>
      <w:spacing w:after="0" w:line="276" w:lineRule="auto"/>
      <w:ind w:right="0"/>
    </w:pPr>
    <w:rPr>
      <w:rFonts w:ascii="Arial" w:eastAsia="Calibri" w:hAnsi="Arial"/>
      <w:i/>
      <w:color w:val="auto"/>
      <w:sz w:val="14"/>
      <w:szCs w:val="18"/>
      <w:lang w:val="pt-PT"/>
    </w:rPr>
  </w:style>
  <w:style w:type="paragraph" w:customStyle="1" w:styleId="1Nota1">
    <w:name w:val="1 Nota 1)"/>
    <w:basedOn w:val="Normal"/>
    <w:uiPriority w:val="3"/>
    <w:qFormat/>
    <w:rsid w:val="0034768C"/>
    <w:pPr>
      <w:widowControl w:val="0"/>
      <w:numPr>
        <w:numId w:val="2"/>
      </w:numPr>
      <w:autoSpaceDE/>
      <w:autoSpaceDN/>
      <w:adjustRightInd/>
      <w:spacing w:after="0"/>
      <w:ind w:right="68"/>
      <w:outlineLvl w:val="3"/>
    </w:pPr>
    <w:rPr>
      <w:rFonts w:ascii="Arial" w:eastAsia="Arial" w:hAnsi="Arial"/>
      <w:i/>
      <w:color w:val="231F20"/>
      <w:spacing w:val="-1"/>
      <w:sz w:val="14"/>
      <w:szCs w:val="18"/>
    </w:rPr>
  </w:style>
  <w:style w:type="paragraph" w:styleId="Corpodetexto2">
    <w:name w:val="Body Text 2"/>
    <w:basedOn w:val="Normal"/>
    <w:link w:val="Corpodetexto2Char"/>
    <w:rsid w:val="0034768C"/>
    <w:pPr>
      <w:autoSpaceDE/>
      <w:autoSpaceDN/>
      <w:adjustRightInd/>
      <w:spacing w:after="0"/>
      <w:ind w:right="0"/>
      <w:jc w:val="left"/>
    </w:pPr>
    <w:rPr>
      <w:rFonts w:ascii="Arial" w:eastAsia="Times New Roman" w:hAnsi="Arial" w:cs="Times New Roman"/>
      <w:color w:val="auto"/>
      <w:sz w:val="24"/>
      <w:lang w:eastAsia="pt-BR"/>
    </w:rPr>
  </w:style>
  <w:style w:type="character" w:customStyle="1" w:styleId="Corpodetexto2Char">
    <w:name w:val="Corpo de texto 2 Char"/>
    <w:basedOn w:val="Fontepargpadro"/>
    <w:link w:val="Corpodetexto2"/>
    <w:rsid w:val="0034768C"/>
    <w:rPr>
      <w:rFonts w:ascii="Arial" w:eastAsia="Times New Roman" w:hAnsi="Arial" w:cs="Times New Roman"/>
      <w:sz w:val="24"/>
      <w:szCs w:val="20"/>
      <w:lang w:eastAsia="pt-BR"/>
    </w:rPr>
  </w:style>
  <w:style w:type="paragraph" w:styleId="Recuodecorpodetexto3">
    <w:name w:val="Body Text Indent 3"/>
    <w:basedOn w:val="Normal"/>
    <w:link w:val="Recuodecorpodetexto3Char"/>
    <w:rsid w:val="0034768C"/>
    <w:pPr>
      <w:autoSpaceDE/>
      <w:autoSpaceDN/>
      <w:adjustRightInd/>
      <w:spacing w:after="0" w:line="240" w:lineRule="atLeast"/>
      <w:ind w:right="0" w:firstLine="4395"/>
      <w:jc w:val="center"/>
    </w:pPr>
    <w:rPr>
      <w:rFonts w:ascii="Arial" w:eastAsia="Times New Roman" w:hAnsi="Arial" w:cs="Times New Roman"/>
      <w:b/>
      <w:i/>
      <w:color w:val="auto"/>
      <w:sz w:val="24"/>
      <w:lang w:eastAsia="pt-BR"/>
    </w:rPr>
  </w:style>
  <w:style w:type="character" w:customStyle="1" w:styleId="Recuodecorpodetexto3Char">
    <w:name w:val="Recuo de corpo de texto 3 Char"/>
    <w:basedOn w:val="Fontepargpadro"/>
    <w:link w:val="Recuodecorpodetexto3"/>
    <w:rsid w:val="0034768C"/>
    <w:rPr>
      <w:rFonts w:ascii="Arial" w:eastAsia="Times New Roman" w:hAnsi="Arial" w:cs="Times New Roman"/>
      <w:b/>
      <w:i/>
      <w:sz w:val="24"/>
      <w:szCs w:val="20"/>
      <w:lang w:eastAsia="pt-BR"/>
    </w:rPr>
  </w:style>
  <w:style w:type="numbering" w:customStyle="1" w:styleId="Semlista1">
    <w:name w:val="Sem lista1"/>
    <w:next w:val="Semlista"/>
    <w:uiPriority w:val="99"/>
    <w:semiHidden/>
    <w:unhideWhenUsed/>
    <w:rsid w:val="00070494"/>
  </w:style>
  <w:style w:type="paragraph" w:customStyle="1" w:styleId="Normal1">
    <w:name w:val="Normal1"/>
    <w:rsid w:val="00070494"/>
    <w:pPr>
      <w:spacing w:after="120"/>
      <w:jc w:val="both"/>
    </w:pPr>
    <w:rPr>
      <w:rFonts w:ascii="Times New Roman" w:eastAsia="Times New Roman" w:hAnsi="Times New Roman" w:cs="Times New Roman"/>
      <w:sz w:val="20"/>
      <w:szCs w:val="20"/>
      <w:lang w:eastAsia="pt-BR"/>
    </w:rPr>
  </w:style>
  <w:style w:type="table" w:customStyle="1" w:styleId="TableNormal1">
    <w:name w:val="Table Normal1"/>
    <w:rsid w:val="00070494"/>
    <w:pPr>
      <w:spacing w:after="120"/>
      <w:jc w:val="both"/>
    </w:pPr>
    <w:rPr>
      <w:rFonts w:ascii="Times New Roman" w:eastAsia="Times New Roman" w:hAnsi="Times New Roman" w:cs="Times New Roman"/>
      <w:sz w:val="20"/>
      <w:szCs w:val="20"/>
      <w:lang w:eastAsia="pt-BR"/>
    </w:rPr>
    <w:tblPr>
      <w:tblCellMar>
        <w:top w:w="0" w:type="dxa"/>
        <w:left w:w="0" w:type="dxa"/>
        <w:bottom w:w="0" w:type="dxa"/>
        <w:right w:w="0" w:type="dxa"/>
      </w:tblCellMar>
    </w:tblPr>
  </w:style>
  <w:style w:type="paragraph" w:styleId="Textodenotaderodap">
    <w:name w:val="footnote text"/>
    <w:basedOn w:val="Normal"/>
    <w:link w:val="TextodenotaderodapChar"/>
    <w:uiPriority w:val="99"/>
    <w:semiHidden/>
    <w:unhideWhenUsed/>
    <w:rsid w:val="006A11EA"/>
    <w:pPr>
      <w:spacing w:after="0"/>
    </w:pPr>
  </w:style>
  <w:style w:type="character" w:customStyle="1" w:styleId="TextodenotaderodapChar">
    <w:name w:val="Texto de nota de rodapé Char"/>
    <w:basedOn w:val="Fontepargpadro"/>
    <w:link w:val="Textodenotaderodap"/>
    <w:uiPriority w:val="99"/>
    <w:semiHidden/>
    <w:rsid w:val="006A11EA"/>
    <w:rPr>
      <w:rFonts w:ascii="Times New Roman" w:hAnsi="Times New Roman" w:cs="Arial"/>
      <w:color w:val="000000"/>
      <w:sz w:val="20"/>
      <w:szCs w:val="20"/>
    </w:rPr>
  </w:style>
  <w:style w:type="character" w:styleId="Refdenotaderodap">
    <w:name w:val="footnote reference"/>
    <w:basedOn w:val="Fontepargpadro"/>
    <w:uiPriority w:val="99"/>
    <w:semiHidden/>
    <w:unhideWhenUsed/>
    <w:rsid w:val="006A11EA"/>
    <w:rPr>
      <w:vertAlign w:val="superscript"/>
    </w:rPr>
  </w:style>
  <w:style w:type="character" w:styleId="TextodoEspaoReservado">
    <w:name w:val="Placeholder Text"/>
    <w:basedOn w:val="Fontepargpadro"/>
    <w:uiPriority w:val="99"/>
    <w:semiHidden/>
    <w:rsid w:val="00E61882"/>
    <w:rPr>
      <w:color w:val="808080"/>
    </w:rPr>
  </w:style>
  <w:style w:type="numbering" w:customStyle="1" w:styleId="Estilo1">
    <w:name w:val="Estilo1"/>
    <w:uiPriority w:val="99"/>
    <w:rsid w:val="009B5205"/>
    <w:pPr>
      <w:numPr>
        <w:numId w:val="3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9"/>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0" w:unhideWhenUsed="0"/>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03"/>
    <w:pPr>
      <w:autoSpaceDE w:val="0"/>
      <w:autoSpaceDN w:val="0"/>
      <w:adjustRightInd w:val="0"/>
      <w:spacing w:after="120" w:line="240" w:lineRule="auto"/>
      <w:ind w:right="181"/>
      <w:jc w:val="both"/>
    </w:pPr>
    <w:rPr>
      <w:rFonts w:ascii="Times New Roman" w:hAnsi="Times New Roman" w:cs="Arial"/>
      <w:color w:val="000000"/>
      <w:sz w:val="20"/>
      <w:szCs w:val="20"/>
    </w:rPr>
  </w:style>
  <w:style w:type="paragraph" w:styleId="Ttulo1">
    <w:name w:val="heading 1"/>
    <w:basedOn w:val="Default"/>
    <w:next w:val="Normal"/>
    <w:link w:val="Ttulo1Char"/>
    <w:qFormat/>
    <w:rsid w:val="00241018"/>
    <w:pPr>
      <w:numPr>
        <w:numId w:val="1"/>
      </w:numPr>
      <w:spacing w:before="240" w:after="120" w:line="276" w:lineRule="auto"/>
      <w:ind w:left="284" w:right="-1" w:hanging="284"/>
      <w:jc w:val="both"/>
      <w:outlineLvl w:val="0"/>
    </w:pPr>
    <w:rPr>
      <w:b/>
      <w:bCs/>
      <w:color w:val="000000" w:themeColor="text1"/>
      <w:sz w:val="20"/>
      <w:szCs w:val="20"/>
    </w:rPr>
  </w:style>
  <w:style w:type="paragraph" w:styleId="Ttulo2">
    <w:name w:val="heading 2"/>
    <w:basedOn w:val="Normal"/>
    <w:next w:val="Normal"/>
    <w:link w:val="Ttulo2Char"/>
    <w:unhideWhenUsed/>
    <w:qFormat/>
    <w:rsid w:val="00F973A2"/>
    <w:pPr>
      <w:numPr>
        <w:ilvl w:val="1"/>
        <w:numId w:val="1"/>
      </w:numPr>
      <w:spacing w:before="240"/>
      <w:ind w:left="426" w:hanging="426"/>
      <w:outlineLvl w:val="1"/>
    </w:pPr>
    <w:rPr>
      <w:b/>
    </w:rPr>
  </w:style>
  <w:style w:type="paragraph" w:styleId="Ttulo3">
    <w:name w:val="heading 3"/>
    <w:basedOn w:val="Ttulo2"/>
    <w:next w:val="Normal"/>
    <w:link w:val="Ttulo3Char"/>
    <w:autoRedefine/>
    <w:unhideWhenUsed/>
    <w:qFormat/>
    <w:rsid w:val="00D30756"/>
    <w:pPr>
      <w:numPr>
        <w:ilvl w:val="2"/>
      </w:numPr>
      <w:spacing w:line="276" w:lineRule="auto"/>
      <w:ind w:left="567" w:hanging="567"/>
      <w:outlineLvl w:val="2"/>
    </w:pPr>
    <w:rPr>
      <w:bCs/>
      <w:color w:val="000000" w:themeColor="text1"/>
      <w:lang w:eastAsia="pt-BR"/>
    </w:rPr>
  </w:style>
  <w:style w:type="paragraph" w:styleId="Ttulo4">
    <w:name w:val="heading 4"/>
    <w:basedOn w:val="Default"/>
    <w:next w:val="Normal"/>
    <w:link w:val="Ttulo4Char"/>
    <w:unhideWhenUsed/>
    <w:qFormat/>
    <w:rsid w:val="00D54BEC"/>
    <w:pPr>
      <w:numPr>
        <w:ilvl w:val="3"/>
        <w:numId w:val="1"/>
      </w:numPr>
      <w:tabs>
        <w:tab w:val="left" w:pos="851"/>
      </w:tabs>
      <w:spacing w:before="240" w:after="120" w:line="276" w:lineRule="auto"/>
      <w:ind w:left="0" w:right="181" w:firstLine="0"/>
      <w:jc w:val="both"/>
      <w:outlineLvl w:val="3"/>
    </w:pPr>
    <w:rPr>
      <w:rFonts w:ascii="Arial" w:hAnsi="Arial" w:cs="Arial"/>
      <w:b/>
      <w:bCs/>
      <w:sz w:val="20"/>
      <w:szCs w:val="20"/>
    </w:rPr>
  </w:style>
  <w:style w:type="paragraph" w:styleId="Ttulo5">
    <w:name w:val="heading 5"/>
    <w:basedOn w:val="Ttulo"/>
    <w:next w:val="Normal"/>
    <w:link w:val="Ttulo5Char"/>
    <w:unhideWhenUsed/>
    <w:rsid w:val="00EE1001"/>
    <w:pPr>
      <w:outlineLvl w:val="4"/>
    </w:pPr>
  </w:style>
  <w:style w:type="paragraph" w:styleId="Ttulo6">
    <w:name w:val="heading 6"/>
    <w:basedOn w:val="Ttulo4"/>
    <w:next w:val="Normal"/>
    <w:link w:val="Ttulo6Char"/>
    <w:unhideWhenUsed/>
    <w:rsid w:val="00EE1001"/>
    <w:pPr>
      <w:outlineLvl w:val="5"/>
    </w:pPr>
    <w:rPr>
      <w:b w:val="0"/>
    </w:rPr>
  </w:style>
  <w:style w:type="paragraph" w:styleId="Ttulo7">
    <w:name w:val="heading 7"/>
    <w:basedOn w:val="Normal"/>
    <w:next w:val="Normal"/>
    <w:link w:val="Ttulo7Char"/>
    <w:uiPriority w:val="9"/>
    <w:semiHidden/>
    <w:unhideWhenUsed/>
    <w:rsid w:val="00571D3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571D3D"/>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nhideWhenUsed/>
    <w:qFormat/>
    <w:rsid w:val="00571D3D"/>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4130B"/>
    <w:rPr>
      <w:rFonts w:ascii="Tahoma" w:hAnsi="Tahoma" w:cs="Tahoma"/>
      <w:sz w:val="16"/>
      <w:szCs w:val="16"/>
    </w:rPr>
  </w:style>
  <w:style w:type="character" w:customStyle="1" w:styleId="TextodebaloChar">
    <w:name w:val="Texto de balão Char"/>
    <w:basedOn w:val="Fontepargpadro"/>
    <w:link w:val="Textodebalo"/>
    <w:uiPriority w:val="99"/>
    <w:semiHidden/>
    <w:rsid w:val="0094130B"/>
    <w:rPr>
      <w:rFonts w:ascii="Tahoma" w:hAnsi="Tahoma" w:cs="Tahoma"/>
      <w:sz w:val="16"/>
      <w:szCs w:val="16"/>
    </w:rPr>
  </w:style>
  <w:style w:type="paragraph" w:customStyle="1" w:styleId="Default">
    <w:name w:val="Default"/>
    <w:rsid w:val="0094130B"/>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59"/>
    <w:rsid w:val="0094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4130B"/>
    <w:pPr>
      <w:tabs>
        <w:tab w:val="center" w:pos="4252"/>
        <w:tab w:val="right" w:pos="8504"/>
      </w:tabs>
    </w:pPr>
  </w:style>
  <w:style w:type="character" w:customStyle="1" w:styleId="CabealhoChar">
    <w:name w:val="Cabeçalho Char"/>
    <w:basedOn w:val="Fontepargpadro"/>
    <w:link w:val="Cabealho"/>
    <w:uiPriority w:val="99"/>
    <w:rsid w:val="0094130B"/>
  </w:style>
  <w:style w:type="paragraph" w:styleId="Rodap">
    <w:name w:val="footer"/>
    <w:basedOn w:val="Normal"/>
    <w:link w:val="RodapChar"/>
    <w:uiPriority w:val="99"/>
    <w:unhideWhenUsed/>
    <w:rsid w:val="0094130B"/>
    <w:pPr>
      <w:tabs>
        <w:tab w:val="center" w:pos="4252"/>
        <w:tab w:val="right" w:pos="8504"/>
      </w:tabs>
    </w:pPr>
  </w:style>
  <w:style w:type="character" w:customStyle="1" w:styleId="RodapChar">
    <w:name w:val="Rodapé Char"/>
    <w:basedOn w:val="Fontepargpadro"/>
    <w:link w:val="Rodap"/>
    <w:uiPriority w:val="99"/>
    <w:rsid w:val="0094130B"/>
  </w:style>
  <w:style w:type="paragraph" w:customStyle="1" w:styleId="ABNT">
    <w:name w:val="ABNT"/>
    <w:basedOn w:val="Default"/>
    <w:next w:val="Default"/>
    <w:uiPriority w:val="99"/>
    <w:rsid w:val="00C72167"/>
    <w:rPr>
      <w:rFonts w:ascii="Arial Black" w:hAnsi="Arial Black" w:cstheme="minorBidi"/>
      <w:color w:val="auto"/>
    </w:rPr>
  </w:style>
  <w:style w:type="paragraph" w:styleId="Legenda">
    <w:name w:val="caption"/>
    <w:basedOn w:val="Default"/>
    <w:next w:val="Default"/>
    <w:uiPriority w:val="99"/>
    <w:qFormat/>
    <w:rsid w:val="00C72167"/>
    <w:rPr>
      <w:color w:val="auto"/>
    </w:rPr>
  </w:style>
  <w:style w:type="paragraph" w:styleId="Recuodecorpodetexto">
    <w:name w:val="Body Text Indent"/>
    <w:basedOn w:val="Normal"/>
    <w:link w:val="RecuodecorpodetextoChar"/>
    <w:unhideWhenUsed/>
    <w:rsid w:val="00C72167"/>
    <w:pPr>
      <w:ind w:left="283"/>
    </w:pPr>
  </w:style>
  <w:style w:type="character" w:customStyle="1" w:styleId="RecuodecorpodetextoChar">
    <w:name w:val="Recuo de corpo de texto Char"/>
    <w:basedOn w:val="Fontepargpadro"/>
    <w:link w:val="Recuodecorpodetexto"/>
    <w:rsid w:val="00C72167"/>
  </w:style>
  <w:style w:type="paragraph" w:styleId="Corpodetexto">
    <w:name w:val="Body Text"/>
    <w:basedOn w:val="Normal"/>
    <w:link w:val="CorpodetextoChar"/>
    <w:uiPriority w:val="1"/>
    <w:unhideWhenUsed/>
    <w:qFormat/>
    <w:rsid w:val="00C60165"/>
  </w:style>
  <w:style w:type="character" w:customStyle="1" w:styleId="CorpodetextoChar">
    <w:name w:val="Corpo de texto Char"/>
    <w:basedOn w:val="Fontepargpadro"/>
    <w:link w:val="Corpodetexto"/>
    <w:uiPriority w:val="1"/>
    <w:rsid w:val="00C60165"/>
  </w:style>
  <w:style w:type="character" w:styleId="Hyperlink">
    <w:name w:val="Hyperlink"/>
    <w:basedOn w:val="Fontepargpadro"/>
    <w:semiHidden/>
    <w:unhideWhenUsed/>
    <w:rsid w:val="00C60165"/>
    <w:rPr>
      <w:color w:val="0000FF"/>
      <w:u w:val="single"/>
    </w:rPr>
  </w:style>
  <w:style w:type="paragraph" w:styleId="PargrafodaLista">
    <w:name w:val="List Paragraph"/>
    <w:basedOn w:val="Normal"/>
    <w:uiPriority w:val="34"/>
    <w:qFormat/>
    <w:rsid w:val="006D3500"/>
    <w:pPr>
      <w:ind w:left="720"/>
      <w:contextualSpacing/>
    </w:pPr>
  </w:style>
  <w:style w:type="character" w:customStyle="1" w:styleId="Ttulo1Char">
    <w:name w:val="Título 1 Char"/>
    <w:basedOn w:val="Fontepargpadro"/>
    <w:link w:val="Ttulo1"/>
    <w:rsid w:val="00241018"/>
    <w:rPr>
      <w:rFonts w:ascii="Times New Roman" w:hAnsi="Times New Roman" w:cs="Times New Roman"/>
      <w:b/>
      <w:bCs/>
      <w:color w:val="000000" w:themeColor="text1"/>
      <w:sz w:val="20"/>
      <w:szCs w:val="20"/>
    </w:rPr>
  </w:style>
  <w:style w:type="character" w:customStyle="1" w:styleId="Ttulo2Char">
    <w:name w:val="Título 2 Char"/>
    <w:basedOn w:val="Fontepargpadro"/>
    <w:link w:val="Ttulo2"/>
    <w:rsid w:val="00F973A2"/>
    <w:rPr>
      <w:rFonts w:ascii="Times New Roman" w:hAnsi="Times New Roman" w:cs="Arial"/>
      <w:b/>
      <w:color w:val="000000"/>
      <w:sz w:val="20"/>
      <w:szCs w:val="20"/>
    </w:rPr>
  </w:style>
  <w:style w:type="character" w:customStyle="1" w:styleId="Ttulo3Char">
    <w:name w:val="Título 3 Char"/>
    <w:basedOn w:val="Fontepargpadro"/>
    <w:link w:val="Ttulo3"/>
    <w:rsid w:val="00D30756"/>
    <w:rPr>
      <w:rFonts w:ascii="Times New Roman" w:hAnsi="Times New Roman" w:cs="Arial"/>
      <w:b/>
      <w:bCs/>
      <w:color w:val="000000" w:themeColor="text1"/>
      <w:sz w:val="20"/>
      <w:szCs w:val="20"/>
      <w:lang w:eastAsia="pt-BR"/>
    </w:rPr>
  </w:style>
  <w:style w:type="character" w:customStyle="1" w:styleId="Ttulo4Char">
    <w:name w:val="Título 4 Char"/>
    <w:basedOn w:val="Fontepargpadro"/>
    <w:link w:val="Ttulo4"/>
    <w:rsid w:val="00D54BEC"/>
    <w:rPr>
      <w:rFonts w:ascii="Arial" w:hAnsi="Arial" w:cs="Arial"/>
      <w:b/>
      <w:bCs/>
      <w:color w:val="000000"/>
      <w:sz w:val="20"/>
      <w:szCs w:val="20"/>
    </w:rPr>
  </w:style>
  <w:style w:type="character" w:customStyle="1" w:styleId="Ttulo5Char">
    <w:name w:val="Título 5 Char"/>
    <w:basedOn w:val="Fontepargpadro"/>
    <w:link w:val="Ttulo5"/>
    <w:rsid w:val="00EE1001"/>
    <w:rPr>
      <w:rFonts w:ascii="Times New Roman" w:hAnsi="Times New Roman" w:cs="Arial"/>
      <w:bCs/>
      <w:color w:val="000000" w:themeColor="text1"/>
      <w:sz w:val="20"/>
      <w:szCs w:val="20"/>
    </w:rPr>
  </w:style>
  <w:style w:type="character" w:customStyle="1" w:styleId="Ttulo6Char">
    <w:name w:val="Título 6 Char"/>
    <w:basedOn w:val="Fontepargpadro"/>
    <w:link w:val="Ttulo6"/>
    <w:rsid w:val="00EE1001"/>
    <w:rPr>
      <w:rFonts w:ascii="Arial" w:hAnsi="Arial" w:cs="Arial"/>
      <w:bCs/>
      <w:color w:val="000000"/>
      <w:sz w:val="20"/>
      <w:szCs w:val="20"/>
    </w:rPr>
  </w:style>
  <w:style w:type="character" w:customStyle="1" w:styleId="Ttulo7Char">
    <w:name w:val="Título 7 Char"/>
    <w:basedOn w:val="Fontepargpadro"/>
    <w:link w:val="Ttulo7"/>
    <w:uiPriority w:val="9"/>
    <w:semiHidden/>
    <w:rsid w:val="00571D3D"/>
    <w:rPr>
      <w:rFonts w:asciiTheme="majorHAnsi" w:eastAsiaTheme="majorEastAsia" w:hAnsiTheme="majorHAnsi" w:cstheme="majorBidi"/>
      <w:i/>
      <w:iCs/>
      <w:color w:val="404040" w:themeColor="text1" w:themeTint="BF"/>
      <w:sz w:val="20"/>
      <w:szCs w:val="20"/>
    </w:rPr>
  </w:style>
  <w:style w:type="character" w:customStyle="1" w:styleId="Ttulo8Char">
    <w:name w:val="Título 8 Char"/>
    <w:basedOn w:val="Fontepargpadro"/>
    <w:link w:val="Ttulo8"/>
    <w:uiPriority w:val="9"/>
    <w:semiHidden/>
    <w:rsid w:val="00571D3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rsid w:val="00571D3D"/>
    <w:rPr>
      <w:rFonts w:asciiTheme="majorHAnsi" w:eastAsiaTheme="majorEastAsia" w:hAnsiTheme="majorHAnsi" w:cstheme="majorBidi"/>
      <w:i/>
      <w:iCs/>
      <w:color w:val="404040" w:themeColor="text1" w:themeTint="BF"/>
      <w:sz w:val="20"/>
      <w:szCs w:val="20"/>
    </w:rPr>
  </w:style>
  <w:style w:type="paragraph" w:styleId="Subttulo">
    <w:name w:val="Subtitle"/>
    <w:basedOn w:val="Ttulo3"/>
    <w:next w:val="Normal"/>
    <w:link w:val="SubttuloChar"/>
    <w:rsid w:val="00CF3A20"/>
    <w:pPr>
      <w:tabs>
        <w:tab w:val="left" w:pos="567"/>
      </w:tabs>
      <w:ind w:left="0" w:firstLine="0"/>
    </w:pPr>
    <w:rPr>
      <w:b w:val="0"/>
    </w:rPr>
  </w:style>
  <w:style w:type="character" w:customStyle="1" w:styleId="SubttuloChar">
    <w:name w:val="Subtítulo Char"/>
    <w:basedOn w:val="Fontepargpadro"/>
    <w:link w:val="Subttulo"/>
    <w:rsid w:val="00CF3A20"/>
    <w:rPr>
      <w:rFonts w:ascii="Times New Roman" w:hAnsi="Times New Roman" w:cs="Arial"/>
      <w:bCs/>
      <w:color w:val="000000" w:themeColor="text1"/>
      <w:sz w:val="20"/>
      <w:szCs w:val="20"/>
    </w:rPr>
  </w:style>
  <w:style w:type="paragraph" w:styleId="Ttulo">
    <w:name w:val="Title"/>
    <w:basedOn w:val="Subttulo"/>
    <w:next w:val="Normal"/>
    <w:link w:val="TtuloChar"/>
    <w:qFormat/>
    <w:rsid w:val="00EE1001"/>
  </w:style>
  <w:style w:type="character" w:customStyle="1" w:styleId="TtuloChar">
    <w:name w:val="Título Char"/>
    <w:basedOn w:val="Fontepargpadro"/>
    <w:link w:val="Ttulo"/>
    <w:rsid w:val="00EE1001"/>
    <w:rPr>
      <w:rFonts w:ascii="Times New Roman" w:hAnsi="Times New Roman" w:cs="Arial"/>
      <w:bCs/>
      <w:color w:val="000000" w:themeColor="text1"/>
      <w:sz w:val="20"/>
      <w:szCs w:val="20"/>
    </w:rPr>
  </w:style>
  <w:style w:type="character" w:styleId="nfaseSutil">
    <w:name w:val="Subtle Emphasis"/>
    <w:basedOn w:val="Ttulo3Char"/>
    <w:uiPriority w:val="19"/>
    <w:rsid w:val="00452D52"/>
    <w:rPr>
      <w:rFonts w:ascii="Arial" w:hAnsi="Arial" w:cs="Arial"/>
      <w:b/>
      <w:bCs/>
      <w:color w:val="000000" w:themeColor="text1"/>
      <w:sz w:val="20"/>
      <w:szCs w:val="20"/>
      <w:lang w:eastAsia="pt-BR"/>
    </w:rPr>
  </w:style>
  <w:style w:type="paragraph" w:customStyle="1" w:styleId="Texto1">
    <w:name w:val="Texto 1"/>
    <w:basedOn w:val="Ttulo1"/>
    <w:rsid w:val="00EE1001"/>
  </w:style>
  <w:style w:type="paragraph" w:customStyle="1" w:styleId="Texto2N">
    <w:name w:val="Texto 2N"/>
    <w:basedOn w:val="Ttulo2"/>
    <w:qFormat/>
    <w:rsid w:val="009D2338"/>
    <w:pPr>
      <w:tabs>
        <w:tab w:val="left" w:pos="567"/>
      </w:tabs>
      <w:spacing w:before="0"/>
      <w:ind w:left="0" w:right="0" w:firstLine="0"/>
    </w:pPr>
    <w:rPr>
      <w:b w:val="0"/>
    </w:rPr>
  </w:style>
  <w:style w:type="paragraph" w:customStyle="1" w:styleId="Texto3N">
    <w:name w:val="Texto 3N"/>
    <w:basedOn w:val="Ttulo3"/>
    <w:qFormat/>
    <w:rsid w:val="005C459E"/>
    <w:pPr>
      <w:spacing w:before="0"/>
      <w:ind w:left="0" w:right="-1" w:firstLine="0"/>
    </w:pPr>
    <w:rPr>
      <w:rFonts w:cs="Times New Roman"/>
      <w:b w:val="0"/>
      <w:color w:val="auto"/>
    </w:rPr>
  </w:style>
  <w:style w:type="paragraph" w:customStyle="1" w:styleId="Texto4N">
    <w:name w:val="Texto 4N"/>
    <w:basedOn w:val="Ttulo4"/>
    <w:qFormat/>
    <w:rsid w:val="00A02AE2"/>
    <w:pPr>
      <w:tabs>
        <w:tab w:val="clear" w:pos="851"/>
      </w:tabs>
      <w:spacing w:before="0"/>
      <w:ind w:right="0"/>
    </w:pPr>
    <w:rPr>
      <w:rFonts w:ascii="Times New Roman" w:hAnsi="Times New Roman"/>
      <w:b w:val="0"/>
      <w:lang w:eastAsia="pt-BR"/>
    </w:rPr>
  </w:style>
  <w:style w:type="table" w:customStyle="1" w:styleId="TableNormal">
    <w:name w:val="Table Normal"/>
    <w:uiPriority w:val="2"/>
    <w:semiHidden/>
    <w:unhideWhenUsed/>
    <w:qFormat/>
    <w:rsid w:val="00A867F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Notatexto">
    <w:name w:val="1 Nota texto"/>
    <w:basedOn w:val="Normal"/>
    <w:next w:val="Corpodetexto"/>
    <w:autoRedefine/>
    <w:uiPriority w:val="3"/>
    <w:qFormat/>
    <w:rsid w:val="0034768C"/>
    <w:pPr>
      <w:widowControl w:val="0"/>
      <w:autoSpaceDE/>
      <w:autoSpaceDN/>
      <w:adjustRightInd/>
      <w:spacing w:after="0" w:line="276" w:lineRule="auto"/>
      <w:ind w:right="0"/>
    </w:pPr>
    <w:rPr>
      <w:rFonts w:ascii="Arial" w:eastAsia="Calibri" w:hAnsi="Arial"/>
      <w:i/>
      <w:color w:val="auto"/>
      <w:sz w:val="14"/>
      <w:szCs w:val="18"/>
      <w:lang w:val="pt-PT"/>
    </w:rPr>
  </w:style>
  <w:style w:type="paragraph" w:customStyle="1" w:styleId="1Nota1">
    <w:name w:val="1 Nota 1)"/>
    <w:basedOn w:val="Normal"/>
    <w:uiPriority w:val="3"/>
    <w:qFormat/>
    <w:rsid w:val="0034768C"/>
    <w:pPr>
      <w:widowControl w:val="0"/>
      <w:numPr>
        <w:numId w:val="2"/>
      </w:numPr>
      <w:autoSpaceDE/>
      <w:autoSpaceDN/>
      <w:adjustRightInd/>
      <w:spacing w:after="0"/>
      <w:ind w:right="68"/>
      <w:outlineLvl w:val="3"/>
    </w:pPr>
    <w:rPr>
      <w:rFonts w:ascii="Arial" w:eastAsia="Arial" w:hAnsi="Arial"/>
      <w:i/>
      <w:color w:val="231F20"/>
      <w:spacing w:val="-1"/>
      <w:sz w:val="14"/>
      <w:szCs w:val="18"/>
    </w:rPr>
  </w:style>
  <w:style w:type="paragraph" w:styleId="Corpodetexto2">
    <w:name w:val="Body Text 2"/>
    <w:basedOn w:val="Normal"/>
    <w:link w:val="Corpodetexto2Char"/>
    <w:rsid w:val="0034768C"/>
    <w:pPr>
      <w:autoSpaceDE/>
      <w:autoSpaceDN/>
      <w:adjustRightInd/>
      <w:spacing w:after="0"/>
      <w:ind w:right="0"/>
      <w:jc w:val="left"/>
    </w:pPr>
    <w:rPr>
      <w:rFonts w:ascii="Arial" w:eastAsia="Times New Roman" w:hAnsi="Arial" w:cs="Times New Roman"/>
      <w:color w:val="auto"/>
      <w:sz w:val="24"/>
      <w:lang w:eastAsia="pt-BR"/>
    </w:rPr>
  </w:style>
  <w:style w:type="character" w:customStyle="1" w:styleId="Corpodetexto2Char">
    <w:name w:val="Corpo de texto 2 Char"/>
    <w:basedOn w:val="Fontepargpadro"/>
    <w:link w:val="Corpodetexto2"/>
    <w:rsid w:val="0034768C"/>
    <w:rPr>
      <w:rFonts w:ascii="Arial" w:eastAsia="Times New Roman" w:hAnsi="Arial" w:cs="Times New Roman"/>
      <w:sz w:val="24"/>
      <w:szCs w:val="20"/>
      <w:lang w:eastAsia="pt-BR"/>
    </w:rPr>
  </w:style>
  <w:style w:type="paragraph" w:styleId="Recuodecorpodetexto3">
    <w:name w:val="Body Text Indent 3"/>
    <w:basedOn w:val="Normal"/>
    <w:link w:val="Recuodecorpodetexto3Char"/>
    <w:rsid w:val="0034768C"/>
    <w:pPr>
      <w:autoSpaceDE/>
      <w:autoSpaceDN/>
      <w:adjustRightInd/>
      <w:spacing w:after="0" w:line="240" w:lineRule="atLeast"/>
      <w:ind w:right="0" w:firstLine="4395"/>
      <w:jc w:val="center"/>
    </w:pPr>
    <w:rPr>
      <w:rFonts w:ascii="Arial" w:eastAsia="Times New Roman" w:hAnsi="Arial" w:cs="Times New Roman"/>
      <w:b/>
      <w:i/>
      <w:color w:val="auto"/>
      <w:sz w:val="24"/>
      <w:lang w:eastAsia="pt-BR"/>
    </w:rPr>
  </w:style>
  <w:style w:type="character" w:customStyle="1" w:styleId="Recuodecorpodetexto3Char">
    <w:name w:val="Recuo de corpo de texto 3 Char"/>
    <w:basedOn w:val="Fontepargpadro"/>
    <w:link w:val="Recuodecorpodetexto3"/>
    <w:rsid w:val="0034768C"/>
    <w:rPr>
      <w:rFonts w:ascii="Arial" w:eastAsia="Times New Roman" w:hAnsi="Arial" w:cs="Times New Roman"/>
      <w:b/>
      <w:i/>
      <w:sz w:val="24"/>
      <w:szCs w:val="20"/>
      <w:lang w:eastAsia="pt-BR"/>
    </w:rPr>
  </w:style>
  <w:style w:type="numbering" w:customStyle="1" w:styleId="Semlista1">
    <w:name w:val="Sem lista1"/>
    <w:next w:val="Semlista"/>
    <w:uiPriority w:val="99"/>
    <w:semiHidden/>
    <w:unhideWhenUsed/>
    <w:rsid w:val="00070494"/>
  </w:style>
  <w:style w:type="paragraph" w:customStyle="1" w:styleId="Normal1">
    <w:name w:val="Normal1"/>
    <w:rsid w:val="00070494"/>
    <w:pPr>
      <w:spacing w:after="120"/>
      <w:jc w:val="both"/>
    </w:pPr>
    <w:rPr>
      <w:rFonts w:ascii="Times New Roman" w:eastAsia="Times New Roman" w:hAnsi="Times New Roman" w:cs="Times New Roman"/>
      <w:sz w:val="20"/>
      <w:szCs w:val="20"/>
      <w:lang w:eastAsia="pt-BR"/>
    </w:rPr>
  </w:style>
  <w:style w:type="table" w:customStyle="1" w:styleId="TableNormal1">
    <w:name w:val="Table Normal1"/>
    <w:rsid w:val="00070494"/>
    <w:pPr>
      <w:spacing w:after="120"/>
      <w:jc w:val="both"/>
    </w:pPr>
    <w:rPr>
      <w:rFonts w:ascii="Times New Roman" w:eastAsia="Times New Roman" w:hAnsi="Times New Roman" w:cs="Times New Roman"/>
      <w:sz w:val="20"/>
      <w:szCs w:val="20"/>
      <w:lang w:eastAsia="pt-BR"/>
    </w:rPr>
    <w:tblPr>
      <w:tblCellMar>
        <w:top w:w="0" w:type="dxa"/>
        <w:left w:w="0" w:type="dxa"/>
        <w:bottom w:w="0" w:type="dxa"/>
        <w:right w:w="0" w:type="dxa"/>
      </w:tblCellMar>
    </w:tblPr>
  </w:style>
  <w:style w:type="paragraph" w:styleId="Textodenotaderodap">
    <w:name w:val="footnote text"/>
    <w:basedOn w:val="Normal"/>
    <w:link w:val="TextodenotaderodapChar"/>
    <w:uiPriority w:val="99"/>
    <w:semiHidden/>
    <w:unhideWhenUsed/>
    <w:rsid w:val="006A11EA"/>
    <w:pPr>
      <w:spacing w:after="0"/>
    </w:pPr>
  </w:style>
  <w:style w:type="character" w:customStyle="1" w:styleId="TextodenotaderodapChar">
    <w:name w:val="Texto de nota de rodapé Char"/>
    <w:basedOn w:val="Fontepargpadro"/>
    <w:link w:val="Textodenotaderodap"/>
    <w:uiPriority w:val="99"/>
    <w:semiHidden/>
    <w:rsid w:val="006A11EA"/>
    <w:rPr>
      <w:rFonts w:ascii="Times New Roman" w:hAnsi="Times New Roman" w:cs="Arial"/>
      <w:color w:val="000000"/>
      <w:sz w:val="20"/>
      <w:szCs w:val="20"/>
    </w:rPr>
  </w:style>
  <w:style w:type="character" w:styleId="Refdenotaderodap">
    <w:name w:val="footnote reference"/>
    <w:basedOn w:val="Fontepargpadro"/>
    <w:uiPriority w:val="99"/>
    <w:semiHidden/>
    <w:unhideWhenUsed/>
    <w:rsid w:val="006A11EA"/>
    <w:rPr>
      <w:vertAlign w:val="superscript"/>
    </w:rPr>
  </w:style>
  <w:style w:type="character" w:styleId="TextodoEspaoReservado">
    <w:name w:val="Placeholder Text"/>
    <w:basedOn w:val="Fontepargpadro"/>
    <w:uiPriority w:val="99"/>
    <w:semiHidden/>
    <w:rsid w:val="00E61882"/>
    <w:rPr>
      <w:color w:val="808080"/>
    </w:rPr>
  </w:style>
  <w:style w:type="numbering" w:customStyle="1" w:styleId="Estilo1">
    <w:name w:val="Estilo1"/>
    <w:uiPriority w:val="99"/>
    <w:rsid w:val="009B5205"/>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628601">
      <w:bodyDiv w:val="1"/>
      <w:marLeft w:val="0"/>
      <w:marRight w:val="0"/>
      <w:marTop w:val="0"/>
      <w:marBottom w:val="0"/>
      <w:divBdr>
        <w:top w:val="none" w:sz="0" w:space="0" w:color="auto"/>
        <w:left w:val="none" w:sz="0" w:space="0" w:color="auto"/>
        <w:bottom w:val="none" w:sz="0" w:space="0" w:color="auto"/>
        <w:right w:val="none" w:sz="0" w:space="0" w:color="auto"/>
      </w:divBdr>
    </w:div>
    <w:div w:id="12943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0EB842-E445-44A0-A1AE-54AB8917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6582</Words>
  <Characters>35547</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IT01 CBMAL – Parte 3</vt:lpstr>
    </vt:vector>
  </TitlesOfParts>
  <Company>Hewlett-Packard</Company>
  <LinksUpToDate>false</LinksUpToDate>
  <CharactersWithSpaces>42045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IT01 CBMAL – Parte 3</dc:title>
  <dc:creator>AILTON</dc:creator>
  <cp:lastModifiedBy>ELAINE MONTEIRO</cp:lastModifiedBy>
  <cp:revision>4</cp:revision>
  <cp:lastPrinted>2021-04-14T21:21:00Z</cp:lastPrinted>
  <dcterms:created xsi:type="dcterms:W3CDTF">2021-04-12T23:45:00Z</dcterms:created>
  <dcterms:modified xsi:type="dcterms:W3CDTF">2021-04-14T21:21:00Z</dcterms:modified>
</cp:coreProperties>
</file>