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0B162" w14:textId="77777777" w:rsidR="00DE7FD8" w:rsidRPr="00782139" w:rsidRDefault="00DE7FD8" w:rsidP="00DE7FD8">
      <w:pPr>
        <w:spacing w:after="0"/>
        <w:rPr>
          <w:rFonts w:ascii="Arial" w:hAnsi="Arial" w:cs="Arial"/>
          <w:sz w:val="32"/>
          <w:szCs w:val="32"/>
        </w:rPr>
      </w:pPr>
    </w:p>
    <w:p w14:paraId="1C21CDE7" w14:textId="77777777" w:rsidR="00E9063B" w:rsidRPr="00352664" w:rsidRDefault="00E9063B" w:rsidP="00E9063B">
      <w:pPr>
        <w:spacing w:after="0"/>
        <w:ind w:right="181"/>
        <w:jc w:val="center"/>
        <w:rPr>
          <w:rFonts w:ascii="Arial" w:hAnsi="Arial" w:cs="Arial"/>
        </w:rPr>
      </w:pPr>
      <w:r w:rsidRPr="00783F75">
        <w:rPr>
          <w:rFonts w:ascii="Arial" w:hAnsi="Arial" w:cs="Arial"/>
          <w:b/>
          <w:noProof/>
          <w:color w:val="000000"/>
          <w:sz w:val="32"/>
          <w:szCs w:val="32"/>
        </w:rPr>
        <w:pict w14:anchorId="271DCC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78.75pt;height:87pt;visibility:visible">
            <v:imagedata r:id="rId9" o:title=""/>
          </v:shape>
        </w:pict>
      </w:r>
    </w:p>
    <w:p w14:paraId="57E4CD77" w14:textId="77777777" w:rsidR="00E9063B" w:rsidRPr="00352664" w:rsidRDefault="00E9063B" w:rsidP="00E9063B">
      <w:pPr>
        <w:spacing w:after="0"/>
        <w:ind w:left="284" w:right="181"/>
        <w:jc w:val="center"/>
        <w:rPr>
          <w:rFonts w:ascii="Arial" w:hAnsi="Arial" w:cs="Arial"/>
        </w:rPr>
      </w:pPr>
    </w:p>
    <w:p w14:paraId="7FAB310F" w14:textId="77777777" w:rsidR="00E9063B" w:rsidRPr="00783F75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  <w:r w:rsidRPr="00783F75">
        <w:rPr>
          <w:b/>
          <w:bCs/>
          <w:color w:val="000000"/>
          <w:sz w:val="32"/>
          <w:szCs w:val="32"/>
        </w:rPr>
        <w:t>Corpo de Bombeiros Militar de Alagoas</w:t>
      </w:r>
    </w:p>
    <w:p w14:paraId="6585FCB1" w14:textId="77777777" w:rsidR="00E9063B" w:rsidRPr="00783F75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</w:p>
    <w:p w14:paraId="603BF009" w14:textId="77777777" w:rsidR="00E9063B" w:rsidRPr="00783F75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</w:p>
    <w:p w14:paraId="76746C06" w14:textId="77777777" w:rsidR="00E9063B" w:rsidRPr="004E0423" w:rsidRDefault="004E0423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Cs/>
          <w:sz w:val="28"/>
          <w:szCs w:val="28"/>
        </w:rPr>
      </w:pPr>
      <w:r w:rsidRPr="004E0423">
        <w:rPr>
          <w:sz w:val="40"/>
          <w:szCs w:val="40"/>
        </w:rPr>
        <w:t>INSTRUÇÃO TÉCNICA Nº 15/2021</w:t>
      </w:r>
    </w:p>
    <w:p w14:paraId="6B610B74" w14:textId="77777777" w:rsidR="00E9063B" w:rsidRPr="00783F75" w:rsidRDefault="00E9063B" w:rsidP="00E9063B">
      <w:pPr>
        <w:autoSpaceDE w:val="0"/>
        <w:autoSpaceDN w:val="0"/>
        <w:adjustRightInd w:val="0"/>
        <w:spacing w:after="0"/>
        <w:ind w:left="284" w:right="181"/>
        <w:rPr>
          <w:b/>
          <w:bCs/>
          <w:sz w:val="28"/>
          <w:szCs w:val="28"/>
        </w:rPr>
      </w:pPr>
    </w:p>
    <w:p w14:paraId="050142ED" w14:textId="77777777" w:rsidR="0085137F" w:rsidRPr="00E9063B" w:rsidRDefault="00E9063B" w:rsidP="00DE7FD8">
      <w:pPr>
        <w:autoSpaceDE w:val="0"/>
        <w:spacing w:after="0"/>
        <w:jc w:val="center"/>
        <w:rPr>
          <w:b/>
          <w:sz w:val="40"/>
          <w:szCs w:val="40"/>
        </w:rPr>
      </w:pPr>
      <w:r w:rsidRPr="00E9063B">
        <w:rPr>
          <w:b/>
          <w:sz w:val="40"/>
          <w:szCs w:val="40"/>
        </w:rPr>
        <w:t>Controle de fumaça</w:t>
      </w:r>
    </w:p>
    <w:p w14:paraId="1C713339" w14:textId="77777777" w:rsidR="004D06DC" w:rsidRPr="004D06DC" w:rsidRDefault="004D06DC" w:rsidP="004D06DC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sz w:val="24"/>
        </w:rPr>
      </w:pPr>
    </w:p>
    <w:p w14:paraId="3DC6E33B" w14:textId="77777777" w:rsidR="00682A8A" w:rsidRPr="004D06DC" w:rsidRDefault="004D06DC" w:rsidP="004D06DC">
      <w:pPr>
        <w:autoSpaceDE w:val="0"/>
        <w:spacing w:after="0"/>
        <w:jc w:val="center"/>
        <w:rPr>
          <w:b/>
          <w:bCs/>
          <w:sz w:val="40"/>
          <w:szCs w:val="40"/>
        </w:rPr>
      </w:pPr>
      <w:r w:rsidRPr="004D06DC">
        <w:rPr>
          <w:b/>
          <w:bCs/>
          <w:color w:val="000000"/>
          <w:sz w:val="40"/>
          <w:szCs w:val="40"/>
        </w:rPr>
        <w:t>Parte 6 – Controle de fumaça em rotas de fuga horizontais protegidas e subsolos</w:t>
      </w:r>
    </w:p>
    <w:p w14:paraId="120819E4" w14:textId="77777777" w:rsidR="00C46678" w:rsidRDefault="00C46678" w:rsidP="00DE7FD8">
      <w:pPr>
        <w:pStyle w:val="Paragrafo"/>
        <w:spacing w:after="0"/>
        <w:rPr>
          <w:rFonts w:ascii="Arial" w:hAnsi="Arial"/>
          <w:sz w:val="32"/>
          <w:szCs w:val="32"/>
        </w:rPr>
      </w:pPr>
    </w:p>
    <w:p w14:paraId="5BD5EFEE" w14:textId="77777777" w:rsidR="00694919" w:rsidRDefault="00694919" w:rsidP="00DE7FD8">
      <w:pPr>
        <w:pStyle w:val="Paragrafo"/>
        <w:spacing w:after="0"/>
        <w:rPr>
          <w:rFonts w:ascii="Arial" w:hAnsi="Arial"/>
          <w:sz w:val="32"/>
          <w:szCs w:val="32"/>
        </w:rPr>
      </w:pPr>
    </w:p>
    <w:p w14:paraId="39626ED4" w14:textId="77777777" w:rsidR="00694919" w:rsidRPr="00DE7FD8" w:rsidRDefault="00694919" w:rsidP="00DE7FD8">
      <w:pPr>
        <w:pStyle w:val="Paragrafo"/>
        <w:spacing w:after="0"/>
        <w:rPr>
          <w:rFonts w:ascii="Arial" w:hAnsi="Arial"/>
          <w:sz w:val="32"/>
          <w:szCs w:val="32"/>
        </w:rPr>
        <w:sectPr w:rsidR="00694919" w:rsidRPr="00DE7FD8" w:rsidSect="00582E1F">
          <w:headerReference w:type="default" r:id="rId10"/>
          <w:footerReference w:type="default" r:id="rId11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10428E0A" w14:textId="77777777" w:rsidR="00CA23EA" w:rsidRPr="00E9063B" w:rsidRDefault="00CA23EA" w:rsidP="00DE7FD8">
      <w:pPr>
        <w:pStyle w:val="TtuloSUMRIO-ANEXO"/>
        <w:spacing w:before="0" w:after="0"/>
        <w:rPr>
          <w:rFonts w:ascii="Arial" w:hAnsi="Arial" w:cs="Arial"/>
          <w:sz w:val="32"/>
          <w:szCs w:val="32"/>
        </w:rPr>
      </w:pPr>
    </w:p>
    <w:p w14:paraId="644FD2FF" w14:textId="77777777" w:rsidR="00E9063B" w:rsidRDefault="00E9063B" w:rsidP="00DE7FD8">
      <w:pPr>
        <w:pStyle w:val="TtuloSUMRIO-ANEXO"/>
        <w:spacing w:before="0" w:after="0"/>
        <w:rPr>
          <w:rFonts w:ascii="Arial" w:hAnsi="Arial" w:cs="Arial"/>
          <w:sz w:val="24"/>
          <w:szCs w:val="24"/>
        </w:rPr>
      </w:pPr>
    </w:p>
    <w:p w14:paraId="655E77C5" w14:textId="77777777" w:rsidR="00E85557" w:rsidRPr="00872D42" w:rsidRDefault="00E85557" w:rsidP="00DE7FD8">
      <w:pPr>
        <w:pStyle w:val="TtuloSUMRIO-ANEXO"/>
        <w:spacing w:before="0" w:after="0"/>
      </w:pPr>
      <w:r w:rsidRPr="00872D42">
        <w:t>SUMÁRIO</w:t>
      </w:r>
    </w:p>
    <w:p w14:paraId="7425B96C" w14:textId="77777777" w:rsidR="00787EA2" w:rsidRPr="00872D42" w:rsidRDefault="00787EA2" w:rsidP="00787EA2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664763E9" w14:textId="77777777" w:rsidR="00787EA2" w:rsidRPr="00872D42" w:rsidRDefault="00787EA2" w:rsidP="00787EA2">
      <w:pPr>
        <w:pStyle w:val="Default"/>
        <w:rPr>
          <w:rFonts w:ascii="Times New Roman" w:hAnsi="Times New Roman" w:cs="Times New Roman"/>
          <w:sz w:val="20"/>
          <w:szCs w:val="20"/>
        </w:rPr>
        <w:sectPr w:rsidR="00787EA2" w:rsidRPr="00872D42" w:rsidSect="00694919">
          <w:type w:val="continuous"/>
          <w:pgSz w:w="11906" w:h="16838" w:code="9"/>
          <w:pgMar w:top="1134" w:right="1134" w:bottom="1134" w:left="1134" w:header="709" w:footer="709" w:gutter="0"/>
          <w:cols w:num="2" w:space="567"/>
          <w:docGrid w:linePitch="360"/>
        </w:sectPr>
      </w:pPr>
      <w:r w:rsidRPr="00872D4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D0CF43" w14:textId="77777777" w:rsidR="00787EA2" w:rsidRPr="00872D42" w:rsidRDefault="00787EA2" w:rsidP="00787EA2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74AC3393" w14:textId="77777777" w:rsidR="00694919" w:rsidRPr="00872D42" w:rsidRDefault="00694919" w:rsidP="00694919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</w:p>
    <w:p w14:paraId="0D43805F" w14:textId="77777777" w:rsidR="00694919" w:rsidRPr="00872D42" w:rsidRDefault="00694919" w:rsidP="00872D42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872D42">
        <w:rPr>
          <w:b/>
          <w:bCs/>
          <w:color w:val="000000"/>
          <w:sz w:val="20"/>
          <w:szCs w:val="20"/>
        </w:rPr>
        <w:t xml:space="preserve">12 </w:t>
      </w:r>
      <w:r w:rsidRPr="00872D42">
        <w:rPr>
          <w:color w:val="000000"/>
          <w:sz w:val="20"/>
          <w:szCs w:val="20"/>
        </w:rPr>
        <w:t xml:space="preserve">Rotas de fuga horizontais </w:t>
      </w:r>
    </w:p>
    <w:p w14:paraId="71A07AA0" w14:textId="77777777" w:rsidR="00694919" w:rsidRPr="00872D42" w:rsidRDefault="00694919" w:rsidP="00694919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872D42">
        <w:rPr>
          <w:b/>
          <w:bCs/>
          <w:color w:val="000000"/>
          <w:sz w:val="20"/>
          <w:szCs w:val="20"/>
        </w:rPr>
        <w:t xml:space="preserve">13 </w:t>
      </w:r>
      <w:r w:rsidRPr="00872D42">
        <w:rPr>
          <w:color w:val="000000"/>
          <w:sz w:val="20"/>
          <w:szCs w:val="20"/>
        </w:rPr>
        <w:t>Subsolos</w:t>
      </w:r>
    </w:p>
    <w:p w14:paraId="348D3C38" w14:textId="77777777" w:rsidR="00787EA2" w:rsidRDefault="00787EA2" w:rsidP="00DE7FD8">
      <w:pPr>
        <w:pStyle w:val="Paragrafo"/>
        <w:sectPr w:rsidR="00787EA2" w:rsidSect="00694919">
          <w:type w:val="continuous"/>
          <w:pgSz w:w="11906" w:h="16838" w:code="9"/>
          <w:pgMar w:top="1134" w:right="1134" w:bottom="1134" w:left="1134" w:header="709" w:footer="709" w:gutter="0"/>
          <w:cols w:space="567"/>
          <w:docGrid w:linePitch="360"/>
        </w:sectPr>
      </w:pPr>
    </w:p>
    <w:p w14:paraId="294BFFFF" w14:textId="77777777" w:rsidR="00694919" w:rsidRPr="004E0423" w:rsidRDefault="00694919" w:rsidP="004E0423">
      <w:pPr>
        <w:pStyle w:val="ITTTULO1"/>
      </w:pPr>
      <w:r w:rsidRPr="004E0423">
        <w:lastRenderedPageBreak/>
        <w:t>ROTAS DE FUGA HORIZONTAIS</w:t>
      </w:r>
    </w:p>
    <w:p w14:paraId="63A89055" w14:textId="77777777" w:rsidR="00694919" w:rsidRPr="00872D42" w:rsidRDefault="00694919" w:rsidP="00694919">
      <w:pPr>
        <w:pStyle w:val="Paragrafo"/>
        <w:rPr>
          <w:sz w:val="20"/>
          <w:szCs w:val="20"/>
        </w:rPr>
      </w:pPr>
      <w:r w:rsidRPr="00872D42">
        <w:rPr>
          <w:sz w:val="20"/>
          <w:szCs w:val="20"/>
        </w:rPr>
        <w:t>Aplicam-se estas regras quando se tratar de rotas de fugas horizontais protegidas (compartimentadas com paredes e portas corta-fogo).</w:t>
      </w:r>
    </w:p>
    <w:p w14:paraId="54B5FDA5" w14:textId="77777777" w:rsidR="00694919" w:rsidRPr="00872D42" w:rsidRDefault="00694919" w:rsidP="004E0423">
      <w:pPr>
        <w:pStyle w:val="ITTEXTO2"/>
      </w:pPr>
      <w:r w:rsidRPr="00872D42">
        <w:t>O controle de fumaça pode ser realizado por qualquer um dos seguintes métodos:</w:t>
      </w:r>
    </w:p>
    <w:p w14:paraId="64D08AF1" w14:textId="77777777" w:rsidR="0088608E" w:rsidRDefault="00694919" w:rsidP="004E0423">
      <w:pPr>
        <w:pStyle w:val="ITTTULO3"/>
      </w:pPr>
      <w:r w:rsidRPr="00872D42">
        <w:t>Extração natural</w:t>
      </w:r>
      <w:r w:rsidR="002B77AE">
        <w:t xml:space="preserve">    </w:t>
      </w:r>
    </w:p>
    <w:p w14:paraId="2F6F1DE3" w14:textId="77777777" w:rsidR="002B77AE" w:rsidRPr="00346655" w:rsidRDefault="004E0423" w:rsidP="00694919">
      <w:pPr>
        <w:autoSpaceDE w:val="0"/>
        <w:autoSpaceDN w:val="0"/>
        <w:adjustRightInd w:val="0"/>
        <w:spacing w:before="0" w:after="0"/>
        <w:jc w:val="center"/>
        <w:rPr>
          <w:sz w:val="20"/>
          <w:szCs w:val="20"/>
        </w:rPr>
      </w:pPr>
      <w:r w:rsidRPr="00346655">
        <w:rPr>
          <w:sz w:val="20"/>
          <w:szCs w:val="20"/>
        </w:rPr>
        <w:pict w14:anchorId="3D396ACA">
          <v:shape id="_x0000_i1026" type="#_x0000_t75" style="width:232.5pt;height:138pt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4DA5B3D" w14:textId="77777777" w:rsidR="004E0423" w:rsidRDefault="004E0423" w:rsidP="00694919">
      <w:pPr>
        <w:autoSpaceDE w:val="0"/>
        <w:autoSpaceDN w:val="0"/>
        <w:adjustRightInd w:val="0"/>
        <w:spacing w:before="0" w:after="0"/>
        <w:jc w:val="center"/>
        <w:rPr>
          <w:b/>
          <w:bCs/>
          <w:color w:val="000000"/>
          <w:sz w:val="20"/>
          <w:szCs w:val="20"/>
        </w:rPr>
      </w:pPr>
    </w:p>
    <w:p w14:paraId="57EB21D4" w14:textId="77777777" w:rsidR="00694919" w:rsidRPr="00872D42" w:rsidRDefault="00694919" w:rsidP="00694919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872D42">
        <w:rPr>
          <w:b/>
          <w:bCs/>
          <w:color w:val="000000"/>
          <w:sz w:val="20"/>
          <w:szCs w:val="20"/>
        </w:rPr>
        <w:t>Figura 1</w:t>
      </w:r>
      <w:r w:rsidR="005C45B8" w:rsidRPr="00872D42">
        <w:rPr>
          <w:b/>
          <w:bCs/>
          <w:color w:val="000000"/>
          <w:sz w:val="20"/>
          <w:szCs w:val="20"/>
        </w:rPr>
        <w:t>8</w:t>
      </w:r>
      <w:r w:rsidRPr="00872D42">
        <w:rPr>
          <w:b/>
          <w:bCs/>
          <w:color w:val="000000"/>
          <w:sz w:val="20"/>
          <w:szCs w:val="20"/>
        </w:rPr>
        <w:t xml:space="preserve">: </w:t>
      </w:r>
      <w:r w:rsidRPr="00872D42">
        <w:rPr>
          <w:color w:val="000000"/>
          <w:sz w:val="20"/>
          <w:szCs w:val="20"/>
        </w:rPr>
        <w:t>Extração natural</w:t>
      </w:r>
    </w:p>
    <w:p w14:paraId="727DA6B7" w14:textId="77777777" w:rsidR="00694919" w:rsidRPr="00872D42" w:rsidRDefault="00694919" w:rsidP="004E0423">
      <w:pPr>
        <w:pStyle w:val="ITTTULO3"/>
      </w:pPr>
      <w:r w:rsidRPr="00872D42">
        <w:t>Extração mecânica</w:t>
      </w:r>
    </w:p>
    <w:p w14:paraId="5971BF7A" w14:textId="77777777" w:rsidR="004E0423" w:rsidRDefault="004E0423" w:rsidP="00EB266C">
      <w:pPr>
        <w:autoSpaceDE w:val="0"/>
        <w:autoSpaceDN w:val="0"/>
        <w:adjustRightInd w:val="0"/>
        <w:spacing w:before="0" w:after="0"/>
        <w:jc w:val="center"/>
        <w:rPr>
          <w:b/>
          <w:bCs/>
          <w:color w:val="000000"/>
          <w:sz w:val="20"/>
          <w:szCs w:val="20"/>
        </w:rPr>
      </w:pPr>
    </w:p>
    <w:p w14:paraId="7BCB950A" w14:textId="77777777" w:rsidR="004E0423" w:rsidRDefault="004E0423" w:rsidP="00EB266C">
      <w:pPr>
        <w:autoSpaceDE w:val="0"/>
        <w:autoSpaceDN w:val="0"/>
        <w:adjustRightInd w:val="0"/>
        <w:spacing w:before="0" w:after="0"/>
        <w:jc w:val="center"/>
        <w:rPr>
          <w:b/>
          <w:bCs/>
          <w:color w:val="000000"/>
          <w:sz w:val="20"/>
          <w:szCs w:val="20"/>
        </w:rPr>
      </w:pPr>
      <w:r w:rsidRPr="00872D42">
        <w:rPr>
          <w:rFonts w:ascii="Arial" w:hAnsi="Arial" w:cs="Arial"/>
          <w:color w:val="000000"/>
          <w:sz w:val="20"/>
          <w:szCs w:val="20"/>
        </w:rPr>
        <w:pict w14:anchorId="5EC28965">
          <v:shape id="_x0000_i1027" type="#_x0000_t75" style="width:206.25pt;height:160.5pt" o:bordertopcolor="this" o:borderleftcolor="this" o:borderbottomcolor="this" o:borderrightcolor="this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C21AC26" w14:textId="77777777" w:rsidR="00694919" w:rsidRPr="00872D42" w:rsidRDefault="005C45B8" w:rsidP="00EB266C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872D42">
        <w:rPr>
          <w:b/>
          <w:bCs/>
          <w:color w:val="000000"/>
          <w:sz w:val="20"/>
          <w:szCs w:val="20"/>
        </w:rPr>
        <w:t>Figura 19</w:t>
      </w:r>
      <w:r w:rsidR="00694919" w:rsidRPr="00872D42">
        <w:rPr>
          <w:b/>
          <w:bCs/>
          <w:color w:val="000000"/>
          <w:sz w:val="20"/>
          <w:szCs w:val="20"/>
        </w:rPr>
        <w:t xml:space="preserve">: </w:t>
      </w:r>
      <w:r w:rsidR="00694919" w:rsidRPr="00872D42">
        <w:rPr>
          <w:color w:val="000000"/>
          <w:sz w:val="20"/>
          <w:szCs w:val="20"/>
        </w:rPr>
        <w:t>Extração mecânica</w:t>
      </w:r>
    </w:p>
    <w:p w14:paraId="42D61009" w14:textId="77777777" w:rsidR="00EB266C" w:rsidRPr="00872D42" w:rsidRDefault="00EB266C" w:rsidP="00EB266C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</w:p>
    <w:p w14:paraId="29320821" w14:textId="77777777" w:rsidR="00694919" w:rsidRPr="00872D42" w:rsidRDefault="00694919" w:rsidP="004E0423">
      <w:pPr>
        <w:pStyle w:val="ITTTULO3"/>
      </w:pPr>
      <w:r w:rsidRPr="00872D42">
        <w:t>Sobrepressão relativamente ao local sinistrado</w:t>
      </w:r>
    </w:p>
    <w:p w14:paraId="7F6EB22D" w14:textId="77777777" w:rsidR="00694919" w:rsidRPr="00872D42" w:rsidRDefault="004E0423" w:rsidP="004E0423">
      <w:pPr>
        <w:autoSpaceDE w:val="0"/>
        <w:autoSpaceDN w:val="0"/>
        <w:adjustRightInd w:val="0"/>
        <w:spacing w:before="0" w:after="0"/>
        <w:jc w:val="center"/>
        <w:rPr>
          <w:rFonts w:ascii="Arial" w:hAnsi="Arial" w:cs="Arial"/>
          <w:color w:val="000000"/>
          <w:sz w:val="20"/>
          <w:szCs w:val="20"/>
        </w:rPr>
      </w:pPr>
      <w:r w:rsidRPr="00872D42">
        <w:rPr>
          <w:rFonts w:ascii="Arial" w:hAnsi="Arial" w:cs="Arial"/>
          <w:color w:val="000000"/>
          <w:sz w:val="20"/>
          <w:szCs w:val="20"/>
        </w:rPr>
        <w:pict w14:anchorId="681DC281">
          <v:shape id="_x0000_i1028" type="#_x0000_t75" style="width:240.75pt;height:165.75pt" o:bordertopcolor="this" o:borderleftcolor="this" o:borderbottomcolor="this" o:borderrightcolor="this">
            <v:imagedata r:id="rId14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4B66088" w14:textId="77777777" w:rsidR="00694919" w:rsidRPr="00872D42" w:rsidRDefault="00694919" w:rsidP="00EB266C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872D42">
        <w:rPr>
          <w:b/>
          <w:color w:val="000000"/>
          <w:sz w:val="20"/>
          <w:szCs w:val="20"/>
        </w:rPr>
        <w:t>Figura 2</w:t>
      </w:r>
      <w:r w:rsidR="005C45B8" w:rsidRPr="00872D42">
        <w:rPr>
          <w:b/>
          <w:color w:val="000000"/>
          <w:sz w:val="20"/>
          <w:szCs w:val="20"/>
        </w:rPr>
        <w:t>0</w:t>
      </w:r>
      <w:r w:rsidRPr="00872D42">
        <w:rPr>
          <w:b/>
          <w:color w:val="000000"/>
          <w:sz w:val="20"/>
          <w:szCs w:val="20"/>
        </w:rPr>
        <w:t>:</w:t>
      </w:r>
      <w:r w:rsidRPr="00872D42">
        <w:rPr>
          <w:color w:val="000000"/>
          <w:sz w:val="20"/>
          <w:szCs w:val="20"/>
        </w:rPr>
        <w:t xml:space="preserve"> Controle por sobrepressão</w:t>
      </w:r>
    </w:p>
    <w:p w14:paraId="73A228BB" w14:textId="77777777" w:rsidR="00EB266C" w:rsidRPr="00872D42" w:rsidRDefault="00EB266C" w:rsidP="00EB266C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</w:p>
    <w:p w14:paraId="2F017A48" w14:textId="77777777" w:rsidR="00EB266C" w:rsidRPr="00872D42" w:rsidRDefault="00694919" w:rsidP="004E0423">
      <w:pPr>
        <w:pStyle w:val="ITTTULO3"/>
      </w:pPr>
      <w:r w:rsidRPr="00872D42">
        <w:lastRenderedPageBreak/>
        <w:t xml:space="preserve">Extração natural </w:t>
      </w:r>
    </w:p>
    <w:p w14:paraId="66BCE8CE" w14:textId="77777777" w:rsidR="00694919" w:rsidRPr="00872D42" w:rsidRDefault="00694919" w:rsidP="00FE5E2C">
      <w:pPr>
        <w:pStyle w:val="ITTEXTO4"/>
      </w:pPr>
      <w:r w:rsidRPr="00872D42">
        <w:t>Nas instalações de extração natural as aberturas para introdução de ar e extração de fumaça devem ser alternadamente distribuídas, tendo em conta a situação dos locais de risco (Figura 2</w:t>
      </w:r>
      <w:r w:rsidR="005C45B8" w:rsidRPr="00872D42">
        <w:t>1</w:t>
      </w:r>
      <w:r w:rsidRPr="00872D42">
        <w:t>).</w:t>
      </w:r>
    </w:p>
    <w:p w14:paraId="783C2011" w14:textId="77777777" w:rsidR="00694919" w:rsidRPr="00872D42" w:rsidRDefault="004E0423" w:rsidP="004E0423">
      <w:pPr>
        <w:autoSpaceDE w:val="0"/>
        <w:autoSpaceDN w:val="0"/>
        <w:adjustRightInd w:val="0"/>
        <w:spacing w:before="0" w:after="0"/>
        <w:jc w:val="center"/>
        <w:rPr>
          <w:rFonts w:ascii="Arial" w:hAnsi="Arial" w:cs="Arial"/>
          <w:color w:val="000000"/>
          <w:sz w:val="20"/>
          <w:szCs w:val="20"/>
        </w:rPr>
      </w:pPr>
      <w:r w:rsidRPr="00346655">
        <w:rPr>
          <w:rFonts w:ascii="Arial" w:hAnsi="Arial"/>
          <w:color w:val="000000"/>
          <w:sz w:val="20"/>
          <w:szCs w:val="20"/>
        </w:rPr>
        <w:pict w14:anchorId="58BBAE65">
          <v:shape id="_x0000_i1029" type="#_x0000_t75" style="width:231.75pt;height:171pt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5A72855" w14:textId="77777777" w:rsidR="00694919" w:rsidRPr="00872D42" w:rsidRDefault="00694919" w:rsidP="00EB266C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872D42">
        <w:rPr>
          <w:b/>
          <w:bCs/>
          <w:color w:val="000000"/>
          <w:sz w:val="20"/>
          <w:szCs w:val="20"/>
        </w:rPr>
        <w:t>Figura 2</w:t>
      </w:r>
      <w:r w:rsidR="005C45B8" w:rsidRPr="00872D42">
        <w:rPr>
          <w:b/>
          <w:bCs/>
          <w:color w:val="000000"/>
          <w:sz w:val="20"/>
          <w:szCs w:val="20"/>
        </w:rPr>
        <w:t>1</w:t>
      </w:r>
      <w:r w:rsidRPr="00872D42">
        <w:rPr>
          <w:b/>
          <w:bCs/>
          <w:color w:val="000000"/>
          <w:sz w:val="20"/>
          <w:szCs w:val="20"/>
        </w:rPr>
        <w:t xml:space="preserve">: </w:t>
      </w:r>
      <w:r w:rsidRPr="00872D42">
        <w:rPr>
          <w:color w:val="000000"/>
          <w:sz w:val="20"/>
          <w:szCs w:val="20"/>
        </w:rPr>
        <w:t>Posição de aberturas de extração e introdução de ar</w:t>
      </w:r>
    </w:p>
    <w:p w14:paraId="68C31DF7" w14:textId="77777777" w:rsidR="00EB266C" w:rsidRPr="00872D42" w:rsidRDefault="00EB266C" w:rsidP="00EB266C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</w:p>
    <w:p w14:paraId="20618BD0" w14:textId="77777777" w:rsidR="00694919" w:rsidRPr="00872D42" w:rsidRDefault="00694919" w:rsidP="00FE5E2C">
      <w:pPr>
        <w:pStyle w:val="ITTEXTO4"/>
      </w:pPr>
      <w:r w:rsidRPr="00872D42">
        <w:t xml:space="preserve">A distância máxima, medida segundo o eixo da circulação, entre duas aberturas consecutivas de introdução e extração deve ser de: </w:t>
      </w:r>
    </w:p>
    <w:p w14:paraId="593D606F" w14:textId="77777777" w:rsidR="00694919" w:rsidRPr="00872D42" w:rsidRDefault="00694919" w:rsidP="00EB266C">
      <w:pPr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872D42">
        <w:rPr>
          <w:color w:val="000000"/>
          <w:sz w:val="20"/>
          <w:szCs w:val="20"/>
        </w:rPr>
        <w:t>10 m nos percursos em linha reta</w:t>
      </w:r>
    </w:p>
    <w:p w14:paraId="22A9732B" w14:textId="77777777" w:rsidR="004E0423" w:rsidRDefault="005C45B8" w:rsidP="005C45B8">
      <w:pPr>
        <w:tabs>
          <w:tab w:val="left" w:pos="2850"/>
        </w:tabs>
        <w:autoSpaceDE w:val="0"/>
        <w:autoSpaceDN w:val="0"/>
        <w:adjustRightInd w:val="0"/>
        <w:spacing w:before="0" w:after="0"/>
        <w:ind w:left="720"/>
        <w:rPr>
          <w:color w:val="000000"/>
          <w:sz w:val="20"/>
          <w:szCs w:val="20"/>
        </w:rPr>
      </w:pPr>
      <w:r w:rsidRPr="00872D42">
        <w:rPr>
          <w:color w:val="000000"/>
          <w:sz w:val="20"/>
          <w:szCs w:val="20"/>
        </w:rPr>
        <w:tab/>
      </w:r>
    </w:p>
    <w:p w14:paraId="59B4013A" w14:textId="77777777" w:rsidR="004E0423" w:rsidRDefault="004E0423" w:rsidP="005C45B8">
      <w:pPr>
        <w:tabs>
          <w:tab w:val="left" w:pos="2850"/>
        </w:tabs>
        <w:autoSpaceDE w:val="0"/>
        <w:autoSpaceDN w:val="0"/>
        <w:adjustRightInd w:val="0"/>
        <w:spacing w:before="0" w:after="0"/>
        <w:ind w:left="720"/>
        <w:rPr>
          <w:color w:val="000000"/>
          <w:sz w:val="20"/>
          <w:szCs w:val="20"/>
        </w:rPr>
      </w:pPr>
    </w:p>
    <w:p w14:paraId="699FE848" w14:textId="77777777" w:rsidR="004E0423" w:rsidRDefault="004E0423" w:rsidP="004E0423">
      <w:pPr>
        <w:tabs>
          <w:tab w:val="left" w:pos="2850"/>
        </w:tabs>
        <w:autoSpaceDE w:val="0"/>
        <w:autoSpaceDN w:val="0"/>
        <w:adjustRightInd w:val="0"/>
        <w:spacing w:before="0" w:after="0"/>
        <w:ind w:left="720"/>
        <w:jc w:val="center"/>
        <w:rPr>
          <w:color w:val="000000"/>
          <w:sz w:val="20"/>
          <w:szCs w:val="20"/>
        </w:rPr>
      </w:pPr>
      <w:r w:rsidRPr="00872D42">
        <w:rPr>
          <w:rFonts w:ascii="Arial" w:hAnsi="Arial" w:cs="Arial"/>
          <w:color w:val="000000"/>
          <w:sz w:val="20"/>
          <w:szCs w:val="20"/>
        </w:rPr>
        <w:pict w14:anchorId="331E493C">
          <v:shape id="_x0000_i1030" type="#_x0000_t75" style="width:311.25pt;height:141.75pt" o:bordertopcolor="this" o:borderleftcolor="this" o:borderbottomcolor="this" o:borderrightcolor="this">
            <v:imagedata r:id="rId16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69F06AC" w14:textId="77777777" w:rsidR="00EB266C" w:rsidRPr="00872D42" w:rsidRDefault="005C45B8" w:rsidP="004E0423">
      <w:pPr>
        <w:tabs>
          <w:tab w:val="left" w:pos="2850"/>
        </w:tabs>
        <w:autoSpaceDE w:val="0"/>
        <w:autoSpaceDN w:val="0"/>
        <w:adjustRightInd w:val="0"/>
        <w:spacing w:before="0" w:after="0"/>
        <w:ind w:left="720"/>
        <w:jc w:val="center"/>
        <w:rPr>
          <w:color w:val="000000"/>
          <w:sz w:val="20"/>
          <w:szCs w:val="20"/>
        </w:rPr>
      </w:pPr>
      <w:r w:rsidRPr="00872D42">
        <w:rPr>
          <w:b/>
          <w:bCs/>
          <w:sz w:val="20"/>
          <w:szCs w:val="20"/>
        </w:rPr>
        <w:t xml:space="preserve">Figura 22: </w:t>
      </w:r>
      <w:r w:rsidRPr="00872D42">
        <w:rPr>
          <w:sz w:val="20"/>
          <w:szCs w:val="20"/>
        </w:rPr>
        <w:t>Distância em linha reta de aberturas de extração</w:t>
      </w:r>
    </w:p>
    <w:p w14:paraId="0DCFB946" w14:textId="77777777" w:rsidR="00694919" w:rsidRPr="00872D42" w:rsidRDefault="00694919" w:rsidP="00694919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sz w:val="20"/>
          <w:szCs w:val="20"/>
        </w:rPr>
      </w:pPr>
    </w:p>
    <w:p w14:paraId="75035C29" w14:textId="77777777" w:rsidR="00694919" w:rsidRPr="00872D42" w:rsidRDefault="00694919" w:rsidP="004E0423">
      <w:pPr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sz w:val="20"/>
          <w:szCs w:val="20"/>
        </w:rPr>
      </w:pPr>
      <w:r w:rsidRPr="00872D42">
        <w:rPr>
          <w:sz w:val="20"/>
          <w:szCs w:val="20"/>
        </w:rPr>
        <w:t>7 m nos outros percursos</w:t>
      </w:r>
    </w:p>
    <w:p w14:paraId="1CF397C5" w14:textId="77777777" w:rsidR="00EB266C" w:rsidRPr="00872D42" w:rsidRDefault="00EB266C" w:rsidP="00EB266C">
      <w:pPr>
        <w:autoSpaceDE w:val="0"/>
        <w:autoSpaceDN w:val="0"/>
        <w:adjustRightInd w:val="0"/>
        <w:spacing w:before="0" w:after="0"/>
        <w:ind w:left="720"/>
        <w:rPr>
          <w:sz w:val="20"/>
          <w:szCs w:val="20"/>
        </w:rPr>
      </w:pPr>
    </w:p>
    <w:p w14:paraId="4812123E" w14:textId="77777777" w:rsidR="00EB266C" w:rsidRPr="00872D42" w:rsidRDefault="004E0423" w:rsidP="004E0423">
      <w:pPr>
        <w:autoSpaceDE w:val="0"/>
        <w:autoSpaceDN w:val="0"/>
        <w:adjustRightInd w:val="0"/>
        <w:spacing w:before="0" w:after="0"/>
        <w:ind w:left="720"/>
        <w:jc w:val="center"/>
        <w:rPr>
          <w:sz w:val="20"/>
          <w:szCs w:val="20"/>
        </w:rPr>
      </w:pPr>
      <w:r w:rsidRPr="00872D42">
        <w:rPr>
          <w:rFonts w:ascii="Arial" w:hAnsi="Arial" w:cs="Arial"/>
          <w:color w:val="000000"/>
          <w:sz w:val="20"/>
          <w:szCs w:val="20"/>
        </w:rPr>
        <w:pict w14:anchorId="2BEC55E5">
          <v:shape id="_x0000_i1031" type="#_x0000_t75" style="width:255pt;height:154.5pt" o:bordertopcolor="this" o:borderleftcolor="this" o:borderbottomcolor="this" o:borderrightcolor="this">
            <v:imagedata r:id="rId17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852BEC5" w14:textId="77777777" w:rsidR="00694919" w:rsidRPr="00872D42" w:rsidRDefault="00694919" w:rsidP="00EB266C">
      <w:pPr>
        <w:autoSpaceDE w:val="0"/>
        <w:autoSpaceDN w:val="0"/>
        <w:adjustRightInd w:val="0"/>
        <w:spacing w:before="0" w:after="0"/>
        <w:jc w:val="center"/>
        <w:rPr>
          <w:sz w:val="20"/>
          <w:szCs w:val="20"/>
        </w:rPr>
      </w:pPr>
      <w:r w:rsidRPr="00872D42">
        <w:rPr>
          <w:b/>
          <w:bCs/>
          <w:sz w:val="20"/>
          <w:szCs w:val="20"/>
        </w:rPr>
        <w:t>Figura 2</w:t>
      </w:r>
      <w:r w:rsidR="005C45B8" w:rsidRPr="00872D42">
        <w:rPr>
          <w:b/>
          <w:bCs/>
          <w:sz w:val="20"/>
          <w:szCs w:val="20"/>
        </w:rPr>
        <w:t>3</w:t>
      </w:r>
      <w:r w:rsidRPr="00872D42">
        <w:rPr>
          <w:b/>
          <w:bCs/>
          <w:sz w:val="20"/>
          <w:szCs w:val="20"/>
        </w:rPr>
        <w:t xml:space="preserve">: </w:t>
      </w:r>
      <w:r w:rsidRPr="00872D42">
        <w:rPr>
          <w:sz w:val="20"/>
          <w:szCs w:val="20"/>
        </w:rPr>
        <w:t>Distância de extração de aberturas em trajeto diverso</w:t>
      </w:r>
    </w:p>
    <w:p w14:paraId="196D7B23" w14:textId="77777777" w:rsidR="00EB266C" w:rsidRPr="00872D42" w:rsidRDefault="00EB266C" w:rsidP="00EB266C">
      <w:pPr>
        <w:autoSpaceDE w:val="0"/>
        <w:autoSpaceDN w:val="0"/>
        <w:adjustRightInd w:val="0"/>
        <w:spacing w:before="0" w:after="0"/>
        <w:jc w:val="center"/>
        <w:rPr>
          <w:sz w:val="20"/>
          <w:szCs w:val="20"/>
        </w:rPr>
      </w:pPr>
    </w:p>
    <w:p w14:paraId="1819B307" w14:textId="77777777" w:rsidR="00694919" w:rsidRPr="00872D42" w:rsidRDefault="00694919" w:rsidP="00FE5E2C">
      <w:pPr>
        <w:pStyle w:val="ITTEXTO4"/>
      </w:pPr>
      <w:r w:rsidRPr="00872D42">
        <w:lastRenderedPageBreak/>
        <w:t>As aberturas para introdução de ar não devem ser em número inferior às destinadas à extração de fumaça.</w:t>
      </w:r>
    </w:p>
    <w:p w14:paraId="2CF5C7B2" w14:textId="77777777" w:rsidR="00694919" w:rsidRPr="00872D42" w:rsidRDefault="00694919" w:rsidP="00FE5E2C">
      <w:pPr>
        <w:pStyle w:val="ITTEXTO4"/>
      </w:pPr>
      <w:r w:rsidRPr="00872D42">
        <w:t>Toda porta de acesso ao local deve distar no máximo 5 m das aberturas de introdução de ar (Figura 25).</w:t>
      </w:r>
    </w:p>
    <w:p w14:paraId="6BFABB52" w14:textId="77777777" w:rsidR="00694919" w:rsidRPr="00872D42" w:rsidRDefault="00337673" w:rsidP="00337673">
      <w:pPr>
        <w:autoSpaceDE w:val="0"/>
        <w:autoSpaceDN w:val="0"/>
        <w:adjustRightInd w:val="0"/>
        <w:spacing w:before="0" w:after="0"/>
        <w:jc w:val="center"/>
        <w:rPr>
          <w:rFonts w:ascii="Arial" w:hAnsi="Arial" w:cs="Arial"/>
          <w:color w:val="000000"/>
          <w:sz w:val="20"/>
          <w:szCs w:val="20"/>
        </w:rPr>
      </w:pPr>
      <w:r w:rsidRPr="00346655">
        <w:rPr>
          <w:rFonts w:ascii="Arial" w:hAnsi="Arial"/>
          <w:color w:val="000000"/>
          <w:sz w:val="20"/>
          <w:szCs w:val="20"/>
        </w:rPr>
        <w:pict w14:anchorId="24A7F687">
          <v:shape id="_x0000_i1032" type="#_x0000_t75" style="width:235.5pt;height:188.25pt" o:bordertopcolor="this" o:borderleftcolor="this" o:borderbottomcolor="this" o:borderrightcolor="this">
            <v:imagedata r:id="rId18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CF139D2" w14:textId="77777777" w:rsidR="00694919" w:rsidRPr="00872D42" w:rsidRDefault="00694919" w:rsidP="00EB266C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872D42">
        <w:rPr>
          <w:b/>
          <w:bCs/>
          <w:color w:val="000000"/>
          <w:sz w:val="20"/>
          <w:szCs w:val="20"/>
        </w:rPr>
        <w:t>Figura 2</w:t>
      </w:r>
      <w:r w:rsidR="005C45B8" w:rsidRPr="00872D42">
        <w:rPr>
          <w:b/>
          <w:bCs/>
          <w:color w:val="000000"/>
          <w:sz w:val="20"/>
          <w:szCs w:val="20"/>
        </w:rPr>
        <w:t>4</w:t>
      </w:r>
      <w:r w:rsidRPr="00872D42">
        <w:rPr>
          <w:b/>
          <w:bCs/>
          <w:color w:val="000000"/>
          <w:sz w:val="20"/>
          <w:szCs w:val="20"/>
        </w:rPr>
        <w:t xml:space="preserve">: </w:t>
      </w:r>
      <w:r w:rsidRPr="00872D42">
        <w:rPr>
          <w:color w:val="000000"/>
          <w:sz w:val="20"/>
          <w:szCs w:val="20"/>
        </w:rPr>
        <w:t>Distância de introdução de ar de portas de acesso</w:t>
      </w:r>
    </w:p>
    <w:p w14:paraId="1D43D8AD" w14:textId="77777777" w:rsidR="00EB266C" w:rsidRPr="00872D42" w:rsidRDefault="00EB266C" w:rsidP="00EB266C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</w:p>
    <w:p w14:paraId="4EDC1ED7" w14:textId="77777777" w:rsidR="00694919" w:rsidRPr="00872D42" w:rsidRDefault="00EB266C" w:rsidP="00FE5E2C">
      <w:pPr>
        <w:pStyle w:val="ITTEXTO4"/>
      </w:pPr>
      <w:r w:rsidRPr="00872D42">
        <w:t xml:space="preserve"> </w:t>
      </w:r>
      <w:r w:rsidR="00694919" w:rsidRPr="00872D42">
        <w:t xml:space="preserve">As aberturas de introdução de ar e extração de fumaça devem ter a área livre mínima de 0,10 m² por unidade de passagem da rota de fuga onde se encontram instaladas. </w:t>
      </w:r>
    </w:p>
    <w:p w14:paraId="6D980E92" w14:textId="77777777" w:rsidR="00694919" w:rsidRPr="00872D42" w:rsidRDefault="00694919" w:rsidP="00895B90">
      <w:pPr>
        <w:pStyle w:val="ITTEXTO5"/>
      </w:pPr>
      <w:r w:rsidRPr="00872D42">
        <w:t xml:space="preserve">As aberturas devem ser posicionadas em paredes externas, sem a utilização de dutos. </w:t>
      </w:r>
    </w:p>
    <w:p w14:paraId="7D73E987" w14:textId="77777777" w:rsidR="00694919" w:rsidRPr="00872D42" w:rsidRDefault="00EB266C" w:rsidP="00FE5E2C">
      <w:pPr>
        <w:pStyle w:val="ITTEXTO4"/>
      </w:pPr>
      <w:r w:rsidRPr="00872D42">
        <w:t xml:space="preserve"> </w:t>
      </w:r>
      <w:r w:rsidR="00694919" w:rsidRPr="00872D42">
        <w:t xml:space="preserve">Deve ser consultada a IT 11 – Saídas de emergência, para definição da unidade de passagem. Para rotas de fuga com largura variável, deve ser adotada a largura média entre 2 pontos consecutivos de extração de fumaça e introdução de ar. </w:t>
      </w:r>
    </w:p>
    <w:p w14:paraId="62D2CEDC" w14:textId="77777777" w:rsidR="00694919" w:rsidRPr="00872D42" w:rsidRDefault="00EB266C" w:rsidP="00FE5E2C">
      <w:pPr>
        <w:pStyle w:val="ITTEXTO4"/>
      </w:pPr>
      <w:r w:rsidRPr="00872D42">
        <w:t xml:space="preserve"> </w:t>
      </w:r>
      <w:r w:rsidR="00694919" w:rsidRPr="00872D42">
        <w:t xml:space="preserve">A abertura para extração de fumaça deve ter a sua parte mais baixa no mínimo a 1,8 m do piso do pavimento, e serem situadas no terço superior da altura de referência. </w:t>
      </w:r>
    </w:p>
    <w:p w14:paraId="4C56C0A3" w14:textId="77777777" w:rsidR="00694919" w:rsidRPr="00872D42" w:rsidRDefault="00EB266C" w:rsidP="00FE5E2C">
      <w:pPr>
        <w:pStyle w:val="ITTEXTO4"/>
      </w:pPr>
      <w:r w:rsidRPr="00872D42">
        <w:t xml:space="preserve"> </w:t>
      </w:r>
      <w:r w:rsidR="00694919" w:rsidRPr="00872D42">
        <w:t xml:space="preserve">A abertura para introdução de ar deve ter a sua parte mais alta a menos de 1 m do piso do pavimento. </w:t>
      </w:r>
    </w:p>
    <w:p w14:paraId="37290A94" w14:textId="77777777" w:rsidR="00694919" w:rsidRPr="00872D42" w:rsidRDefault="00EB266C" w:rsidP="00FE5E2C">
      <w:pPr>
        <w:pStyle w:val="ITTEXTO4"/>
      </w:pPr>
      <w:r w:rsidRPr="00872D42">
        <w:t xml:space="preserve"> </w:t>
      </w:r>
      <w:r w:rsidR="00694919" w:rsidRPr="00872D42">
        <w:t xml:space="preserve">As aberturas existentes nas fachadas podem ser equiparadas as aberturas de introdução de ar e extração de fumaça simultaneamente, desde que: </w:t>
      </w:r>
    </w:p>
    <w:p w14:paraId="3C878FAE" w14:textId="77777777" w:rsidR="00694919" w:rsidRPr="00872D42" w:rsidRDefault="00694919" w:rsidP="00EB266C">
      <w:pPr>
        <w:numPr>
          <w:ilvl w:val="0"/>
          <w:numId w:val="18"/>
        </w:num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872D42">
        <w:rPr>
          <w:color w:val="000000"/>
          <w:sz w:val="20"/>
          <w:szCs w:val="20"/>
        </w:rPr>
        <w:t xml:space="preserve">a área livre considerada para extração de fumaça se situe na metade superior do vão e atenda ao contido no item 12.1.4.7; </w:t>
      </w:r>
    </w:p>
    <w:p w14:paraId="379FDDBA" w14:textId="77777777" w:rsidR="00694919" w:rsidRPr="00872D42" w:rsidRDefault="00694919" w:rsidP="00EB266C">
      <w:pPr>
        <w:numPr>
          <w:ilvl w:val="0"/>
          <w:numId w:val="18"/>
        </w:num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872D42">
        <w:rPr>
          <w:color w:val="000000"/>
          <w:sz w:val="20"/>
          <w:szCs w:val="20"/>
        </w:rPr>
        <w:t xml:space="preserve">área livre considerada para introdução de ar se situe na metade inferior da abertura e atenda ao item 12.1.4.8. </w:t>
      </w:r>
    </w:p>
    <w:p w14:paraId="0B0A0868" w14:textId="77777777" w:rsidR="00694919" w:rsidRPr="00872D42" w:rsidRDefault="005C45B8" w:rsidP="00337673">
      <w:pPr>
        <w:pStyle w:val="ITTTULO3"/>
      </w:pPr>
      <w:r w:rsidRPr="001C60A9">
        <w:rPr>
          <w:lang w:val="pt-BR"/>
        </w:rPr>
        <w:t xml:space="preserve"> </w:t>
      </w:r>
      <w:r w:rsidR="00694919" w:rsidRPr="00872D42">
        <w:t xml:space="preserve">Extração mecânica </w:t>
      </w:r>
    </w:p>
    <w:p w14:paraId="1AF13D79" w14:textId="77777777" w:rsidR="00694919" w:rsidRPr="00872D42" w:rsidRDefault="005C45B8" w:rsidP="00FE5E2C">
      <w:pPr>
        <w:pStyle w:val="ITTEXTO4"/>
      </w:pPr>
      <w:r w:rsidRPr="00872D42">
        <w:t xml:space="preserve"> </w:t>
      </w:r>
      <w:r w:rsidR="00694919" w:rsidRPr="00872D42">
        <w:t xml:space="preserve">Para o sistema de extração mecânica adota-se o contido em 12.1.4 e os subitens 12.1.4.1, 12.1.4.4, 12.1.4.7 e 12.1.4.8. </w:t>
      </w:r>
    </w:p>
    <w:p w14:paraId="33D00D92" w14:textId="77777777" w:rsidR="00694919" w:rsidRPr="00872D42" w:rsidRDefault="005C45B8" w:rsidP="00FE5E2C">
      <w:pPr>
        <w:pStyle w:val="ITTEXTO4"/>
      </w:pPr>
      <w:r w:rsidRPr="00872D42">
        <w:t xml:space="preserve"> </w:t>
      </w:r>
      <w:r w:rsidR="00694919" w:rsidRPr="00872D42">
        <w:t xml:space="preserve">A distância máxima, medida segundo o eixo da circulação, entre duas aberturas consecutivas de introdução e extração deve ser de: </w:t>
      </w:r>
    </w:p>
    <w:p w14:paraId="4FA55FDF" w14:textId="77777777" w:rsidR="00694919" w:rsidRPr="00872D42" w:rsidRDefault="00694919" w:rsidP="00EB266C">
      <w:pPr>
        <w:numPr>
          <w:ilvl w:val="0"/>
          <w:numId w:val="20"/>
        </w:num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872D42">
        <w:rPr>
          <w:color w:val="000000"/>
          <w:sz w:val="20"/>
          <w:szCs w:val="20"/>
        </w:rPr>
        <w:t xml:space="preserve">15 m nos percursos em linha reta; </w:t>
      </w:r>
    </w:p>
    <w:p w14:paraId="165BD2F1" w14:textId="77777777" w:rsidR="00694919" w:rsidRPr="00872D42" w:rsidRDefault="00694919" w:rsidP="00EB266C">
      <w:pPr>
        <w:numPr>
          <w:ilvl w:val="0"/>
          <w:numId w:val="20"/>
        </w:num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872D42">
        <w:rPr>
          <w:color w:val="000000"/>
          <w:sz w:val="20"/>
          <w:szCs w:val="20"/>
        </w:rPr>
        <w:t>10 m nos outros percursos.</w:t>
      </w:r>
    </w:p>
    <w:p w14:paraId="5BB834BA" w14:textId="77777777" w:rsidR="00694919" w:rsidRPr="00872D42" w:rsidRDefault="00694919" w:rsidP="00FE5E2C">
      <w:pPr>
        <w:pStyle w:val="ITTEXTO4"/>
      </w:pPr>
      <w:r w:rsidRPr="00872D42">
        <w:t>As áreas de circulação compreendidas entre uma abertura para introdução de ar e uma boca de extração de fumaça devem ter uma vazão de extração não inferior a 0,5 m³/s por unidade de passagem da circulação (Figura 26). Para rotas de fuga com largura variável, deve ser adotada a largura média entre 2 pontos consecutivos de extração de fumaça e introdução de ar.</w:t>
      </w:r>
    </w:p>
    <w:p w14:paraId="44CBA0DB" w14:textId="77777777" w:rsidR="00694919" w:rsidRDefault="00694919" w:rsidP="00694919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sz w:val="20"/>
          <w:szCs w:val="20"/>
        </w:rPr>
      </w:pPr>
    </w:p>
    <w:p w14:paraId="52E6D0DE" w14:textId="77777777" w:rsidR="002B77AE" w:rsidRDefault="002B77AE" w:rsidP="00694919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sz w:val="20"/>
          <w:szCs w:val="20"/>
        </w:rPr>
      </w:pPr>
    </w:p>
    <w:p w14:paraId="7BE7B048" w14:textId="77777777" w:rsidR="002B77AE" w:rsidRDefault="002B77AE" w:rsidP="00694919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sz w:val="20"/>
          <w:szCs w:val="20"/>
        </w:rPr>
      </w:pPr>
    </w:p>
    <w:p w14:paraId="0262BFFB" w14:textId="77777777" w:rsidR="00337673" w:rsidRDefault="00337673" w:rsidP="00694919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sz w:val="20"/>
          <w:szCs w:val="20"/>
        </w:rPr>
      </w:pPr>
    </w:p>
    <w:p w14:paraId="216BC38C" w14:textId="77777777" w:rsidR="00337673" w:rsidRDefault="00337673" w:rsidP="00694919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sz w:val="20"/>
          <w:szCs w:val="20"/>
        </w:rPr>
      </w:pPr>
    </w:p>
    <w:p w14:paraId="3E3990A7" w14:textId="77777777" w:rsidR="00337673" w:rsidRPr="00872D42" w:rsidRDefault="00337673" w:rsidP="00337673">
      <w:pPr>
        <w:autoSpaceDE w:val="0"/>
        <w:autoSpaceDN w:val="0"/>
        <w:adjustRightInd w:val="0"/>
        <w:spacing w:before="0" w:after="0"/>
        <w:jc w:val="center"/>
        <w:rPr>
          <w:rFonts w:ascii="Arial" w:hAnsi="Arial" w:cs="Arial"/>
          <w:color w:val="000000"/>
          <w:sz w:val="20"/>
          <w:szCs w:val="20"/>
        </w:rPr>
      </w:pPr>
      <w:r w:rsidRPr="00346655">
        <w:rPr>
          <w:rFonts w:ascii="Arial" w:hAnsi="Arial"/>
          <w:color w:val="000000"/>
          <w:sz w:val="20"/>
          <w:szCs w:val="20"/>
        </w:rPr>
        <w:pict w14:anchorId="5AA965B1">
          <v:shape id="_x0000_i1033" type="#_x0000_t75" style="width:275.25pt;height:174.75pt" o:bordertopcolor="this" o:borderleftcolor="this" o:borderbottomcolor="this" o:borderrightcolor="this">
            <v:imagedata r:id="rId19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16F2964" w14:textId="77777777" w:rsidR="00694919" w:rsidRPr="00872D42" w:rsidRDefault="00694919" w:rsidP="00EB266C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872D42">
        <w:rPr>
          <w:b/>
          <w:bCs/>
          <w:color w:val="000000"/>
          <w:sz w:val="20"/>
          <w:szCs w:val="20"/>
        </w:rPr>
        <w:t>Figura 2</w:t>
      </w:r>
      <w:r w:rsidR="005C45B8" w:rsidRPr="00872D42">
        <w:rPr>
          <w:b/>
          <w:bCs/>
          <w:color w:val="000000"/>
          <w:sz w:val="20"/>
          <w:szCs w:val="20"/>
        </w:rPr>
        <w:t>5</w:t>
      </w:r>
      <w:r w:rsidRPr="00872D42">
        <w:rPr>
          <w:b/>
          <w:bCs/>
          <w:color w:val="000000"/>
          <w:sz w:val="20"/>
          <w:szCs w:val="20"/>
        </w:rPr>
        <w:t xml:space="preserve">: </w:t>
      </w:r>
      <w:r w:rsidRPr="00872D42">
        <w:rPr>
          <w:color w:val="000000"/>
          <w:sz w:val="20"/>
          <w:szCs w:val="20"/>
        </w:rPr>
        <w:t>Resumo geral de aberturas de extração de fumaça e entrada de ar em um pavimento</w:t>
      </w:r>
    </w:p>
    <w:p w14:paraId="6093A92F" w14:textId="77777777" w:rsidR="00EB266C" w:rsidRPr="00872D42" w:rsidRDefault="00EB266C" w:rsidP="00EB266C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</w:p>
    <w:p w14:paraId="1BCE5155" w14:textId="77777777" w:rsidR="00694919" w:rsidRPr="00872D42" w:rsidRDefault="00EB266C" w:rsidP="00FE5E2C">
      <w:pPr>
        <w:pStyle w:val="ITTEXTO4"/>
      </w:pPr>
      <w:r w:rsidRPr="00872D42">
        <w:t xml:space="preserve"> </w:t>
      </w:r>
      <w:r w:rsidR="00694919" w:rsidRPr="00872D42">
        <w:t xml:space="preserve">No caso de serem utilizadas aberturas localizadas em paredes para introdução de ar, a respectiva área livre considerada deve situar-se na metade inferior da altura de referência (H). </w:t>
      </w:r>
    </w:p>
    <w:p w14:paraId="5512FAE0" w14:textId="77777777" w:rsidR="00694919" w:rsidRPr="00872D42" w:rsidRDefault="00EB266C" w:rsidP="00FE5E2C">
      <w:pPr>
        <w:pStyle w:val="ITTEXTO4"/>
      </w:pPr>
      <w:r w:rsidRPr="00872D42">
        <w:t xml:space="preserve"> </w:t>
      </w:r>
      <w:r w:rsidR="00694919" w:rsidRPr="00872D42">
        <w:t xml:space="preserve">Quando o sistema entrar em funcionamento, a diferença de pressão entre a rota horizontal e as rotas verticais protegidas que deem acesso deve ser inferior a 60 Pa, com todas as portas de comunicação fechadas. </w:t>
      </w:r>
    </w:p>
    <w:p w14:paraId="542F4AC6" w14:textId="77777777" w:rsidR="00694919" w:rsidRPr="00872D42" w:rsidRDefault="00EB266C" w:rsidP="00337673">
      <w:pPr>
        <w:pStyle w:val="ITTTULO3"/>
      </w:pPr>
      <w:r w:rsidRPr="001C60A9">
        <w:rPr>
          <w:lang w:val="pt-BR"/>
        </w:rPr>
        <w:t xml:space="preserve"> </w:t>
      </w:r>
      <w:r w:rsidR="00694919" w:rsidRPr="00872D42">
        <w:t xml:space="preserve">Controle por sobrepressão </w:t>
      </w:r>
    </w:p>
    <w:p w14:paraId="3554813F" w14:textId="77777777" w:rsidR="00694919" w:rsidRPr="00872D42" w:rsidRDefault="00E841C4" w:rsidP="00FE5E2C">
      <w:pPr>
        <w:pStyle w:val="ITTEXTO4"/>
      </w:pPr>
      <w:r w:rsidRPr="00872D42">
        <w:t xml:space="preserve"> </w:t>
      </w:r>
      <w:r w:rsidR="00694919" w:rsidRPr="00872D42">
        <w:t xml:space="preserve">O controle de fumaça por sobrepressão de rotas horizontais enclausuradas, em relação a locais sinistrados, apenas é permitido se estes dispuserem de uma instalação de controle de fumaça por sistemas mecânicos. </w:t>
      </w:r>
    </w:p>
    <w:p w14:paraId="05EF1645" w14:textId="77777777" w:rsidR="00694919" w:rsidRPr="00872D42" w:rsidRDefault="00E841C4" w:rsidP="00FE5E2C">
      <w:pPr>
        <w:pStyle w:val="ITTEXTO4"/>
      </w:pPr>
      <w:r w:rsidRPr="00872D42">
        <w:t xml:space="preserve"> </w:t>
      </w:r>
      <w:r w:rsidR="00694919" w:rsidRPr="00872D42">
        <w:t xml:space="preserve">Nesse caso deve ser estabelecida uma diferença de pressão da ordem de 20Pa entre as circulações horizontais e os locais sinistrados. </w:t>
      </w:r>
    </w:p>
    <w:p w14:paraId="40361A60" w14:textId="77777777" w:rsidR="00694919" w:rsidRPr="00872D42" w:rsidRDefault="00E841C4" w:rsidP="00FE5E2C">
      <w:pPr>
        <w:pStyle w:val="ITTEXTO4"/>
      </w:pPr>
      <w:r w:rsidRPr="00872D42">
        <w:t xml:space="preserve"> </w:t>
      </w:r>
      <w:r w:rsidR="00694919" w:rsidRPr="00872D42">
        <w:t xml:space="preserve">Esse tipo de controle é permitido para circulações que não possuam carga incêndio ou com revestimento de Classe I conforme IT 10 – </w:t>
      </w:r>
      <w:r w:rsidR="00FE5E2C">
        <w:t>Controle de materiais de acaba</w:t>
      </w:r>
      <w:r w:rsidR="00694919" w:rsidRPr="00872D42">
        <w:t xml:space="preserve">mento e de revestimento. </w:t>
      </w:r>
    </w:p>
    <w:p w14:paraId="769EAF63" w14:textId="77777777" w:rsidR="00694919" w:rsidRPr="00872D42" w:rsidRDefault="00E841C4" w:rsidP="00FE5E2C">
      <w:pPr>
        <w:pStyle w:val="ITTEXTO4"/>
      </w:pPr>
      <w:r w:rsidRPr="00872D42">
        <w:t xml:space="preserve"> </w:t>
      </w:r>
      <w:r w:rsidR="00694919" w:rsidRPr="00872D42">
        <w:t xml:space="preserve">No caso acima descrito, as áreas de circulação devem dispor de instalações de controle de fumaça conforme descritas nos itens 12.1.2 ou 12.1.3. </w:t>
      </w:r>
    </w:p>
    <w:p w14:paraId="40BB52FD" w14:textId="77777777" w:rsidR="00694919" w:rsidRPr="00872D42" w:rsidRDefault="00E841C4" w:rsidP="00FE5E2C">
      <w:pPr>
        <w:pStyle w:val="ITTEXTO4"/>
      </w:pPr>
      <w:r w:rsidRPr="00872D42">
        <w:t xml:space="preserve"> </w:t>
      </w:r>
      <w:r w:rsidR="00694919" w:rsidRPr="00872D42">
        <w:t>Quando a circulação horizontal for dotada de antecâmara pressurizada, a diferença de pressão referida no item 12.1.6.2, deve ser criada pela antecâmara.</w:t>
      </w:r>
    </w:p>
    <w:p w14:paraId="6D6B8EA5" w14:textId="77777777" w:rsidR="00694919" w:rsidRPr="00872D42" w:rsidRDefault="00694919" w:rsidP="00FE5E2C">
      <w:pPr>
        <w:pStyle w:val="ITTTULO1"/>
      </w:pPr>
      <w:r w:rsidRPr="00872D42">
        <w:t>SUBSOLOS</w:t>
      </w:r>
    </w:p>
    <w:p w14:paraId="524C4EDF" w14:textId="77777777" w:rsidR="00694919" w:rsidRPr="00FE5E2C" w:rsidRDefault="00694919" w:rsidP="00FE5E2C">
      <w:pPr>
        <w:pStyle w:val="ITTEXTO2"/>
        <w:rPr>
          <w:b/>
        </w:rPr>
      </w:pPr>
      <w:r w:rsidRPr="00FE5E2C">
        <w:rPr>
          <w:b/>
        </w:rPr>
        <w:t>Controle de Fumaça</w:t>
      </w:r>
    </w:p>
    <w:p w14:paraId="547A8F76" w14:textId="77777777" w:rsidR="00694919" w:rsidRPr="00872D42" w:rsidRDefault="005C45B8" w:rsidP="00FE5E2C">
      <w:pPr>
        <w:pStyle w:val="ITTEXTO3"/>
      </w:pPr>
      <w:r w:rsidRPr="00872D42">
        <w:t xml:space="preserve"> </w:t>
      </w:r>
      <w:r w:rsidR="00694919" w:rsidRPr="00872D42">
        <w:t xml:space="preserve">Os sistemas de controle de fumaça para subsolos, conforme prescrito no </w:t>
      </w:r>
      <w:r w:rsidR="00FE5E2C">
        <w:t>Código de S</w:t>
      </w:r>
      <w:r w:rsidR="00694919" w:rsidRPr="00872D42">
        <w:t>egurança contra Incêndio</w:t>
      </w:r>
      <w:r w:rsidR="00FE5E2C">
        <w:t xml:space="preserve"> e Emergências</w:t>
      </w:r>
      <w:r w:rsidR="00694919" w:rsidRPr="00872D42">
        <w:t xml:space="preserve"> das edificações e áreas de risco devem ser projetados com introdução de ar, mecânica ou natural, e extração de fumaça mecânica.</w:t>
      </w:r>
    </w:p>
    <w:p w14:paraId="7CDE8285" w14:textId="77777777" w:rsidR="00694919" w:rsidRPr="00872D42" w:rsidRDefault="00E841C4" w:rsidP="00FE5E2C">
      <w:pPr>
        <w:pStyle w:val="ITTEXTO3"/>
      </w:pPr>
      <w:r w:rsidRPr="00872D42">
        <w:t xml:space="preserve"> </w:t>
      </w:r>
      <w:r w:rsidR="00694919" w:rsidRPr="00872D42">
        <w:t>Para definição das vazões de extração de fumaça, deve ser consultado:</w:t>
      </w:r>
    </w:p>
    <w:p w14:paraId="7F4234A7" w14:textId="77777777" w:rsidR="00694919" w:rsidRPr="00872D42" w:rsidRDefault="00E841C4" w:rsidP="00FE5E2C">
      <w:pPr>
        <w:pStyle w:val="ITTEXTO3"/>
      </w:pPr>
      <w:r w:rsidRPr="00872D42">
        <w:t xml:space="preserve"> </w:t>
      </w:r>
      <w:r w:rsidR="00694919" w:rsidRPr="00872D42">
        <w:t>Para corredores protegidos – item 12 da Parte 6 (Rotas de Fugas Horizontais) desta IT.</w:t>
      </w:r>
    </w:p>
    <w:p w14:paraId="29EAF31D" w14:textId="77777777" w:rsidR="00694919" w:rsidRPr="00872D42" w:rsidRDefault="00E841C4" w:rsidP="00FE5E2C">
      <w:pPr>
        <w:pStyle w:val="ITTEXTO3"/>
      </w:pPr>
      <w:r w:rsidRPr="00872D42">
        <w:t xml:space="preserve"> </w:t>
      </w:r>
      <w:r w:rsidR="00694919" w:rsidRPr="00872D42">
        <w:t>Para áreas adjacentes aos corredores ou para áreas sem corredores protegidos a Parte 5 desta IT.</w:t>
      </w:r>
    </w:p>
    <w:p w14:paraId="357D7089" w14:textId="77777777" w:rsidR="00694919" w:rsidRPr="00947BA2" w:rsidRDefault="00E841C4" w:rsidP="00FE5E2C">
      <w:pPr>
        <w:pStyle w:val="ITTEXTO3"/>
      </w:pPr>
      <w:r w:rsidRPr="00947BA2">
        <w:t xml:space="preserve"> </w:t>
      </w:r>
      <w:r w:rsidR="00694919" w:rsidRPr="00947BA2">
        <w:t>Quando a área ocupada for constituída por ambientes com área inferior a 100 m², as grelhas de exaustão de fumaça podem ser posicionadas apenas na circulação. O dimensionamento deve ser realizado pela Parte 5 desta IT.</w:t>
      </w:r>
    </w:p>
    <w:p w14:paraId="2852F8CF" w14:textId="77777777" w:rsidR="00694919" w:rsidRPr="00872D42" w:rsidRDefault="005C45B8" w:rsidP="00FE5E2C">
      <w:pPr>
        <w:pStyle w:val="ITTEXTO3"/>
      </w:pPr>
      <w:r w:rsidRPr="00872D42">
        <w:t xml:space="preserve"> </w:t>
      </w:r>
      <w:r w:rsidR="00694919" w:rsidRPr="00872D42">
        <w:t>Os dutos para tomada de ar devem ter resistência externa a fogo por 60 minutos.</w:t>
      </w:r>
    </w:p>
    <w:p w14:paraId="121FEA27" w14:textId="77777777" w:rsidR="00694919" w:rsidRPr="00872D42" w:rsidRDefault="005C45B8" w:rsidP="00FE5E2C">
      <w:pPr>
        <w:pStyle w:val="ITTEXTO3"/>
      </w:pPr>
      <w:r w:rsidRPr="00872D42">
        <w:t xml:space="preserve"> </w:t>
      </w:r>
      <w:r w:rsidR="00694919" w:rsidRPr="00872D42">
        <w:t>As entradas de ar devem ser posicionadas junto ao piso (terço inferior), nos acessos das rotas de fuga.</w:t>
      </w:r>
    </w:p>
    <w:p w14:paraId="6D66A28C" w14:textId="77777777" w:rsidR="00694919" w:rsidRPr="00872D42" w:rsidRDefault="00E841C4" w:rsidP="00FE5E2C">
      <w:pPr>
        <w:pStyle w:val="ITTEXTO3"/>
      </w:pPr>
      <w:r w:rsidRPr="00872D42">
        <w:lastRenderedPageBreak/>
        <w:t xml:space="preserve"> </w:t>
      </w:r>
      <w:r w:rsidR="00694919" w:rsidRPr="00872D42">
        <w:t>Os parâmetros de área de acantonamento e dimensionamento devem atender ao prescrito no item 11.17.1 da Parte 5 (1.600 m²).</w:t>
      </w:r>
    </w:p>
    <w:p w14:paraId="1576C089" w14:textId="77777777" w:rsidR="00694919" w:rsidRPr="00872D42" w:rsidRDefault="00E841C4" w:rsidP="00FE5E2C">
      <w:pPr>
        <w:pStyle w:val="ITTEXTO3"/>
      </w:pPr>
      <w:r w:rsidRPr="00872D42">
        <w:t xml:space="preserve"> </w:t>
      </w:r>
      <w:r w:rsidR="00694919" w:rsidRPr="00872D42">
        <w:t>Caso ocorra uma situação na qual, áreas com controle de fumaça estejam em comunicação com outras destinadas a rotas de fuga protegidas, ou outras com ocupação distinta, estas devem ser isoladas ou compartimentadas conforme IT 09 – Compartimentação horizontal e compartimentação vertical.</w:t>
      </w:r>
    </w:p>
    <w:p w14:paraId="07C4FC00" w14:textId="77777777" w:rsidR="00694919" w:rsidRPr="00FE5E2C" w:rsidRDefault="00694919" w:rsidP="00FE5E2C">
      <w:pPr>
        <w:pStyle w:val="ITTEXTO2"/>
        <w:rPr>
          <w:b/>
        </w:rPr>
      </w:pPr>
      <w:r w:rsidRPr="00FE5E2C">
        <w:rPr>
          <w:b/>
        </w:rPr>
        <w:t>Exaustão (onde não se exige sistema de controle de fumaça)</w:t>
      </w:r>
    </w:p>
    <w:p w14:paraId="2B043044" w14:textId="77777777" w:rsidR="00694919" w:rsidRPr="00872D42" w:rsidRDefault="00694919" w:rsidP="00E841C4">
      <w:pPr>
        <w:pStyle w:val="Ttulo3"/>
        <w:ind w:left="0" w:firstLine="0"/>
        <w:rPr>
          <w:sz w:val="20"/>
          <w:szCs w:val="20"/>
          <w:lang w:val="pt-BR"/>
        </w:rPr>
      </w:pPr>
      <w:r w:rsidRPr="00872D42">
        <w:rPr>
          <w:sz w:val="20"/>
          <w:szCs w:val="20"/>
          <w:lang w:val="pt-BR"/>
        </w:rPr>
        <w:t xml:space="preserve">A exaustão citada na nota 4 da Tabela 7 </w:t>
      </w:r>
      <w:r w:rsidR="00895B90">
        <w:rPr>
          <w:sz w:val="20"/>
          <w:szCs w:val="20"/>
          <w:lang w:val="pt-BR"/>
        </w:rPr>
        <w:t>da IT 01 – Parte 2</w:t>
      </w:r>
      <w:r w:rsidRPr="00872D42">
        <w:rPr>
          <w:sz w:val="20"/>
          <w:szCs w:val="20"/>
          <w:lang w:val="pt-BR"/>
        </w:rPr>
        <w:t xml:space="preserve"> deve ser realizada conforme os itens seguintes:</w:t>
      </w:r>
    </w:p>
    <w:p w14:paraId="5ABC773E" w14:textId="77777777" w:rsidR="00694919" w:rsidRPr="00895B90" w:rsidRDefault="00E841C4" w:rsidP="00895B90">
      <w:pPr>
        <w:pStyle w:val="ITTEXTO4"/>
        <w:rPr>
          <w:b/>
        </w:rPr>
      </w:pPr>
      <w:r w:rsidRPr="00872D42">
        <w:t xml:space="preserve"> </w:t>
      </w:r>
      <w:r w:rsidR="00694919" w:rsidRPr="00895B90">
        <w:rPr>
          <w:b/>
        </w:rPr>
        <w:t>Exaustão natural</w:t>
      </w:r>
    </w:p>
    <w:p w14:paraId="0B377DDD" w14:textId="77777777" w:rsidR="00694919" w:rsidRPr="00872D42" w:rsidRDefault="00E841C4" w:rsidP="00895B90">
      <w:pPr>
        <w:pStyle w:val="ITTEXTO5"/>
      </w:pPr>
      <w:r w:rsidRPr="00872D42">
        <w:t xml:space="preserve"> </w:t>
      </w:r>
      <w:r w:rsidR="00694919" w:rsidRPr="00872D42">
        <w:t>As aberturas para exaustão devem ser posicionadas no teto ou no terço superior das paredes. A utilização de dutos será permitida apenas para trajeto em trecho vertical.</w:t>
      </w:r>
    </w:p>
    <w:p w14:paraId="6AE42FD2" w14:textId="77777777" w:rsidR="00694919" w:rsidRPr="00872D42" w:rsidRDefault="00E841C4" w:rsidP="00895B90">
      <w:pPr>
        <w:pStyle w:val="ITTEXTO5"/>
      </w:pPr>
      <w:r w:rsidRPr="00872D42">
        <w:t xml:space="preserve"> </w:t>
      </w:r>
      <w:r w:rsidR="00694919" w:rsidRPr="00872D42">
        <w:t>As aberturas devem ser distribuídas da forma mais uniforme possível pelo perímetro do subsolo.</w:t>
      </w:r>
      <w:r w:rsidRPr="00872D42">
        <w:t xml:space="preserve"> </w:t>
      </w:r>
      <w:r w:rsidR="00694919" w:rsidRPr="00872D42">
        <w:t>A somatória total da área de aberturas deve ser, no mínimo, igual a 1/40 da área ocupada do subsolo.</w:t>
      </w:r>
    </w:p>
    <w:p w14:paraId="4F0B6F65" w14:textId="77777777" w:rsidR="00694919" w:rsidRPr="00872D42" w:rsidRDefault="00E841C4" w:rsidP="00895B90">
      <w:pPr>
        <w:pStyle w:val="ITTEXTO5"/>
      </w:pPr>
      <w:r w:rsidRPr="00872D42">
        <w:t xml:space="preserve"> </w:t>
      </w:r>
      <w:r w:rsidR="00694919" w:rsidRPr="00872D42">
        <w:t>Caso a abertura de exaustão termine em um ponto que não é prontamente acessível, ela deve ser mantida desobstruída e coberta com uma grelha não combustível ou similar.</w:t>
      </w:r>
    </w:p>
    <w:p w14:paraId="04BD42F2" w14:textId="77777777" w:rsidR="00694919" w:rsidRPr="00872D42" w:rsidRDefault="00E841C4" w:rsidP="00895B90">
      <w:pPr>
        <w:pStyle w:val="ITTEXTO5"/>
      </w:pPr>
      <w:r w:rsidRPr="00872D42">
        <w:t xml:space="preserve"> </w:t>
      </w:r>
      <w:r w:rsidR="00694919" w:rsidRPr="00872D42">
        <w:t>Caso a abertura de exaustão termine em uma posição prontamente acessível, ela pode ser coberta por um painel, claraboia ou similar que possa ser aberto ou quebrado. A posição destes elementos deve ser claramente sinalizada.</w:t>
      </w:r>
    </w:p>
    <w:p w14:paraId="6BBDFBCD" w14:textId="77777777" w:rsidR="00694919" w:rsidRPr="00872D42" w:rsidRDefault="00E841C4" w:rsidP="00895B90">
      <w:pPr>
        <w:pStyle w:val="ITTEXTO5"/>
      </w:pPr>
      <w:r w:rsidRPr="00872D42">
        <w:t xml:space="preserve"> </w:t>
      </w:r>
      <w:r w:rsidR="00694919" w:rsidRPr="00872D42">
        <w:t>As aberturas não podem ser posicionadas em locais onde a exaustão de fumaça prejudique a rota de fuga da edificação.</w:t>
      </w:r>
    </w:p>
    <w:p w14:paraId="7271E905" w14:textId="77777777" w:rsidR="00694919" w:rsidRPr="00895B90" w:rsidRDefault="00E841C4" w:rsidP="00895B90">
      <w:pPr>
        <w:pStyle w:val="ITTEXTO4"/>
        <w:rPr>
          <w:b/>
        </w:rPr>
      </w:pPr>
      <w:r w:rsidRPr="00872D42">
        <w:t xml:space="preserve"> </w:t>
      </w:r>
      <w:r w:rsidR="00694919" w:rsidRPr="00895B90">
        <w:rPr>
          <w:b/>
        </w:rPr>
        <w:t>Exaustão mecânica</w:t>
      </w:r>
    </w:p>
    <w:p w14:paraId="17056745" w14:textId="77777777" w:rsidR="00694919" w:rsidRPr="00872D42" w:rsidRDefault="00E841C4" w:rsidP="00895B90">
      <w:pPr>
        <w:pStyle w:val="ITTEXTO5"/>
      </w:pPr>
      <w:r w:rsidRPr="00872D42">
        <w:t xml:space="preserve"> </w:t>
      </w:r>
      <w:r w:rsidR="00694919" w:rsidRPr="00872D42">
        <w:t>A exaustão mecânica deve ser dimensionada para atender, no mínimo, 10 trocas do volume de ar por hora.</w:t>
      </w:r>
    </w:p>
    <w:p w14:paraId="45577EAF" w14:textId="77777777" w:rsidR="00694919" w:rsidRPr="00872D42" w:rsidRDefault="00E841C4" w:rsidP="00895B90">
      <w:pPr>
        <w:pStyle w:val="ITTEXTO5"/>
      </w:pPr>
      <w:r w:rsidRPr="00872D42">
        <w:t xml:space="preserve"> </w:t>
      </w:r>
      <w:r w:rsidR="00694919" w:rsidRPr="00872D42">
        <w:t>A exaustão pode ser realizada através da rede de dutos do sistema de “ar condicionado”.</w:t>
      </w:r>
    </w:p>
    <w:p w14:paraId="48A3D764" w14:textId="77777777" w:rsidR="00694919" w:rsidRPr="00872D42" w:rsidRDefault="00E841C4" w:rsidP="00895B90">
      <w:pPr>
        <w:pStyle w:val="ITTEXTO5"/>
      </w:pPr>
      <w:r w:rsidRPr="00872D42">
        <w:t xml:space="preserve"> </w:t>
      </w:r>
      <w:r w:rsidR="00694919" w:rsidRPr="00872D42">
        <w:t>A exaustão deve ser acionada automaticamente por um sistema de detecção de fumaça.</w:t>
      </w:r>
    </w:p>
    <w:p w14:paraId="508AECAC" w14:textId="77777777" w:rsidR="00694919" w:rsidRPr="00872D42" w:rsidRDefault="00E841C4" w:rsidP="00895B90">
      <w:pPr>
        <w:pStyle w:val="ITTEXTO5"/>
      </w:pPr>
      <w:r w:rsidRPr="00872D42">
        <w:t xml:space="preserve"> </w:t>
      </w:r>
      <w:r w:rsidR="00694919" w:rsidRPr="00872D42">
        <w:t>Para esse tipo de sistema, não são necessárias a proteção de dutos e a duplicata de exaustores exigidas nos itens 8.2.8.1 e 8.2.8.4 da Parte 2 desta IT.</w:t>
      </w:r>
    </w:p>
    <w:p w14:paraId="7CA6580D" w14:textId="77777777" w:rsidR="00694919" w:rsidRPr="00872D42" w:rsidRDefault="00694919" w:rsidP="00895B90">
      <w:pPr>
        <w:pStyle w:val="ITTTULO3"/>
      </w:pPr>
      <w:r w:rsidRPr="00872D42">
        <w:t>Estacionamentos</w:t>
      </w:r>
    </w:p>
    <w:p w14:paraId="148CD533" w14:textId="77777777" w:rsidR="00694919" w:rsidRPr="00947BA2" w:rsidRDefault="00E841C4" w:rsidP="00895B90">
      <w:pPr>
        <w:pStyle w:val="ITTEXTO3"/>
      </w:pPr>
      <w:r w:rsidRPr="00947BA2">
        <w:t xml:space="preserve"> </w:t>
      </w:r>
      <w:r w:rsidR="00694919" w:rsidRPr="00947BA2">
        <w:t>Os subsolos destinados a estacionamento devem dispor de ventilação e exaustão permanente conforme Código de Obras do Município, caso exista previsão. Em não havendo, deverão ser seguidos os itens abaixo.</w:t>
      </w:r>
    </w:p>
    <w:p w14:paraId="79DBBD59" w14:textId="77777777" w:rsidR="00694919" w:rsidRPr="00872D42" w:rsidRDefault="00E841C4" w:rsidP="00895B90">
      <w:pPr>
        <w:pStyle w:val="ITTEXTO3"/>
      </w:pPr>
      <w:r w:rsidRPr="00872D42">
        <w:t xml:space="preserve"> </w:t>
      </w:r>
      <w:r w:rsidR="00694919" w:rsidRPr="00872D42">
        <w:t>O subsolo destinado a esse fim deve dispor de ventilação natural permanente garantida por aberturas, pelo menos em duas extremidades opostas ou nos tetos junto a estas paredes e que correspondam, no mínimo, à proporção de 60 cm² (sessenta centímetros quadrados) de abertura para cada metro cúbico de volume total do compartimento, ambiente ou local.</w:t>
      </w:r>
    </w:p>
    <w:p w14:paraId="7DFBE588" w14:textId="77777777" w:rsidR="00694919" w:rsidRPr="00872D42" w:rsidRDefault="00694919" w:rsidP="00895B90">
      <w:pPr>
        <w:pStyle w:val="ITTEXTO3"/>
      </w:pPr>
      <w:r w:rsidRPr="00872D42">
        <w:t>Os vãos de acesso de veículos, quando guarnecidos por portas vazadas ou gradeadas, poderão ser computados no cálculo dessas aberturas.</w:t>
      </w:r>
    </w:p>
    <w:p w14:paraId="43A18951" w14:textId="77777777" w:rsidR="00694919" w:rsidRPr="00872D42" w:rsidRDefault="00694919" w:rsidP="00895B90">
      <w:pPr>
        <w:pStyle w:val="ITTEXTO3"/>
      </w:pPr>
      <w:r w:rsidRPr="00872D42">
        <w:t>A ventilação natural poderá ser substituída ou suplementada por meios mecânicos, dimensionados de forma a garantir a renovação de 05 (cinco) volumes de ar do ambiente por hora.</w:t>
      </w:r>
    </w:p>
    <w:sectPr w:rsidR="00694919" w:rsidRPr="00872D42" w:rsidSect="00694919">
      <w:pgSz w:w="11906" w:h="16838" w:code="9"/>
      <w:pgMar w:top="1134" w:right="1134" w:bottom="1134" w:left="1134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1B918" w14:textId="77777777" w:rsidR="005D5F59" w:rsidRDefault="005D5F59">
      <w:r>
        <w:separator/>
      </w:r>
    </w:p>
  </w:endnote>
  <w:endnote w:type="continuationSeparator" w:id="0">
    <w:p w14:paraId="14BB206C" w14:textId="77777777" w:rsidR="005D5F59" w:rsidRDefault="005D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BEEEF" w14:textId="77777777" w:rsidR="00EB266C" w:rsidRPr="004E0423" w:rsidRDefault="00EB266C" w:rsidP="001F6577">
    <w:pPr>
      <w:pStyle w:val="Rodap"/>
      <w:pBdr>
        <w:top w:val="thinThickSmallGap" w:sz="24" w:space="1" w:color="622423"/>
      </w:pBdr>
      <w:tabs>
        <w:tab w:val="clear" w:pos="4252"/>
        <w:tab w:val="clear" w:pos="8504"/>
        <w:tab w:val="right" w:pos="9638"/>
      </w:tabs>
      <w:rPr>
        <w:sz w:val="20"/>
        <w:szCs w:val="20"/>
      </w:rPr>
    </w:pPr>
    <w:r w:rsidRPr="004E0423">
      <w:rPr>
        <w:sz w:val="20"/>
        <w:szCs w:val="20"/>
        <w:lang w:val="pt-BR"/>
      </w:rPr>
      <w:t>Corpo de Bombeiros Militar de Alagoas</w:t>
    </w:r>
    <w:r w:rsidRPr="004E0423">
      <w:rPr>
        <w:sz w:val="20"/>
        <w:szCs w:val="20"/>
        <w:lang w:val="pt-BR"/>
      </w:rPr>
      <w:tab/>
      <w:t xml:space="preserve">Página </w:t>
    </w:r>
    <w:r w:rsidRPr="004E0423">
      <w:rPr>
        <w:sz w:val="20"/>
        <w:szCs w:val="20"/>
      </w:rPr>
      <w:fldChar w:fldCharType="begin"/>
    </w:r>
    <w:r w:rsidRPr="004E0423">
      <w:rPr>
        <w:sz w:val="20"/>
        <w:szCs w:val="20"/>
      </w:rPr>
      <w:instrText>PAGE   \* MERGEFORMAT</w:instrText>
    </w:r>
    <w:r w:rsidRPr="004E0423">
      <w:rPr>
        <w:sz w:val="20"/>
        <w:szCs w:val="20"/>
      </w:rPr>
      <w:fldChar w:fldCharType="separate"/>
    </w:r>
    <w:r w:rsidR="00DD28A3" w:rsidRPr="00DD28A3">
      <w:rPr>
        <w:noProof/>
        <w:sz w:val="20"/>
        <w:szCs w:val="20"/>
        <w:lang w:val="pt-BR"/>
      </w:rPr>
      <w:t>2</w:t>
    </w:r>
    <w:r w:rsidRPr="004E0423">
      <w:rPr>
        <w:sz w:val="20"/>
        <w:szCs w:val="20"/>
      </w:rPr>
      <w:fldChar w:fldCharType="end"/>
    </w:r>
  </w:p>
  <w:p w14:paraId="5A6A2575" w14:textId="77777777" w:rsidR="00EB266C" w:rsidRDefault="00EB26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55333" w14:textId="77777777" w:rsidR="005D5F59" w:rsidRDefault="005D5F59">
      <w:r>
        <w:separator/>
      </w:r>
    </w:p>
  </w:footnote>
  <w:footnote w:type="continuationSeparator" w:id="0">
    <w:p w14:paraId="0BBE4CED" w14:textId="77777777" w:rsidR="005D5F59" w:rsidRDefault="005D5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C1650" w14:textId="77777777" w:rsidR="00EB266C" w:rsidRPr="00E9063B" w:rsidRDefault="00EB266C" w:rsidP="00E9063B">
    <w:pPr>
      <w:pStyle w:val="Cabealho"/>
    </w:pPr>
    <w:r>
      <w:rPr>
        <w:noProof/>
      </w:rPr>
      <w:pict w14:anchorId="3AF6BBE6">
        <v:group id="Grupo 196" o:spid="_x0000_s1026" style="position:absolute;margin-left:16pt;margin-top:14.7pt;width:563.35pt;height:41.75pt;z-index:1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" o:allowincell="f">
          <v:rect id="Rectangle 197" o:spid="_x0000_s1027" style="position:absolute;left:377;top:360;width:9346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B5MQA&#10;AADcAAAADwAAAGRycy9kb3ducmV2LnhtbESP0WqDQBRE3wv5h+UG8tasFWKDcQ0lEJDQh5r4ATfu&#10;rUrdu+Juovn7bKHQx2FmzjDZfja9uNPoOssK3tYRCOLa6o4bBdXl+LoF4Tyyxt4yKXiQg32+eMkw&#10;1Xbiku5n34gAYZeigtb7IZXS1S0ZdGs7EAfv244GfZBjI/WIU4CbXsZRlEiDHYeFFgc6tFT/nG9G&#10;wXBKNsVx+17I66e5lV8VxtWMSq2W88cOhKfZ/4f/2oVWEMcJ/J4JR0D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QeTEAAAA3AAAAA8AAAAAAAAAAAAAAAAAmAIAAGRycy9k&#10;b3ducmV2LnhtbFBLBQYAAAAABAAEAPUAAACJAwAAAAA=&#10;" fillcolor="#e46c0a" stroked="f" strokecolor="white" strokeweight="1.5pt">
            <v:textbox style="mso-next-textbox:#Rectangle 197">
              <w:txbxContent>
                <w:p w14:paraId="2693371B" w14:textId="77777777" w:rsidR="00EB266C" w:rsidRPr="00E9063B" w:rsidRDefault="00EB266C">
                  <w:pPr>
                    <w:pStyle w:val="Cabealho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  <w:lang w:val="pt-BR"/>
                    </w:rPr>
                    <w:t>IT 15 (Parte 6</w:t>
                  </w:r>
                  <w:r w:rsidRPr="00E9063B">
                    <w:rPr>
                      <w:color w:val="FFFFFF"/>
                      <w:sz w:val="28"/>
                      <w:szCs w:val="28"/>
                      <w:lang w:val="pt-BR"/>
                    </w:rPr>
                    <w:t>) CBMAL</w:t>
                  </w:r>
                </w:p>
              </w:txbxContent>
            </v:textbox>
          </v:rect>
          <v:rect id="Rectangle 198" o:spid="_x0000_s1028" style="position:absolute;left:9763;top:360;width:2102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3MQA&#10;AADcAAAADwAAAGRycy9kb3ducmV2LnhtbESPQWvCQBSE7wX/w/IEL0U3jVAluooIgogemnrx9sg+&#10;k2D2bbq7avTXu4VCj8PMfMPMl51pxI2cry0r+BglIIgLq2suFRy/N8MpCB+QNTaWScGDPCwXvbc5&#10;Ztre+YtueShFhLDPUEEVQptJ6YuKDPqRbYmjd7bOYIjSlVI7vEe4aWSaJJ/SYM1xocKW1hUVl/xq&#10;FIT3Kee8/qnpsCuke572Y0l7pQb9bjUDEagL/+G/9lYrSNMJ/J6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3i9zEAAAA3AAAAA8AAAAAAAAAAAAAAAAAmAIAAGRycy9k&#10;b3ducmV2LnhtbFBLBQYAAAAABAAEAPUAAACJAwAAAAA=&#10;" fillcolor="#9bbb59" stroked="f" strokecolor="white" strokeweight="2pt">
            <v:textbox style="mso-next-textbox:#Rectangle 198">
              <w:txbxContent>
                <w:p w14:paraId="703C62BB" w14:textId="77777777" w:rsidR="00EB266C" w:rsidRPr="00E9063B" w:rsidRDefault="00EB266C" w:rsidP="00E9063B">
                  <w:pPr>
                    <w:pStyle w:val="Cabealho"/>
                    <w:jc w:val="center"/>
                    <w:rPr>
                      <w:color w:val="FFFFFF"/>
                      <w:sz w:val="36"/>
                      <w:szCs w:val="36"/>
                    </w:rPr>
                  </w:pPr>
                  <w:r w:rsidRPr="00E9063B">
                    <w:rPr>
                      <w:color w:val="FFFFFF"/>
                      <w:sz w:val="36"/>
                      <w:szCs w:val="36"/>
                      <w:lang w:val="pt-BR"/>
                    </w:rPr>
                    <w:t>202</w:t>
                  </w:r>
                  <w:r w:rsidR="00582E1F">
                    <w:rPr>
                      <w:color w:val="FFFFFF"/>
                      <w:sz w:val="36"/>
                      <w:szCs w:val="36"/>
                      <w:lang w:val="pt-BR"/>
                    </w:rPr>
                    <w:t>1</w:t>
                  </w:r>
                </w:p>
              </w:txbxContent>
            </v:textbox>
          </v:rect>
          <v:rect id="Rectangle 199" o:spid="_x0000_s1029" style="position:absolute;left:330;top:308;width:11586;height: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5F3D"/>
    <w:multiLevelType w:val="hybridMultilevel"/>
    <w:tmpl w:val="1688B7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126B"/>
    <w:multiLevelType w:val="hybridMultilevel"/>
    <w:tmpl w:val="855C9392"/>
    <w:lvl w:ilvl="0" w:tplc="0416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73CD7"/>
    <w:multiLevelType w:val="hybridMultilevel"/>
    <w:tmpl w:val="CE3AFD84"/>
    <w:lvl w:ilvl="0" w:tplc="5A6A0B76">
      <w:start w:val="1"/>
      <w:numFmt w:val="lowerLetter"/>
      <w:pStyle w:val="Numerada-listagem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2F51"/>
    <w:multiLevelType w:val="hybridMultilevel"/>
    <w:tmpl w:val="587C1D74"/>
    <w:lvl w:ilvl="0" w:tplc="7736DDD2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F7BCC"/>
    <w:multiLevelType w:val="multilevel"/>
    <w:tmpl w:val="67163548"/>
    <w:lvl w:ilvl="0">
      <w:start w:val="12"/>
      <w:numFmt w:val="decimal"/>
      <w:pStyle w:val="IT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color w:val="auto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color w:val="auto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9215FF0"/>
    <w:multiLevelType w:val="hybridMultilevel"/>
    <w:tmpl w:val="612AF3A8"/>
    <w:lvl w:ilvl="0" w:tplc="4C54804C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9569E"/>
    <w:multiLevelType w:val="hybridMultilevel"/>
    <w:tmpl w:val="48E8849A"/>
    <w:lvl w:ilvl="0" w:tplc="281E81E8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645E8"/>
    <w:multiLevelType w:val="hybridMultilevel"/>
    <w:tmpl w:val="B28889A0"/>
    <w:lvl w:ilvl="0" w:tplc="18B65106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A7093"/>
    <w:multiLevelType w:val="hybridMultilevel"/>
    <w:tmpl w:val="E916750E"/>
    <w:lvl w:ilvl="0" w:tplc="666842AA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83E61"/>
    <w:multiLevelType w:val="hybridMultilevel"/>
    <w:tmpl w:val="A14A404C"/>
    <w:lvl w:ilvl="0" w:tplc="9A8802E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D5A03"/>
    <w:multiLevelType w:val="hybridMultilevel"/>
    <w:tmpl w:val="D8666A4E"/>
    <w:lvl w:ilvl="0" w:tplc="0416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C0103"/>
    <w:multiLevelType w:val="hybridMultilevel"/>
    <w:tmpl w:val="E6B414DC"/>
    <w:lvl w:ilvl="0" w:tplc="B120865C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B4390"/>
    <w:multiLevelType w:val="hybridMultilevel"/>
    <w:tmpl w:val="FEB8A0EA"/>
    <w:lvl w:ilvl="0" w:tplc="B34AA22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300AC"/>
    <w:multiLevelType w:val="hybridMultilevel"/>
    <w:tmpl w:val="7D34B3B8"/>
    <w:lvl w:ilvl="0" w:tplc="87A443AC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B5B33"/>
    <w:multiLevelType w:val="hybridMultilevel"/>
    <w:tmpl w:val="922C4302"/>
    <w:lvl w:ilvl="0" w:tplc="493045FE">
      <w:start w:val="9"/>
      <w:numFmt w:val="decimal"/>
      <w:pStyle w:val="TpicosdoSumrio"/>
      <w:lvlText w:val="%1"/>
      <w:lvlJc w:val="left"/>
      <w:pPr>
        <w:tabs>
          <w:tab w:val="num" w:pos="340"/>
        </w:tabs>
        <w:ind w:left="0" w:firstLine="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4C0776"/>
    <w:multiLevelType w:val="hybridMultilevel"/>
    <w:tmpl w:val="69AC4F38"/>
    <w:lvl w:ilvl="0" w:tplc="A1DAC20E">
      <w:start w:val="11"/>
      <w:numFmt w:val="decimal"/>
      <w:pStyle w:val="Figura"/>
      <w:lvlText w:val="Figura %1 -"/>
      <w:lvlJc w:val="center"/>
      <w:pPr>
        <w:ind w:left="360" w:hanging="360"/>
      </w:pPr>
      <w:rPr>
        <w:rFonts w:ascii="Arial" w:hAnsi="Arial" w:cs="Arial" w:hint="default"/>
        <w:b/>
        <w:bCs/>
        <w:i w:val="0"/>
        <w:iCs w:val="0"/>
        <w:sz w:val="16"/>
        <w:szCs w:val="16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7F6967"/>
    <w:multiLevelType w:val="multilevel"/>
    <w:tmpl w:val="6AD84D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CD13BF"/>
    <w:multiLevelType w:val="hybridMultilevel"/>
    <w:tmpl w:val="BEE26338"/>
    <w:lvl w:ilvl="0" w:tplc="C2583544">
      <w:start w:val="1"/>
      <w:numFmt w:val="upperLetter"/>
      <w:pStyle w:val="TextonumeradodoAnexo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145C49"/>
    <w:multiLevelType w:val="hybridMultilevel"/>
    <w:tmpl w:val="6C1E457C"/>
    <w:lvl w:ilvl="0" w:tplc="0416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F5194"/>
    <w:multiLevelType w:val="hybridMultilevel"/>
    <w:tmpl w:val="A31E530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23227"/>
    <w:multiLevelType w:val="hybridMultilevel"/>
    <w:tmpl w:val="D8EEAB3C"/>
    <w:lvl w:ilvl="0" w:tplc="C2BC520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076733">
    <w:abstractNumId w:val="4"/>
  </w:num>
  <w:num w:numId="2" w16cid:durableId="2128306161">
    <w:abstractNumId w:val="14"/>
  </w:num>
  <w:num w:numId="3" w16cid:durableId="2086218108">
    <w:abstractNumId w:val="17"/>
  </w:num>
  <w:num w:numId="4" w16cid:durableId="840660262">
    <w:abstractNumId w:val="15"/>
  </w:num>
  <w:num w:numId="5" w16cid:durableId="277761802">
    <w:abstractNumId w:val="2"/>
  </w:num>
  <w:num w:numId="6" w16cid:durableId="1763598875">
    <w:abstractNumId w:val="16"/>
  </w:num>
  <w:num w:numId="7" w16cid:durableId="1886719388">
    <w:abstractNumId w:val="5"/>
  </w:num>
  <w:num w:numId="8" w16cid:durableId="1124541459">
    <w:abstractNumId w:val="3"/>
  </w:num>
  <w:num w:numId="9" w16cid:durableId="507791153">
    <w:abstractNumId w:val="7"/>
  </w:num>
  <w:num w:numId="10" w16cid:durableId="1528719507">
    <w:abstractNumId w:val="6"/>
  </w:num>
  <w:num w:numId="11" w16cid:durableId="503011959">
    <w:abstractNumId w:val="13"/>
  </w:num>
  <w:num w:numId="12" w16cid:durableId="1458987792">
    <w:abstractNumId w:val="8"/>
  </w:num>
  <w:num w:numId="13" w16cid:durableId="559370368">
    <w:abstractNumId w:val="11"/>
  </w:num>
  <w:num w:numId="14" w16cid:durableId="2073192285">
    <w:abstractNumId w:val="1"/>
  </w:num>
  <w:num w:numId="15" w16cid:durableId="445924230">
    <w:abstractNumId w:val="9"/>
  </w:num>
  <w:num w:numId="16" w16cid:durableId="762337692">
    <w:abstractNumId w:val="19"/>
  </w:num>
  <w:num w:numId="17" w16cid:durableId="285549865">
    <w:abstractNumId w:val="0"/>
  </w:num>
  <w:num w:numId="18" w16cid:durableId="1086270424">
    <w:abstractNumId w:val="10"/>
  </w:num>
  <w:num w:numId="19" w16cid:durableId="726029427">
    <w:abstractNumId w:val="20"/>
  </w:num>
  <w:num w:numId="20" w16cid:durableId="216819730">
    <w:abstractNumId w:val="18"/>
  </w:num>
  <w:num w:numId="21" w16cid:durableId="89712979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52F"/>
    <w:rsid w:val="00010077"/>
    <w:rsid w:val="00014D7F"/>
    <w:rsid w:val="00021CB6"/>
    <w:rsid w:val="00031600"/>
    <w:rsid w:val="00031E01"/>
    <w:rsid w:val="000360EB"/>
    <w:rsid w:val="000410B5"/>
    <w:rsid w:val="0005099F"/>
    <w:rsid w:val="0005480D"/>
    <w:rsid w:val="0007235A"/>
    <w:rsid w:val="00075EBD"/>
    <w:rsid w:val="0008459C"/>
    <w:rsid w:val="00084C0B"/>
    <w:rsid w:val="000866FE"/>
    <w:rsid w:val="000A1136"/>
    <w:rsid w:val="000B02F2"/>
    <w:rsid w:val="000B6F62"/>
    <w:rsid w:val="000D415E"/>
    <w:rsid w:val="000D5350"/>
    <w:rsid w:val="000E447F"/>
    <w:rsid w:val="000F1B4B"/>
    <w:rsid w:val="00114CA1"/>
    <w:rsid w:val="001169EF"/>
    <w:rsid w:val="001213A7"/>
    <w:rsid w:val="00122016"/>
    <w:rsid w:val="00124F22"/>
    <w:rsid w:val="00130590"/>
    <w:rsid w:val="0013237C"/>
    <w:rsid w:val="00137534"/>
    <w:rsid w:val="001426EC"/>
    <w:rsid w:val="00154B37"/>
    <w:rsid w:val="00162240"/>
    <w:rsid w:val="00166DFA"/>
    <w:rsid w:val="00182FDC"/>
    <w:rsid w:val="001932E0"/>
    <w:rsid w:val="00195856"/>
    <w:rsid w:val="001B585F"/>
    <w:rsid w:val="001C57F6"/>
    <w:rsid w:val="001C60A9"/>
    <w:rsid w:val="001D25D0"/>
    <w:rsid w:val="001D5C37"/>
    <w:rsid w:val="001D7DA2"/>
    <w:rsid w:val="001E0C2A"/>
    <w:rsid w:val="001E6459"/>
    <w:rsid w:val="001E7549"/>
    <w:rsid w:val="001F4C6F"/>
    <w:rsid w:val="001F6577"/>
    <w:rsid w:val="001F7EE0"/>
    <w:rsid w:val="00213C60"/>
    <w:rsid w:val="00224A81"/>
    <w:rsid w:val="002350C3"/>
    <w:rsid w:val="0023744D"/>
    <w:rsid w:val="00240B3A"/>
    <w:rsid w:val="002415E5"/>
    <w:rsid w:val="00244B91"/>
    <w:rsid w:val="002471EA"/>
    <w:rsid w:val="00253A6A"/>
    <w:rsid w:val="0025478D"/>
    <w:rsid w:val="00262C6C"/>
    <w:rsid w:val="00263B34"/>
    <w:rsid w:val="0026444C"/>
    <w:rsid w:val="00265F06"/>
    <w:rsid w:val="0026739D"/>
    <w:rsid w:val="00290438"/>
    <w:rsid w:val="002A225B"/>
    <w:rsid w:val="002A6C16"/>
    <w:rsid w:val="002B0673"/>
    <w:rsid w:val="002B77AE"/>
    <w:rsid w:val="002D4897"/>
    <w:rsid w:val="002E067D"/>
    <w:rsid w:val="002E101E"/>
    <w:rsid w:val="002F0472"/>
    <w:rsid w:val="002F2B85"/>
    <w:rsid w:val="002F7A0F"/>
    <w:rsid w:val="00337673"/>
    <w:rsid w:val="00346655"/>
    <w:rsid w:val="003544C1"/>
    <w:rsid w:val="00356B4D"/>
    <w:rsid w:val="00375820"/>
    <w:rsid w:val="0037752F"/>
    <w:rsid w:val="00377961"/>
    <w:rsid w:val="00380179"/>
    <w:rsid w:val="00385F2A"/>
    <w:rsid w:val="003946A7"/>
    <w:rsid w:val="003A507E"/>
    <w:rsid w:val="003C1A77"/>
    <w:rsid w:val="003D0E4D"/>
    <w:rsid w:val="003D10DC"/>
    <w:rsid w:val="003D3F7B"/>
    <w:rsid w:val="003D752F"/>
    <w:rsid w:val="003D7FDF"/>
    <w:rsid w:val="004015EE"/>
    <w:rsid w:val="00406767"/>
    <w:rsid w:val="00411CA2"/>
    <w:rsid w:val="00445E1E"/>
    <w:rsid w:val="0044778E"/>
    <w:rsid w:val="00450251"/>
    <w:rsid w:val="00450902"/>
    <w:rsid w:val="00450EE4"/>
    <w:rsid w:val="00454B87"/>
    <w:rsid w:val="004676B4"/>
    <w:rsid w:val="00484B47"/>
    <w:rsid w:val="004C2FAC"/>
    <w:rsid w:val="004D06DC"/>
    <w:rsid w:val="004D35A2"/>
    <w:rsid w:val="004E0423"/>
    <w:rsid w:val="004F3A13"/>
    <w:rsid w:val="005002B4"/>
    <w:rsid w:val="005166EA"/>
    <w:rsid w:val="00531F0C"/>
    <w:rsid w:val="005330CD"/>
    <w:rsid w:val="00542148"/>
    <w:rsid w:val="00547AAF"/>
    <w:rsid w:val="0055409E"/>
    <w:rsid w:val="0056439F"/>
    <w:rsid w:val="00573658"/>
    <w:rsid w:val="005766C0"/>
    <w:rsid w:val="00582E1F"/>
    <w:rsid w:val="0058662D"/>
    <w:rsid w:val="00596380"/>
    <w:rsid w:val="005A2EE7"/>
    <w:rsid w:val="005B182A"/>
    <w:rsid w:val="005B5339"/>
    <w:rsid w:val="005B78E3"/>
    <w:rsid w:val="005C45B8"/>
    <w:rsid w:val="005D57E9"/>
    <w:rsid w:val="005D5F59"/>
    <w:rsid w:val="005E7D91"/>
    <w:rsid w:val="005F6E54"/>
    <w:rsid w:val="00601021"/>
    <w:rsid w:val="00606DD2"/>
    <w:rsid w:val="0060768B"/>
    <w:rsid w:val="0061188A"/>
    <w:rsid w:val="0061638F"/>
    <w:rsid w:val="0061692B"/>
    <w:rsid w:val="00627381"/>
    <w:rsid w:val="0063702F"/>
    <w:rsid w:val="00643BDD"/>
    <w:rsid w:val="00645361"/>
    <w:rsid w:val="0064678F"/>
    <w:rsid w:val="00682A8A"/>
    <w:rsid w:val="006830F9"/>
    <w:rsid w:val="006902E5"/>
    <w:rsid w:val="00691DA6"/>
    <w:rsid w:val="00694919"/>
    <w:rsid w:val="006958D7"/>
    <w:rsid w:val="00696E95"/>
    <w:rsid w:val="006A3CB7"/>
    <w:rsid w:val="006B1192"/>
    <w:rsid w:val="006C0A31"/>
    <w:rsid w:val="006D4EDA"/>
    <w:rsid w:val="006D749E"/>
    <w:rsid w:val="006E2671"/>
    <w:rsid w:val="006F32A0"/>
    <w:rsid w:val="007111F3"/>
    <w:rsid w:val="007148A4"/>
    <w:rsid w:val="00717A87"/>
    <w:rsid w:val="00727C20"/>
    <w:rsid w:val="00731F7D"/>
    <w:rsid w:val="007406D9"/>
    <w:rsid w:val="00767EF9"/>
    <w:rsid w:val="007744FD"/>
    <w:rsid w:val="0077793F"/>
    <w:rsid w:val="00784998"/>
    <w:rsid w:val="00787EA2"/>
    <w:rsid w:val="00794845"/>
    <w:rsid w:val="00795613"/>
    <w:rsid w:val="007A6FB4"/>
    <w:rsid w:val="007C1104"/>
    <w:rsid w:val="007D6325"/>
    <w:rsid w:val="007E0B9E"/>
    <w:rsid w:val="007E5EF7"/>
    <w:rsid w:val="00806DE8"/>
    <w:rsid w:val="008201AF"/>
    <w:rsid w:val="0082103F"/>
    <w:rsid w:val="00836B16"/>
    <w:rsid w:val="0085137F"/>
    <w:rsid w:val="00851454"/>
    <w:rsid w:val="008536BC"/>
    <w:rsid w:val="00872D42"/>
    <w:rsid w:val="0087543E"/>
    <w:rsid w:val="0088608E"/>
    <w:rsid w:val="00895B90"/>
    <w:rsid w:val="008A7A71"/>
    <w:rsid w:val="008B580F"/>
    <w:rsid w:val="008C10CD"/>
    <w:rsid w:val="008D3218"/>
    <w:rsid w:val="008D3DC8"/>
    <w:rsid w:val="008D682E"/>
    <w:rsid w:val="008E39C9"/>
    <w:rsid w:val="008F7F2E"/>
    <w:rsid w:val="00904844"/>
    <w:rsid w:val="00910017"/>
    <w:rsid w:val="00922DF1"/>
    <w:rsid w:val="0092524D"/>
    <w:rsid w:val="00925BFC"/>
    <w:rsid w:val="009422AC"/>
    <w:rsid w:val="00947BA2"/>
    <w:rsid w:val="009618A8"/>
    <w:rsid w:val="009622B3"/>
    <w:rsid w:val="00967FCD"/>
    <w:rsid w:val="00970F48"/>
    <w:rsid w:val="00973AB3"/>
    <w:rsid w:val="009B728F"/>
    <w:rsid w:val="009B7DED"/>
    <w:rsid w:val="009D3E24"/>
    <w:rsid w:val="009D5673"/>
    <w:rsid w:val="009D7FBB"/>
    <w:rsid w:val="009E4933"/>
    <w:rsid w:val="009E664F"/>
    <w:rsid w:val="00A160D4"/>
    <w:rsid w:val="00A453C1"/>
    <w:rsid w:val="00A534A6"/>
    <w:rsid w:val="00A77F84"/>
    <w:rsid w:val="00A80EB5"/>
    <w:rsid w:val="00A87C2B"/>
    <w:rsid w:val="00AA5349"/>
    <w:rsid w:val="00AC158A"/>
    <w:rsid w:val="00AC3B4B"/>
    <w:rsid w:val="00AC56D5"/>
    <w:rsid w:val="00AD730C"/>
    <w:rsid w:val="00AE599B"/>
    <w:rsid w:val="00AE6DAB"/>
    <w:rsid w:val="00AF3C34"/>
    <w:rsid w:val="00AF4E5F"/>
    <w:rsid w:val="00B02EDD"/>
    <w:rsid w:val="00B03489"/>
    <w:rsid w:val="00B04A3B"/>
    <w:rsid w:val="00B07046"/>
    <w:rsid w:val="00B17D14"/>
    <w:rsid w:val="00B27DA8"/>
    <w:rsid w:val="00B410D2"/>
    <w:rsid w:val="00B444A5"/>
    <w:rsid w:val="00B46C26"/>
    <w:rsid w:val="00B4717B"/>
    <w:rsid w:val="00B51649"/>
    <w:rsid w:val="00B63F3F"/>
    <w:rsid w:val="00B74E8D"/>
    <w:rsid w:val="00B777A2"/>
    <w:rsid w:val="00B94399"/>
    <w:rsid w:val="00BA4348"/>
    <w:rsid w:val="00BA7EF2"/>
    <w:rsid w:val="00BC017E"/>
    <w:rsid w:val="00BC6906"/>
    <w:rsid w:val="00BE0A0A"/>
    <w:rsid w:val="00BE134A"/>
    <w:rsid w:val="00BF3D2C"/>
    <w:rsid w:val="00BF4065"/>
    <w:rsid w:val="00C1160D"/>
    <w:rsid w:val="00C33626"/>
    <w:rsid w:val="00C46678"/>
    <w:rsid w:val="00C51D15"/>
    <w:rsid w:val="00C54E89"/>
    <w:rsid w:val="00C57BE6"/>
    <w:rsid w:val="00C70FC4"/>
    <w:rsid w:val="00C83400"/>
    <w:rsid w:val="00C849AA"/>
    <w:rsid w:val="00C85372"/>
    <w:rsid w:val="00C873EB"/>
    <w:rsid w:val="00C934D2"/>
    <w:rsid w:val="00C949CA"/>
    <w:rsid w:val="00CA23EA"/>
    <w:rsid w:val="00CA3EB3"/>
    <w:rsid w:val="00CB7DF3"/>
    <w:rsid w:val="00CD4088"/>
    <w:rsid w:val="00CE03FB"/>
    <w:rsid w:val="00CF3F37"/>
    <w:rsid w:val="00CF6B5E"/>
    <w:rsid w:val="00D10075"/>
    <w:rsid w:val="00D10541"/>
    <w:rsid w:val="00D126BB"/>
    <w:rsid w:val="00D4417F"/>
    <w:rsid w:val="00D45AE8"/>
    <w:rsid w:val="00D46C41"/>
    <w:rsid w:val="00D50091"/>
    <w:rsid w:val="00D709B5"/>
    <w:rsid w:val="00D825D6"/>
    <w:rsid w:val="00D95DEB"/>
    <w:rsid w:val="00DB1870"/>
    <w:rsid w:val="00DB550D"/>
    <w:rsid w:val="00DC7878"/>
    <w:rsid w:val="00DD28A3"/>
    <w:rsid w:val="00DE44FB"/>
    <w:rsid w:val="00DE7FD8"/>
    <w:rsid w:val="00DF1587"/>
    <w:rsid w:val="00DF324A"/>
    <w:rsid w:val="00E200A6"/>
    <w:rsid w:val="00E25553"/>
    <w:rsid w:val="00E35BC9"/>
    <w:rsid w:val="00E41051"/>
    <w:rsid w:val="00E45BC6"/>
    <w:rsid w:val="00E612D0"/>
    <w:rsid w:val="00E70206"/>
    <w:rsid w:val="00E702FD"/>
    <w:rsid w:val="00E76B5C"/>
    <w:rsid w:val="00E841C4"/>
    <w:rsid w:val="00E84A8E"/>
    <w:rsid w:val="00E85557"/>
    <w:rsid w:val="00E9063B"/>
    <w:rsid w:val="00E9563F"/>
    <w:rsid w:val="00E9736E"/>
    <w:rsid w:val="00EA1AA0"/>
    <w:rsid w:val="00EA3D1C"/>
    <w:rsid w:val="00EB266C"/>
    <w:rsid w:val="00EC1802"/>
    <w:rsid w:val="00EC3416"/>
    <w:rsid w:val="00EC3FE3"/>
    <w:rsid w:val="00EF2B5E"/>
    <w:rsid w:val="00F17D75"/>
    <w:rsid w:val="00F17F94"/>
    <w:rsid w:val="00F22D43"/>
    <w:rsid w:val="00F31ED4"/>
    <w:rsid w:val="00F363AD"/>
    <w:rsid w:val="00F36CC4"/>
    <w:rsid w:val="00F37023"/>
    <w:rsid w:val="00F37C66"/>
    <w:rsid w:val="00F50EA2"/>
    <w:rsid w:val="00F56D05"/>
    <w:rsid w:val="00F57810"/>
    <w:rsid w:val="00F62D82"/>
    <w:rsid w:val="00F633C1"/>
    <w:rsid w:val="00F76F85"/>
    <w:rsid w:val="00F77088"/>
    <w:rsid w:val="00F8388E"/>
    <w:rsid w:val="00F9447F"/>
    <w:rsid w:val="00FA0294"/>
    <w:rsid w:val="00FA07A2"/>
    <w:rsid w:val="00FA2061"/>
    <w:rsid w:val="00FB03E1"/>
    <w:rsid w:val="00FB2D8D"/>
    <w:rsid w:val="00FD2C52"/>
    <w:rsid w:val="00FE5E2C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85090C"/>
  <w15:chartTrackingRefBased/>
  <w15:docId w15:val="{6E2D887B-F024-4979-B26D-ACC03071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4A8E"/>
    <w:pPr>
      <w:spacing w:before="120" w:after="120"/>
    </w:pPr>
    <w:rPr>
      <w:sz w:val="18"/>
      <w:szCs w:val="24"/>
    </w:rPr>
  </w:style>
  <w:style w:type="paragraph" w:styleId="Ttulo1">
    <w:name w:val="heading 1"/>
    <w:aliases w:val="MAÍSCULO"/>
    <w:basedOn w:val="Normal"/>
    <w:next w:val="Ttulo2"/>
    <w:qFormat/>
    <w:rsid w:val="009B728F"/>
    <w:pPr>
      <w:keepNext/>
      <w:tabs>
        <w:tab w:val="left" w:pos="340"/>
        <w:tab w:val="left" w:pos="567"/>
      </w:tabs>
      <w:spacing w:before="360"/>
      <w:outlineLvl w:val="0"/>
    </w:pPr>
    <w:rPr>
      <w:rFonts w:cs="Arial"/>
      <w:b/>
      <w:bCs/>
      <w:caps/>
      <w:szCs w:val="18"/>
    </w:rPr>
  </w:style>
  <w:style w:type="paragraph" w:styleId="Ttulo2">
    <w:name w:val="heading 2"/>
    <w:basedOn w:val="Normal"/>
    <w:link w:val="Ttulo2Char"/>
    <w:qFormat/>
    <w:rsid w:val="009B728F"/>
    <w:pPr>
      <w:numPr>
        <w:ilvl w:val="1"/>
        <w:numId w:val="1"/>
      </w:numPr>
      <w:jc w:val="both"/>
      <w:outlineLvl w:val="1"/>
    </w:pPr>
    <w:rPr>
      <w:bCs/>
      <w:szCs w:val="18"/>
      <w:lang w:val="x-none" w:eastAsia="x-none"/>
    </w:rPr>
  </w:style>
  <w:style w:type="paragraph" w:styleId="Ttulo3">
    <w:name w:val="heading 3"/>
    <w:basedOn w:val="Ttulo2"/>
    <w:qFormat/>
    <w:rsid w:val="009E664F"/>
    <w:pPr>
      <w:numPr>
        <w:ilvl w:val="2"/>
      </w:numPr>
      <w:tabs>
        <w:tab w:val="left" w:pos="624"/>
        <w:tab w:val="left" w:pos="680"/>
        <w:tab w:val="left" w:pos="851"/>
      </w:tabs>
      <w:outlineLvl w:val="2"/>
    </w:pPr>
    <w:rPr>
      <w:bCs w:val="0"/>
      <w:lang w:val="en-US"/>
    </w:rPr>
  </w:style>
  <w:style w:type="paragraph" w:styleId="Ttulo4">
    <w:name w:val="heading 4"/>
    <w:basedOn w:val="Ttulo2"/>
    <w:qFormat/>
    <w:rsid w:val="00573658"/>
    <w:pPr>
      <w:keepNext/>
      <w:widowControl w:val="0"/>
      <w:numPr>
        <w:ilvl w:val="3"/>
      </w:numPr>
      <w:tabs>
        <w:tab w:val="left" w:pos="624"/>
        <w:tab w:val="left" w:pos="680"/>
      </w:tabs>
      <w:outlineLvl w:val="3"/>
    </w:pPr>
    <w:rPr>
      <w:rFonts w:cs="Arial"/>
      <w:bCs w:val="0"/>
    </w:rPr>
  </w:style>
  <w:style w:type="paragraph" w:styleId="Ttulo5">
    <w:name w:val="heading 5"/>
    <w:basedOn w:val="Ttulo2"/>
    <w:qFormat/>
    <w:rsid w:val="00B46C26"/>
    <w:pPr>
      <w:numPr>
        <w:ilvl w:val="4"/>
      </w:numPr>
      <w:tabs>
        <w:tab w:val="left" w:pos="737"/>
      </w:tabs>
      <w:outlineLvl w:val="4"/>
    </w:pPr>
    <w:rPr>
      <w:rFonts w:cs="Arial"/>
      <w:bCs w:val="0"/>
    </w:rPr>
  </w:style>
  <w:style w:type="paragraph" w:styleId="Ttulo6">
    <w:name w:val="heading 6"/>
    <w:basedOn w:val="Normal"/>
    <w:next w:val="Normal"/>
    <w:qFormat/>
    <w:rsid w:val="00F50EA2"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Ttulo5"/>
    <w:next w:val="Normal"/>
    <w:qFormat/>
    <w:rsid w:val="00F50EA2"/>
    <w:pPr>
      <w:numPr>
        <w:ilvl w:val="6"/>
      </w:numPr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F50EA2"/>
    <w:pPr>
      <w:keepNext/>
      <w:numPr>
        <w:ilvl w:val="7"/>
        <w:numId w:val="1"/>
      </w:numPr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qFormat/>
    <w:rsid w:val="00F50EA2"/>
    <w:pPr>
      <w:keepNext/>
      <w:numPr>
        <w:ilvl w:val="8"/>
        <w:numId w:val="1"/>
      </w:numPr>
      <w:jc w:val="both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fo">
    <w:name w:val="Paragrafo"/>
    <w:basedOn w:val="Normal"/>
    <w:link w:val="ParagrafoChar"/>
    <w:rsid w:val="00E84A8E"/>
    <w:pPr>
      <w:spacing w:after="60"/>
      <w:jc w:val="both"/>
    </w:pPr>
    <w:rPr>
      <w:rFonts w:cs="Arial"/>
      <w:szCs w:val="18"/>
    </w:rPr>
  </w:style>
  <w:style w:type="character" w:customStyle="1" w:styleId="ParagrafoChar">
    <w:name w:val="Paragrafo Char"/>
    <w:link w:val="Paragrafo"/>
    <w:locked/>
    <w:rsid w:val="00E84A8E"/>
    <w:rPr>
      <w:rFonts w:cs="Arial"/>
      <w:sz w:val="18"/>
      <w:szCs w:val="18"/>
      <w:lang w:val="pt-BR" w:eastAsia="pt-BR" w:bidi="ar-SA"/>
    </w:rPr>
  </w:style>
  <w:style w:type="paragraph" w:customStyle="1" w:styleId="CAPASECRETSEGPUBL">
    <w:name w:val="CAPA SECRET SEG PUBL"/>
    <w:basedOn w:val="Normal"/>
    <w:next w:val="CAPAPOLICIAMILITAR"/>
    <w:link w:val="CAPASECRETSEGPUBLChar"/>
    <w:rsid w:val="00B07046"/>
    <w:pPr>
      <w:tabs>
        <w:tab w:val="center" w:pos="4419"/>
        <w:tab w:val="right" w:pos="8838"/>
      </w:tabs>
      <w:spacing w:after="360"/>
      <w:jc w:val="center"/>
    </w:pPr>
    <w:rPr>
      <w:rFonts w:cs="Arial"/>
      <w:b/>
      <w:bCs/>
      <w:caps/>
      <w:sz w:val="20"/>
      <w:szCs w:val="20"/>
    </w:rPr>
  </w:style>
  <w:style w:type="paragraph" w:customStyle="1" w:styleId="CAPAPOLICIAMILITAR">
    <w:name w:val="CAPA POLICIA MILITAR"/>
    <w:basedOn w:val="CAPASECRETSEGPUBL"/>
    <w:next w:val="CapaCorpodeBombeiros"/>
    <w:link w:val="CAPAPOLICIAMILITARChar"/>
    <w:rsid w:val="00B07046"/>
    <w:pPr>
      <w:tabs>
        <w:tab w:val="clear" w:pos="8838"/>
        <w:tab w:val="right" w:pos="8222"/>
      </w:tabs>
      <w:spacing w:after="240"/>
    </w:pPr>
    <w:rPr>
      <w:sz w:val="27"/>
    </w:rPr>
  </w:style>
  <w:style w:type="paragraph" w:customStyle="1" w:styleId="CapaCorpodeBombeiros">
    <w:name w:val="Capa Corpo de Bombeiros"/>
    <w:basedOn w:val="CAPAPOLICIAMILITAR"/>
    <w:next w:val="CapaInstruoTcnica"/>
    <w:rsid w:val="00B07046"/>
    <w:pPr>
      <w:spacing w:after="720"/>
    </w:pPr>
    <w:rPr>
      <w:caps w:val="0"/>
      <w:sz w:val="32"/>
      <w:szCs w:val="30"/>
    </w:rPr>
  </w:style>
  <w:style w:type="paragraph" w:customStyle="1" w:styleId="CapaInstruoTcnica">
    <w:name w:val="Capa Instrução Técnica"/>
    <w:basedOn w:val="Paragrafo"/>
    <w:next w:val="CapaNomedaIT"/>
    <w:rsid w:val="00B07046"/>
    <w:pPr>
      <w:spacing w:after="160"/>
      <w:jc w:val="center"/>
    </w:pPr>
    <w:rPr>
      <w:b/>
      <w:bCs/>
      <w:caps/>
      <w:color w:val="FF0000"/>
      <w:sz w:val="30"/>
      <w:szCs w:val="30"/>
    </w:rPr>
  </w:style>
  <w:style w:type="paragraph" w:customStyle="1" w:styleId="CapaNomedaIT">
    <w:name w:val="Capa Nome da IT"/>
    <w:basedOn w:val="CAPAPOLICIAMILITAR"/>
    <w:next w:val="Paragrafo"/>
    <w:link w:val="CapaNomedaITChar"/>
    <w:rsid w:val="00B07046"/>
    <w:pPr>
      <w:spacing w:after="0" w:line="312" w:lineRule="auto"/>
    </w:pPr>
    <w:rPr>
      <w:sz w:val="30"/>
      <w:szCs w:val="27"/>
    </w:rPr>
  </w:style>
  <w:style w:type="character" w:customStyle="1" w:styleId="CapaNomedaITChar">
    <w:name w:val="Capa Nome da IT Char"/>
    <w:link w:val="CapaNomedaIT"/>
    <w:rsid w:val="00B07046"/>
    <w:rPr>
      <w:rFonts w:cs="Arial"/>
      <w:b/>
      <w:bCs/>
      <w:caps/>
      <w:sz w:val="30"/>
      <w:szCs w:val="27"/>
      <w:lang w:val="pt-BR" w:eastAsia="pt-BR" w:bidi="ar-SA"/>
    </w:rPr>
  </w:style>
  <w:style w:type="character" w:customStyle="1" w:styleId="CAPAPOLICIAMILITARChar">
    <w:name w:val="CAPA POLICIA MILITAR Char"/>
    <w:link w:val="CAPAPOLICIAMILITAR"/>
    <w:rsid w:val="00B07046"/>
    <w:rPr>
      <w:rFonts w:cs="Arial"/>
      <w:b/>
      <w:bCs/>
      <w:caps/>
      <w:sz w:val="27"/>
      <w:lang w:val="pt-BR" w:eastAsia="pt-BR" w:bidi="ar-SA"/>
    </w:rPr>
  </w:style>
  <w:style w:type="character" w:customStyle="1" w:styleId="CAPASECRETSEGPUBLChar">
    <w:name w:val="CAPA SECRET SEG PUBL Char"/>
    <w:link w:val="CAPASECRETSEGPUBL"/>
    <w:rsid w:val="00B07046"/>
    <w:rPr>
      <w:rFonts w:cs="Arial"/>
      <w:b/>
      <w:bCs/>
      <w:caps/>
      <w:lang w:val="pt-BR" w:eastAsia="pt-BR" w:bidi="ar-SA"/>
    </w:rPr>
  </w:style>
  <w:style w:type="paragraph" w:styleId="Sumrio4">
    <w:name w:val="toc 4"/>
    <w:basedOn w:val="Normal"/>
    <w:next w:val="Normal"/>
    <w:autoRedefine/>
    <w:semiHidden/>
    <w:rsid w:val="00253A6A"/>
    <w:pPr>
      <w:ind w:left="540"/>
    </w:pPr>
  </w:style>
  <w:style w:type="paragraph" w:customStyle="1" w:styleId="TpicosdoSumrio">
    <w:name w:val="Tópicos do Sumário"/>
    <w:basedOn w:val="Normal"/>
    <w:rsid w:val="001C57F6"/>
    <w:pPr>
      <w:numPr>
        <w:numId w:val="2"/>
      </w:numPr>
    </w:pPr>
    <w:rPr>
      <w:szCs w:val="18"/>
    </w:rPr>
  </w:style>
  <w:style w:type="paragraph" w:styleId="Sumrio1">
    <w:name w:val="toc 1"/>
    <w:basedOn w:val="Normal"/>
    <w:next w:val="Normal"/>
    <w:autoRedefine/>
    <w:semiHidden/>
    <w:rsid w:val="00DB550D"/>
  </w:style>
  <w:style w:type="paragraph" w:customStyle="1" w:styleId="Numerada-listagem">
    <w:name w:val="Numerada - listagem"/>
    <w:basedOn w:val="Paragrafo"/>
    <w:autoRedefine/>
    <w:rsid w:val="00450EE4"/>
    <w:pPr>
      <w:numPr>
        <w:numId w:val="5"/>
      </w:numPr>
      <w:spacing w:after="0"/>
    </w:pPr>
  </w:style>
  <w:style w:type="paragraph" w:customStyle="1" w:styleId="TtuloSUMRIO-ANEXO">
    <w:name w:val="Título SUMÁRIO-ANEXO"/>
    <w:basedOn w:val="Normal"/>
    <w:next w:val="Paragrafo"/>
    <w:rsid w:val="00E25553"/>
    <w:rPr>
      <w:b/>
      <w:caps/>
      <w:sz w:val="20"/>
      <w:szCs w:val="20"/>
    </w:rPr>
  </w:style>
  <w:style w:type="paragraph" w:customStyle="1" w:styleId="TextonumeradodoAnexo">
    <w:name w:val="Texto numerado do Anexo"/>
    <w:basedOn w:val="Normal"/>
    <w:rsid w:val="00C46678"/>
    <w:pPr>
      <w:numPr>
        <w:numId w:val="3"/>
      </w:numPr>
    </w:pPr>
    <w:rPr>
      <w:szCs w:val="18"/>
    </w:rPr>
  </w:style>
  <w:style w:type="paragraph" w:customStyle="1" w:styleId="Figura">
    <w:name w:val="Figura"/>
    <w:basedOn w:val="Normal"/>
    <w:next w:val="Fonte"/>
    <w:rsid w:val="009D3E24"/>
    <w:pPr>
      <w:numPr>
        <w:numId w:val="4"/>
      </w:numPr>
      <w:tabs>
        <w:tab w:val="left" w:pos="0"/>
        <w:tab w:val="left" w:pos="227"/>
        <w:tab w:val="left" w:pos="454"/>
      </w:tabs>
      <w:spacing w:after="0"/>
      <w:ind w:left="470" w:hanging="357"/>
      <w:jc w:val="both"/>
      <w:outlineLvl w:val="0"/>
    </w:pPr>
    <w:rPr>
      <w:rFonts w:cs="Arial"/>
      <w:i/>
    </w:rPr>
  </w:style>
  <w:style w:type="paragraph" w:customStyle="1" w:styleId="Fonte">
    <w:name w:val="Fonte"/>
    <w:basedOn w:val="Normal"/>
    <w:next w:val="Paragrafo"/>
    <w:autoRedefine/>
    <w:rsid w:val="00130590"/>
    <w:pPr>
      <w:jc w:val="center"/>
    </w:pPr>
    <w:rPr>
      <w:rFonts w:cs="Arial"/>
      <w:b/>
      <w:bCs/>
      <w:sz w:val="17"/>
    </w:rPr>
  </w:style>
  <w:style w:type="table" w:styleId="Tabelacomgrade">
    <w:name w:val="Table Grid"/>
    <w:basedOn w:val="Tabelanormal"/>
    <w:rsid w:val="001958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deTabela">
    <w:name w:val="Texto de Tabela"/>
    <w:basedOn w:val="Normal"/>
    <w:qFormat/>
    <w:rsid w:val="00627381"/>
    <w:pPr>
      <w:spacing w:before="30" w:after="30"/>
    </w:pPr>
    <w:rPr>
      <w:bCs/>
    </w:rPr>
  </w:style>
  <w:style w:type="paragraph" w:customStyle="1" w:styleId="TextodeTabelaCentralizado">
    <w:name w:val="Texto de Tabela Centralizado"/>
    <w:basedOn w:val="TextodeTabela"/>
    <w:rsid w:val="00627381"/>
    <w:pPr>
      <w:jc w:val="center"/>
    </w:pPr>
  </w:style>
  <w:style w:type="paragraph" w:customStyle="1" w:styleId="TITIII">
    <w:name w:val="TIT I.I.I"/>
    <w:basedOn w:val="Normal"/>
    <w:rsid w:val="003C1A77"/>
    <w:pPr>
      <w:suppressAutoHyphens/>
      <w:spacing w:before="283" w:after="113" w:line="240" w:lineRule="atLeast"/>
    </w:pPr>
    <w:rPr>
      <w:rFonts w:ascii="Gill Sans" w:hAnsi="Gill Sans" w:cs="Times"/>
      <w:b/>
      <w:color w:val="000000"/>
      <w:sz w:val="22"/>
      <w:szCs w:val="20"/>
      <w:lang w:val="en-US" w:eastAsia="ar-SA"/>
    </w:rPr>
  </w:style>
  <w:style w:type="character" w:customStyle="1" w:styleId="bold">
    <w:name w:val="bold"/>
    <w:rsid w:val="000B6F62"/>
    <w:rPr>
      <w:b/>
      <w:bCs w:val="0"/>
    </w:rPr>
  </w:style>
  <w:style w:type="paragraph" w:customStyle="1" w:styleId="abcrecuado">
    <w:name w:val="abc recuado"/>
    <w:basedOn w:val="Normal"/>
    <w:rsid w:val="002E067D"/>
    <w:pPr>
      <w:tabs>
        <w:tab w:val="left" w:pos="1429"/>
      </w:tabs>
      <w:suppressAutoHyphens/>
      <w:spacing w:after="0" w:line="240" w:lineRule="atLeast"/>
      <w:ind w:left="709" w:hanging="283"/>
      <w:jc w:val="both"/>
    </w:pPr>
    <w:rPr>
      <w:rFonts w:ascii="Gill Sans" w:hAnsi="Gill Sans" w:cs="Times"/>
      <w:color w:val="000000"/>
      <w:sz w:val="20"/>
      <w:szCs w:val="20"/>
      <w:lang w:val="en-US" w:eastAsia="ar-SA"/>
    </w:rPr>
  </w:style>
  <w:style w:type="paragraph" w:customStyle="1" w:styleId="NBRDT">
    <w:name w:val="NBR_DT"/>
    <w:basedOn w:val="Normal"/>
    <w:rsid w:val="005B5339"/>
    <w:pPr>
      <w:suppressAutoHyphens/>
      <w:spacing w:before="180" w:after="0" w:line="220" w:lineRule="atLeast"/>
      <w:jc w:val="center"/>
    </w:pPr>
    <w:rPr>
      <w:rFonts w:ascii="Arial" w:hAnsi="Arial" w:cs="Arial"/>
      <w:caps/>
      <w:color w:val="000000"/>
      <w:spacing w:val="8"/>
      <w:szCs w:val="18"/>
      <w:lang w:eastAsia="ar-SA"/>
    </w:rPr>
  </w:style>
  <w:style w:type="paragraph" w:customStyle="1" w:styleId="Noparagraphstyle">
    <w:name w:val="[No paragraph style]"/>
    <w:rsid w:val="005B5339"/>
    <w:pPr>
      <w:suppressAutoHyphens/>
      <w:spacing w:before="120" w:after="120" w:line="288" w:lineRule="auto"/>
    </w:pPr>
    <w:rPr>
      <w:rFonts w:ascii="Times" w:hAnsi="Times" w:cs="Times"/>
      <w:color w:val="000000"/>
      <w:sz w:val="24"/>
      <w:lang w:val="en-US" w:eastAsia="ar-SA"/>
    </w:rPr>
  </w:style>
  <w:style w:type="paragraph" w:customStyle="1" w:styleId="TTULOCorpo">
    <w:name w:val="TÍTULOCorpo"/>
    <w:basedOn w:val="Normal"/>
    <w:next w:val="Normal"/>
    <w:rsid w:val="005B5339"/>
    <w:pPr>
      <w:tabs>
        <w:tab w:val="num" w:pos="360"/>
        <w:tab w:val="left" w:pos="724"/>
      </w:tabs>
      <w:suppressAutoHyphens/>
      <w:spacing w:before="180" w:after="0" w:line="220" w:lineRule="atLeast"/>
      <w:jc w:val="both"/>
    </w:pPr>
    <w:rPr>
      <w:rFonts w:ascii="Arial" w:hAnsi="Arial" w:cs="Arial"/>
      <w:color w:val="000000"/>
      <w:spacing w:val="8"/>
      <w:sz w:val="24"/>
      <w:szCs w:val="18"/>
      <w:lang w:eastAsia="ar-SA"/>
    </w:rPr>
  </w:style>
  <w:style w:type="paragraph" w:styleId="MapadoDocumento">
    <w:name w:val="Document Map"/>
    <w:basedOn w:val="Normal"/>
    <w:link w:val="MapadoDocumentoChar"/>
    <w:rsid w:val="00E70206"/>
    <w:rPr>
      <w:rFonts w:ascii="Tahoma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rsid w:val="00E7020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Subttulo"/>
    <w:link w:val="TtuloChar"/>
    <w:qFormat/>
    <w:rsid w:val="00682A8A"/>
    <w:pPr>
      <w:suppressAutoHyphens/>
      <w:spacing w:after="0"/>
      <w:jc w:val="center"/>
    </w:pPr>
    <w:rPr>
      <w:rFonts w:ascii="Arial Narrow" w:hAnsi="Arial Narrow"/>
      <w:b/>
      <w:bCs/>
      <w:sz w:val="20"/>
      <w:lang w:val="x-none" w:eastAsia="ar-SA"/>
    </w:rPr>
  </w:style>
  <w:style w:type="character" w:customStyle="1" w:styleId="TtuloChar">
    <w:name w:val="Título Char"/>
    <w:link w:val="Ttulo"/>
    <w:rsid w:val="00682A8A"/>
    <w:rPr>
      <w:rFonts w:ascii="Arial Narrow" w:hAnsi="Arial Narrow" w:cs="Arial"/>
      <w:b/>
      <w:bCs/>
      <w:szCs w:val="24"/>
      <w:lang w:eastAsia="ar-SA"/>
    </w:rPr>
  </w:style>
  <w:style w:type="paragraph" w:styleId="Subttulo">
    <w:name w:val="Subtitle"/>
    <w:basedOn w:val="Normal"/>
    <w:next w:val="Normal"/>
    <w:link w:val="SubttuloChar"/>
    <w:qFormat/>
    <w:rsid w:val="00682A8A"/>
    <w:pPr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SubttuloChar">
    <w:name w:val="Subtítulo Char"/>
    <w:link w:val="Subttulo"/>
    <w:rsid w:val="00682A8A"/>
    <w:rPr>
      <w:rFonts w:ascii="Cambria" w:eastAsia="Times New Roman" w:hAnsi="Cambr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03489"/>
    <w:pPr>
      <w:ind w:left="708"/>
    </w:pPr>
  </w:style>
  <w:style w:type="paragraph" w:styleId="Cabealho">
    <w:name w:val="header"/>
    <w:basedOn w:val="Normal"/>
    <w:link w:val="CabealhoChar"/>
    <w:uiPriority w:val="99"/>
    <w:rsid w:val="005166E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5166EA"/>
    <w:rPr>
      <w:sz w:val="18"/>
      <w:szCs w:val="24"/>
    </w:rPr>
  </w:style>
  <w:style w:type="paragraph" w:styleId="Rodap">
    <w:name w:val="footer"/>
    <w:basedOn w:val="Normal"/>
    <w:link w:val="RodapChar"/>
    <w:uiPriority w:val="99"/>
    <w:rsid w:val="005166E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166EA"/>
    <w:rPr>
      <w:sz w:val="18"/>
      <w:szCs w:val="24"/>
    </w:rPr>
  </w:style>
  <w:style w:type="paragraph" w:styleId="Textodebalo">
    <w:name w:val="Balloon Text"/>
    <w:basedOn w:val="Normal"/>
    <w:link w:val="TextodebaloChar"/>
    <w:rsid w:val="00DE7FD8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DE7FD8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E9063B"/>
    <w:rPr>
      <w:bCs/>
      <w:sz w:val="18"/>
      <w:szCs w:val="18"/>
    </w:rPr>
  </w:style>
  <w:style w:type="paragraph" w:customStyle="1" w:styleId="Default">
    <w:name w:val="Default"/>
    <w:rsid w:val="00787EA2"/>
    <w:pPr>
      <w:autoSpaceDE w:val="0"/>
      <w:autoSpaceDN w:val="0"/>
      <w:adjustRightInd w:val="0"/>
      <w:spacing w:before="120" w:after="120"/>
    </w:pPr>
    <w:rPr>
      <w:rFonts w:ascii="Arial" w:hAnsi="Arial" w:cs="Arial"/>
      <w:color w:val="000000"/>
      <w:sz w:val="24"/>
      <w:szCs w:val="24"/>
    </w:rPr>
  </w:style>
  <w:style w:type="paragraph" w:customStyle="1" w:styleId="ITTTULO1">
    <w:name w:val="IT TÍTULO 1"/>
    <w:basedOn w:val="Ttulo1"/>
    <w:next w:val="Ttulo2"/>
    <w:qFormat/>
    <w:rsid w:val="004E0423"/>
    <w:pPr>
      <w:numPr>
        <w:numId w:val="1"/>
      </w:numPr>
    </w:pPr>
    <w:rPr>
      <w:sz w:val="20"/>
      <w:szCs w:val="20"/>
    </w:rPr>
  </w:style>
  <w:style w:type="paragraph" w:customStyle="1" w:styleId="ITTEXTO2">
    <w:name w:val="IT TEXTO 2"/>
    <w:basedOn w:val="Ttulo2"/>
    <w:next w:val="Ttulo3"/>
    <w:qFormat/>
    <w:rsid w:val="004E0423"/>
    <w:pPr>
      <w:spacing w:line="276" w:lineRule="auto"/>
      <w:ind w:left="578" w:hanging="578"/>
    </w:pPr>
    <w:rPr>
      <w:sz w:val="20"/>
      <w:szCs w:val="20"/>
    </w:rPr>
  </w:style>
  <w:style w:type="paragraph" w:customStyle="1" w:styleId="ITTTULO3">
    <w:name w:val="IT TÍTULO 3"/>
    <w:basedOn w:val="Ttulo3"/>
    <w:next w:val="Ttulo4"/>
    <w:qFormat/>
    <w:rsid w:val="004E0423"/>
    <w:pPr>
      <w:spacing w:line="276" w:lineRule="auto"/>
    </w:pPr>
    <w:rPr>
      <w:b/>
      <w:sz w:val="20"/>
      <w:szCs w:val="20"/>
    </w:rPr>
  </w:style>
  <w:style w:type="paragraph" w:customStyle="1" w:styleId="ITTEXTO4">
    <w:name w:val="IT TEXTO 4"/>
    <w:basedOn w:val="Ttulo4"/>
    <w:next w:val="Ttulo5"/>
    <w:qFormat/>
    <w:rsid w:val="00FE5E2C"/>
    <w:pPr>
      <w:tabs>
        <w:tab w:val="clear" w:pos="624"/>
        <w:tab w:val="clear" w:pos="680"/>
        <w:tab w:val="clear" w:pos="864"/>
        <w:tab w:val="num" w:pos="0"/>
      </w:tabs>
      <w:spacing w:line="276" w:lineRule="auto"/>
      <w:ind w:left="0" w:firstLine="0"/>
    </w:pPr>
    <w:rPr>
      <w:sz w:val="20"/>
      <w:szCs w:val="20"/>
    </w:rPr>
  </w:style>
  <w:style w:type="paragraph" w:customStyle="1" w:styleId="ITTEXTO5">
    <w:name w:val="IT TEXTO 5"/>
    <w:basedOn w:val="Ttulo5"/>
    <w:next w:val="Remissivo6"/>
    <w:qFormat/>
    <w:rsid w:val="00895B90"/>
    <w:pPr>
      <w:tabs>
        <w:tab w:val="clear" w:pos="1008"/>
        <w:tab w:val="num" w:pos="0"/>
        <w:tab w:val="left" w:pos="1134"/>
      </w:tabs>
      <w:spacing w:line="276" w:lineRule="auto"/>
      <w:ind w:left="0" w:firstLine="0"/>
    </w:pPr>
    <w:rPr>
      <w:rFonts w:cs="Times New Roman"/>
      <w:sz w:val="20"/>
      <w:szCs w:val="20"/>
    </w:rPr>
  </w:style>
  <w:style w:type="paragraph" w:customStyle="1" w:styleId="ITTEXTO3">
    <w:name w:val="IT TEXTO 3"/>
    <w:basedOn w:val="Ttulo3"/>
    <w:next w:val="ITTEXTO4"/>
    <w:qFormat/>
    <w:rsid w:val="00FE5E2C"/>
    <w:pPr>
      <w:spacing w:line="276" w:lineRule="auto"/>
      <w:ind w:left="0" w:firstLine="0"/>
    </w:pPr>
    <w:rPr>
      <w:sz w:val="20"/>
      <w:szCs w:val="20"/>
      <w:lang w:val="pt-BR"/>
    </w:rPr>
  </w:style>
  <w:style w:type="paragraph" w:styleId="Remissivo6">
    <w:name w:val="index 6"/>
    <w:basedOn w:val="Normal"/>
    <w:next w:val="Normal"/>
    <w:autoRedefine/>
    <w:rsid w:val="00337673"/>
    <w:pPr>
      <w:ind w:left="1080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image" Target="media/image9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18665-FB3D-4811-B3DA-681A4D364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15 (Parte 6) CBMAL – Versão 1 – Vigência: Janeiro 2020</vt:lpstr>
    </vt:vector>
  </TitlesOfParts>
  <Company>therebels.de</Company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15 (Parte 6) CBMAL – Versão 1 – Vigência: Janeiro 2020</dc:title>
  <dc:subject/>
  <dc:creator>asilva</dc:creator>
  <cp:keywords/>
  <cp:lastModifiedBy>EA - Eliza Castro Lopes Da Silva</cp:lastModifiedBy>
  <cp:revision>2</cp:revision>
  <cp:lastPrinted>2021-04-17T17:32:00Z</cp:lastPrinted>
  <dcterms:created xsi:type="dcterms:W3CDTF">2025-08-22T21:01:00Z</dcterms:created>
  <dcterms:modified xsi:type="dcterms:W3CDTF">2025-08-22T21:01:00Z</dcterms:modified>
</cp:coreProperties>
</file>