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D5" w:rsidRDefault="00790EEE"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1061C4" w:rsidRDefault="0061223E" w:rsidP="0061223E">
      <w:pPr>
        <w:jc w:val="center"/>
        <w:rPr>
          <w:sz w:val="32"/>
          <w:szCs w:val="32"/>
        </w:rPr>
      </w:pPr>
      <w:r w:rsidRPr="001061C4">
        <w:rPr>
          <w:sz w:val="32"/>
          <w:szCs w:val="32"/>
        </w:rPr>
        <w:t>Corpo de Bombeiros Militar de Alagoas</w:t>
      </w:r>
    </w:p>
    <w:p w:rsidR="0061223E" w:rsidRDefault="0061223E" w:rsidP="0061223E">
      <w:pPr>
        <w:jc w:val="center"/>
      </w:pPr>
    </w:p>
    <w:p w:rsidR="0061223E" w:rsidRPr="0061223E" w:rsidRDefault="0061223E" w:rsidP="0061223E">
      <w:pPr>
        <w:jc w:val="center"/>
        <w:rPr>
          <w:sz w:val="40"/>
          <w:szCs w:val="40"/>
        </w:rPr>
      </w:pPr>
      <w:r w:rsidRPr="0061223E">
        <w:rPr>
          <w:sz w:val="40"/>
          <w:szCs w:val="40"/>
        </w:rPr>
        <w:t xml:space="preserve">INSTRUÇÃO TÉCNICA Nº </w:t>
      </w:r>
      <w:r w:rsidR="008C5AC9">
        <w:rPr>
          <w:sz w:val="40"/>
          <w:szCs w:val="40"/>
        </w:rPr>
        <w:t>31</w:t>
      </w:r>
      <w:r w:rsidR="00123AB5">
        <w:rPr>
          <w:sz w:val="40"/>
          <w:szCs w:val="40"/>
        </w:rPr>
        <w:t>/202</w:t>
      </w:r>
      <w:r w:rsidR="008C5AC9">
        <w:rPr>
          <w:sz w:val="40"/>
          <w:szCs w:val="40"/>
        </w:rPr>
        <w:t>1</w:t>
      </w:r>
    </w:p>
    <w:p w:rsidR="0061223E" w:rsidRPr="00FC5A77" w:rsidRDefault="0061223E" w:rsidP="0061223E">
      <w:pPr>
        <w:jc w:val="center"/>
        <w:rPr>
          <w:b/>
          <w:sz w:val="40"/>
          <w:szCs w:val="40"/>
        </w:rPr>
      </w:pPr>
    </w:p>
    <w:p w:rsidR="00F87C2E" w:rsidRPr="00FC5A77" w:rsidRDefault="00F90E04" w:rsidP="0061223E">
      <w:pPr>
        <w:jc w:val="center"/>
        <w:rPr>
          <w:b/>
          <w:sz w:val="40"/>
          <w:szCs w:val="40"/>
        </w:rPr>
      </w:pPr>
      <w:r w:rsidRPr="00FC5A77">
        <w:rPr>
          <w:b/>
          <w:sz w:val="40"/>
          <w:szCs w:val="40"/>
        </w:rPr>
        <w:t>Segurança contra incêndio em heliponto e heliporto</w:t>
      </w:r>
    </w:p>
    <w:p w:rsidR="008C5AC9" w:rsidRDefault="008C5AC9" w:rsidP="00540109">
      <w:pPr>
        <w:autoSpaceDE w:val="0"/>
        <w:autoSpaceDN w:val="0"/>
        <w:adjustRightInd w:val="0"/>
        <w:spacing w:before="0" w:line="240" w:lineRule="auto"/>
        <w:jc w:val="left"/>
        <w:rPr>
          <w:rFonts w:cs="Times New Roman"/>
          <w:b/>
          <w:bCs/>
          <w:color w:val="000000"/>
          <w:sz w:val="20"/>
          <w:szCs w:val="20"/>
        </w:rPr>
      </w:pPr>
    </w:p>
    <w:p w:rsidR="00B67EC6" w:rsidRDefault="00B67EC6" w:rsidP="00B67EC6">
      <w:pPr>
        <w:pStyle w:val="Ttulo1"/>
      </w:pPr>
    </w:p>
    <w:p w:rsidR="00B67EC6" w:rsidRPr="00B67EC6" w:rsidRDefault="00B67EC6" w:rsidP="00B67EC6"/>
    <w:p w:rsidR="00540109" w:rsidRPr="002607EC" w:rsidRDefault="00540109" w:rsidP="00540109">
      <w:pPr>
        <w:autoSpaceDE w:val="0"/>
        <w:autoSpaceDN w:val="0"/>
        <w:adjustRightInd w:val="0"/>
        <w:spacing w:before="0" w:line="240" w:lineRule="auto"/>
        <w:jc w:val="left"/>
        <w:rPr>
          <w:rFonts w:cs="Times New Roman"/>
          <w:color w:val="000000"/>
          <w:sz w:val="20"/>
          <w:szCs w:val="20"/>
        </w:rPr>
      </w:pPr>
      <w:r w:rsidRPr="002607EC">
        <w:rPr>
          <w:rFonts w:cs="Times New Roman"/>
          <w:b/>
          <w:bCs/>
          <w:color w:val="000000"/>
          <w:sz w:val="20"/>
          <w:szCs w:val="20"/>
        </w:rPr>
        <w:t xml:space="preserve">SUMÁRIO </w:t>
      </w:r>
    </w:p>
    <w:p w:rsidR="00540109" w:rsidRPr="002607EC" w:rsidRDefault="00540109" w:rsidP="00540109">
      <w:pPr>
        <w:autoSpaceDE w:val="0"/>
        <w:autoSpaceDN w:val="0"/>
        <w:adjustRightInd w:val="0"/>
        <w:spacing w:before="0" w:after="113" w:line="240" w:lineRule="auto"/>
        <w:jc w:val="left"/>
        <w:rPr>
          <w:rFonts w:cs="Times New Roman"/>
          <w:color w:val="000000"/>
          <w:sz w:val="20"/>
          <w:szCs w:val="20"/>
        </w:rPr>
      </w:pPr>
      <w:proofErr w:type="gramStart"/>
      <w:r w:rsidRPr="002607EC">
        <w:rPr>
          <w:rFonts w:cs="Times New Roman"/>
          <w:b/>
          <w:bCs/>
          <w:color w:val="000000"/>
          <w:sz w:val="20"/>
          <w:szCs w:val="20"/>
        </w:rPr>
        <w:t>1</w:t>
      </w:r>
      <w:proofErr w:type="gramEnd"/>
      <w:r w:rsidRPr="002607EC">
        <w:rPr>
          <w:rFonts w:cs="Times New Roman"/>
          <w:b/>
          <w:bCs/>
          <w:color w:val="000000"/>
          <w:sz w:val="20"/>
          <w:szCs w:val="20"/>
        </w:rPr>
        <w:t xml:space="preserve"> </w:t>
      </w:r>
      <w:r w:rsidRPr="002607EC">
        <w:rPr>
          <w:rFonts w:cs="Times New Roman"/>
          <w:color w:val="000000"/>
          <w:sz w:val="20"/>
          <w:szCs w:val="20"/>
        </w:rPr>
        <w:t xml:space="preserve">Objetivo </w:t>
      </w:r>
    </w:p>
    <w:p w:rsidR="00540109" w:rsidRPr="002607EC" w:rsidRDefault="00540109" w:rsidP="00540109">
      <w:pPr>
        <w:autoSpaceDE w:val="0"/>
        <w:autoSpaceDN w:val="0"/>
        <w:adjustRightInd w:val="0"/>
        <w:spacing w:before="0" w:after="113" w:line="240" w:lineRule="auto"/>
        <w:jc w:val="left"/>
        <w:rPr>
          <w:rFonts w:cs="Times New Roman"/>
          <w:color w:val="000000"/>
          <w:sz w:val="20"/>
          <w:szCs w:val="20"/>
        </w:rPr>
      </w:pPr>
      <w:proofErr w:type="gramStart"/>
      <w:r w:rsidRPr="002607EC">
        <w:rPr>
          <w:rFonts w:cs="Times New Roman"/>
          <w:b/>
          <w:bCs/>
          <w:color w:val="000000"/>
          <w:sz w:val="20"/>
          <w:szCs w:val="20"/>
        </w:rPr>
        <w:t>2</w:t>
      </w:r>
      <w:proofErr w:type="gramEnd"/>
      <w:r w:rsidRPr="002607EC">
        <w:rPr>
          <w:rFonts w:cs="Times New Roman"/>
          <w:b/>
          <w:bCs/>
          <w:color w:val="000000"/>
          <w:sz w:val="20"/>
          <w:szCs w:val="20"/>
        </w:rPr>
        <w:t xml:space="preserve"> </w:t>
      </w:r>
      <w:r w:rsidRPr="002607EC">
        <w:rPr>
          <w:rFonts w:cs="Times New Roman"/>
          <w:color w:val="000000"/>
          <w:sz w:val="20"/>
          <w:szCs w:val="20"/>
        </w:rPr>
        <w:t xml:space="preserve">Aplicação </w:t>
      </w:r>
    </w:p>
    <w:p w:rsidR="00540109" w:rsidRPr="002607EC" w:rsidRDefault="00540109" w:rsidP="00540109">
      <w:pPr>
        <w:autoSpaceDE w:val="0"/>
        <w:autoSpaceDN w:val="0"/>
        <w:adjustRightInd w:val="0"/>
        <w:spacing w:before="0" w:after="113" w:line="240" w:lineRule="auto"/>
        <w:jc w:val="left"/>
        <w:rPr>
          <w:rFonts w:cs="Times New Roman"/>
          <w:color w:val="000000"/>
          <w:sz w:val="20"/>
          <w:szCs w:val="20"/>
        </w:rPr>
      </w:pPr>
      <w:proofErr w:type="gramStart"/>
      <w:r w:rsidRPr="002607EC">
        <w:rPr>
          <w:rFonts w:cs="Times New Roman"/>
          <w:b/>
          <w:bCs/>
          <w:color w:val="000000"/>
          <w:sz w:val="20"/>
          <w:szCs w:val="20"/>
        </w:rPr>
        <w:t>3</w:t>
      </w:r>
      <w:proofErr w:type="gramEnd"/>
      <w:r w:rsidRPr="002607EC">
        <w:rPr>
          <w:rFonts w:cs="Times New Roman"/>
          <w:b/>
          <w:bCs/>
          <w:color w:val="000000"/>
          <w:sz w:val="20"/>
          <w:szCs w:val="20"/>
        </w:rPr>
        <w:t xml:space="preserve"> </w:t>
      </w:r>
      <w:r w:rsidRPr="002607EC">
        <w:rPr>
          <w:rFonts w:cs="Times New Roman"/>
          <w:color w:val="000000"/>
          <w:sz w:val="20"/>
          <w:szCs w:val="20"/>
        </w:rPr>
        <w:t xml:space="preserve">Referências normativas e bibliográficas </w:t>
      </w:r>
    </w:p>
    <w:p w:rsidR="00540109" w:rsidRPr="002607EC" w:rsidRDefault="00540109" w:rsidP="00540109">
      <w:pPr>
        <w:autoSpaceDE w:val="0"/>
        <w:autoSpaceDN w:val="0"/>
        <w:adjustRightInd w:val="0"/>
        <w:spacing w:before="0" w:after="113" w:line="240" w:lineRule="auto"/>
        <w:jc w:val="left"/>
        <w:rPr>
          <w:rFonts w:cs="Times New Roman"/>
          <w:color w:val="000000"/>
          <w:sz w:val="20"/>
          <w:szCs w:val="20"/>
        </w:rPr>
      </w:pPr>
      <w:proofErr w:type="gramStart"/>
      <w:r w:rsidRPr="002607EC">
        <w:rPr>
          <w:rFonts w:cs="Times New Roman"/>
          <w:b/>
          <w:bCs/>
          <w:color w:val="000000"/>
          <w:sz w:val="20"/>
          <w:szCs w:val="20"/>
        </w:rPr>
        <w:t>4</w:t>
      </w:r>
      <w:proofErr w:type="gramEnd"/>
      <w:r w:rsidRPr="002607EC">
        <w:rPr>
          <w:rFonts w:cs="Times New Roman"/>
          <w:b/>
          <w:bCs/>
          <w:color w:val="000000"/>
          <w:sz w:val="20"/>
          <w:szCs w:val="20"/>
        </w:rPr>
        <w:t xml:space="preserve"> </w:t>
      </w:r>
      <w:r w:rsidRPr="002607EC">
        <w:rPr>
          <w:rFonts w:cs="Times New Roman"/>
          <w:color w:val="000000"/>
          <w:sz w:val="20"/>
          <w:szCs w:val="20"/>
        </w:rPr>
        <w:t xml:space="preserve">Definições </w:t>
      </w:r>
    </w:p>
    <w:p w:rsidR="00540109" w:rsidRPr="002607EC" w:rsidRDefault="00540109" w:rsidP="00540109">
      <w:pPr>
        <w:autoSpaceDE w:val="0"/>
        <w:autoSpaceDN w:val="0"/>
        <w:adjustRightInd w:val="0"/>
        <w:spacing w:before="0" w:after="113" w:line="240" w:lineRule="auto"/>
        <w:jc w:val="left"/>
        <w:rPr>
          <w:rFonts w:cs="Times New Roman"/>
          <w:color w:val="000000"/>
          <w:sz w:val="20"/>
          <w:szCs w:val="20"/>
        </w:rPr>
      </w:pPr>
      <w:proofErr w:type="gramStart"/>
      <w:r w:rsidRPr="002607EC">
        <w:rPr>
          <w:rFonts w:cs="Times New Roman"/>
          <w:b/>
          <w:bCs/>
          <w:color w:val="000000"/>
          <w:sz w:val="20"/>
          <w:szCs w:val="20"/>
        </w:rPr>
        <w:t>5</w:t>
      </w:r>
      <w:proofErr w:type="gramEnd"/>
      <w:r w:rsidRPr="002607EC">
        <w:rPr>
          <w:rFonts w:cs="Times New Roman"/>
          <w:b/>
          <w:bCs/>
          <w:color w:val="000000"/>
          <w:sz w:val="20"/>
          <w:szCs w:val="20"/>
        </w:rPr>
        <w:t xml:space="preserve"> </w:t>
      </w:r>
      <w:r w:rsidRPr="002607EC">
        <w:rPr>
          <w:rFonts w:cs="Times New Roman"/>
          <w:color w:val="000000"/>
          <w:sz w:val="20"/>
          <w:szCs w:val="20"/>
        </w:rPr>
        <w:t xml:space="preserve">Procedimentos </w:t>
      </w:r>
    </w:p>
    <w:p w:rsidR="00540109" w:rsidRPr="002607EC" w:rsidRDefault="00540109" w:rsidP="00540109">
      <w:pPr>
        <w:autoSpaceDE w:val="0"/>
        <w:autoSpaceDN w:val="0"/>
        <w:adjustRightInd w:val="0"/>
        <w:spacing w:before="0" w:after="0" w:line="240" w:lineRule="auto"/>
        <w:jc w:val="left"/>
        <w:rPr>
          <w:rFonts w:cs="Times New Roman"/>
          <w:color w:val="000000"/>
          <w:sz w:val="20"/>
          <w:szCs w:val="20"/>
        </w:rPr>
      </w:pPr>
      <w:proofErr w:type="gramStart"/>
      <w:r w:rsidRPr="002607EC">
        <w:rPr>
          <w:rFonts w:cs="Times New Roman"/>
          <w:b/>
          <w:bCs/>
          <w:color w:val="000000"/>
          <w:sz w:val="20"/>
          <w:szCs w:val="20"/>
        </w:rPr>
        <w:t>6</w:t>
      </w:r>
      <w:proofErr w:type="gramEnd"/>
      <w:r w:rsidRPr="002607EC">
        <w:rPr>
          <w:rFonts w:cs="Times New Roman"/>
          <w:b/>
          <w:bCs/>
          <w:color w:val="000000"/>
          <w:sz w:val="20"/>
          <w:szCs w:val="20"/>
        </w:rPr>
        <w:t xml:space="preserve"> </w:t>
      </w:r>
      <w:r w:rsidRPr="002607EC">
        <w:rPr>
          <w:rFonts w:cs="Times New Roman"/>
          <w:color w:val="000000"/>
          <w:sz w:val="20"/>
          <w:szCs w:val="20"/>
        </w:rPr>
        <w:t xml:space="preserve">Prescrições diversas </w:t>
      </w:r>
    </w:p>
    <w:p w:rsidR="00540109" w:rsidRPr="002607EC" w:rsidRDefault="00540109" w:rsidP="00540109">
      <w:pPr>
        <w:autoSpaceDE w:val="0"/>
        <w:autoSpaceDN w:val="0"/>
        <w:adjustRightInd w:val="0"/>
        <w:spacing w:before="0" w:after="0" w:line="240" w:lineRule="auto"/>
        <w:jc w:val="left"/>
        <w:rPr>
          <w:rFonts w:cs="Times New Roman"/>
          <w:b/>
          <w:bCs/>
          <w:color w:val="000000"/>
          <w:sz w:val="20"/>
          <w:szCs w:val="20"/>
        </w:rPr>
      </w:pPr>
    </w:p>
    <w:p w:rsidR="00540109" w:rsidRPr="002607EC" w:rsidRDefault="00540109" w:rsidP="00540109">
      <w:pPr>
        <w:autoSpaceDE w:val="0"/>
        <w:autoSpaceDN w:val="0"/>
        <w:adjustRightInd w:val="0"/>
        <w:spacing w:before="0" w:line="240" w:lineRule="auto"/>
        <w:jc w:val="left"/>
        <w:rPr>
          <w:rFonts w:cs="Times New Roman"/>
          <w:b/>
          <w:bCs/>
          <w:color w:val="000000"/>
          <w:sz w:val="20"/>
          <w:szCs w:val="20"/>
        </w:rPr>
      </w:pPr>
      <w:r w:rsidRPr="002607EC">
        <w:rPr>
          <w:rFonts w:cs="Times New Roman"/>
          <w:b/>
          <w:bCs/>
          <w:color w:val="000000"/>
          <w:sz w:val="20"/>
          <w:szCs w:val="20"/>
        </w:rPr>
        <w:t xml:space="preserve">ANEXO </w:t>
      </w:r>
    </w:p>
    <w:p w:rsidR="00540109" w:rsidRPr="002607EC" w:rsidRDefault="00540109" w:rsidP="00540109">
      <w:pPr>
        <w:autoSpaceDE w:val="0"/>
        <w:autoSpaceDN w:val="0"/>
        <w:adjustRightInd w:val="0"/>
        <w:spacing w:before="0" w:after="0" w:line="240" w:lineRule="auto"/>
        <w:jc w:val="left"/>
        <w:rPr>
          <w:rFonts w:cs="Times New Roman"/>
          <w:color w:val="000000"/>
          <w:sz w:val="20"/>
          <w:szCs w:val="20"/>
        </w:rPr>
      </w:pPr>
      <w:r w:rsidRPr="002607EC">
        <w:rPr>
          <w:rFonts w:cs="Times New Roman"/>
          <w:b/>
          <w:bCs/>
          <w:color w:val="000000"/>
          <w:sz w:val="20"/>
          <w:szCs w:val="20"/>
        </w:rPr>
        <w:t xml:space="preserve">A </w:t>
      </w:r>
      <w:r w:rsidRPr="002607EC">
        <w:rPr>
          <w:rFonts w:cs="Times New Roman"/>
          <w:color w:val="000000"/>
          <w:sz w:val="20"/>
          <w:szCs w:val="20"/>
        </w:rPr>
        <w:t xml:space="preserve">Tabela de dimensionamento de extintores em helipontos </w:t>
      </w:r>
    </w:p>
    <w:p w:rsidR="00540109" w:rsidRPr="002607EC" w:rsidRDefault="00540109" w:rsidP="00540109">
      <w:pPr>
        <w:pStyle w:val="Ttulo1"/>
        <w:rPr>
          <w:sz w:val="20"/>
          <w:szCs w:val="20"/>
        </w:rPr>
      </w:pPr>
    </w:p>
    <w:p w:rsidR="00540109" w:rsidRPr="002607EC" w:rsidRDefault="00540109" w:rsidP="00540109">
      <w:pPr>
        <w:pStyle w:val="Default"/>
        <w:rPr>
          <w:sz w:val="20"/>
          <w:szCs w:val="20"/>
        </w:rPr>
      </w:pPr>
    </w:p>
    <w:p w:rsidR="00540109" w:rsidRPr="002607EC" w:rsidRDefault="00540109" w:rsidP="00540109">
      <w:pPr>
        <w:pStyle w:val="Default"/>
        <w:rPr>
          <w:sz w:val="20"/>
          <w:szCs w:val="20"/>
        </w:rPr>
      </w:pPr>
    </w:p>
    <w:p w:rsidR="00540109" w:rsidRDefault="00540109" w:rsidP="00540109">
      <w:pPr>
        <w:pStyle w:val="Default"/>
      </w:pPr>
    </w:p>
    <w:p w:rsidR="00540109" w:rsidRDefault="00540109" w:rsidP="001621E6">
      <w:pPr>
        <w:pStyle w:val="Default"/>
        <w:jc w:val="both"/>
      </w:pPr>
    </w:p>
    <w:p w:rsidR="008C5AC9" w:rsidRDefault="008C5AC9">
      <w:pPr>
        <w:rPr>
          <w:rFonts w:cs="Times New Roman"/>
          <w:b/>
          <w:bCs/>
          <w:color w:val="000000"/>
          <w:sz w:val="20"/>
          <w:szCs w:val="20"/>
        </w:rPr>
      </w:pPr>
      <w:r>
        <w:rPr>
          <w:rFonts w:cs="Times New Roman"/>
          <w:b/>
          <w:bCs/>
          <w:color w:val="000000"/>
          <w:sz w:val="20"/>
          <w:szCs w:val="20"/>
        </w:rPr>
        <w:br w:type="page"/>
      </w:r>
    </w:p>
    <w:p w:rsidR="0061223E" w:rsidRDefault="0061223E" w:rsidP="00234B68">
      <w:pPr>
        <w:pStyle w:val="ITTTULLO1"/>
      </w:pPr>
      <w:r w:rsidRPr="00FC5A77">
        <w:lastRenderedPageBreak/>
        <w:t>OBJETIVO</w:t>
      </w:r>
      <w:r w:rsidRPr="002607EC">
        <w:t xml:space="preserve"> </w:t>
      </w:r>
    </w:p>
    <w:p w:rsidR="0061223E" w:rsidRPr="00234B68" w:rsidRDefault="00540109" w:rsidP="00234B68">
      <w:pPr>
        <w:pStyle w:val="texto2"/>
      </w:pPr>
      <w:r w:rsidRPr="00234B68">
        <w:t>Estabelecer os requisitos básicos necessários para segurança contra incêndio de helipontos e heliportos</w:t>
      </w:r>
      <w:r w:rsidR="0061223E" w:rsidRPr="00234B68">
        <w:t>, atendendo ao previsto no Código de segurança contra incêndio e Emergência das edificações e áreas de risco do Estado de Alagoas - C</w:t>
      </w:r>
      <w:r w:rsidR="008C5AC9" w:rsidRPr="00234B68">
        <w:t>O</w:t>
      </w:r>
      <w:r w:rsidR="0061223E" w:rsidRPr="00234B68">
        <w:t xml:space="preserve">SCIE. </w:t>
      </w:r>
    </w:p>
    <w:p w:rsidR="0061223E" w:rsidRPr="002607EC" w:rsidRDefault="0061223E" w:rsidP="00234B68">
      <w:pPr>
        <w:pStyle w:val="ITTTULLO1"/>
      </w:pPr>
      <w:r w:rsidRPr="002607EC">
        <w:t xml:space="preserve">APLICAÇÃO </w:t>
      </w:r>
    </w:p>
    <w:p w:rsidR="0061223E" w:rsidRPr="002607EC" w:rsidRDefault="00540109" w:rsidP="00234B68">
      <w:pPr>
        <w:pStyle w:val="texto2"/>
        <w:rPr>
          <w:color w:val="000000"/>
        </w:rPr>
      </w:pPr>
      <w:r w:rsidRPr="002607EC">
        <w:t>Esta Instrução Técnica (IT) aplica-se a todas as edificações e áreas de risco que possuam helipontos ou heliportos, adotando, com as adequações necessárias, as exigências da Portaria nº 18/GM5, de 14 de fevereiro de 1974 e regulamentação afim, do Ministério da Aeronáutica</w:t>
      </w:r>
      <w:r w:rsidR="0061223E" w:rsidRPr="002607EC">
        <w:rPr>
          <w:color w:val="000000"/>
        </w:rPr>
        <w:t xml:space="preserve">. </w:t>
      </w:r>
    </w:p>
    <w:p w:rsidR="0061223E" w:rsidRPr="002607EC" w:rsidRDefault="00540109" w:rsidP="00234B68">
      <w:pPr>
        <w:pStyle w:val="texto2"/>
        <w:rPr>
          <w:color w:val="000000"/>
        </w:rPr>
      </w:pPr>
      <w:r w:rsidRPr="002607EC">
        <w:t>Recomenda-se que sej</w:t>
      </w:r>
      <w:r w:rsidR="00727B6C" w:rsidRPr="002607EC">
        <w:t>am observados os demais requisi</w:t>
      </w:r>
      <w:r w:rsidRPr="002607EC">
        <w:t xml:space="preserve">tos para homologação ou registro de helipontos e heliportos, junto aos órgãos regionais competentes do Comando da Aeronáutica. </w:t>
      </w:r>
      <w:r w:rsidR="0061223E" w:rsidRPr="002607EC">
        <w:rPr>
          <w:color w:val="000000"/>
        </w:rPr>
        <w:t xml:space="preserve"> </w:t>
      </w:r>
    </w:p>
    <w:p w:rsidR="00FC5A77" w:rsidRDefault="0061223E" w:rsidP="00234B68">
      <w:pPr>
        <w:pStyle w:val="ITTTULLO1"/>
      </w:pPr>
      <w:r w:rsidRPr="002607EC">
        <w:t xml:space="preserve">REFERÊNCIAS NORMATIVAS E BIBLIOGRÁFICAS </w:t>
      </w:r>
    </w:p>
    <w:p w:rsidR="00FC5A77" w:rsidRPr="00234B68" w:rsidRDefault="00727B6C" w:rsidP="00234B68">
      <w:pPr>
        <w:pStyle w:val="ITTTULLO1"/>
        <w:numPr>
          <w:ilvl w:val="0"/>
          <w:numId w:val="0"/>
        </w:numPr>
        <w:spacing w:before="0"/>
        <w:rPr>
          <w:b w:val="0"/>
        </w:rPr>
      </w:pPr>
      <w:r w:rsidRPr="00234B68">
        <w:rPr>
          <w:b w:val="0"/>
        </w:rPr>
        <w:t>Código Brasileiro de Aeronáutica (</w:t>
      </w:r>
      <w:proofErr w:type="spellStart"/>
      <w:proofErr w:type="gramStart"/>
      <w:r w:rsidRPr="00234B68">
        <w:rPr>
          <w:b w:val="0"/>
        </w:rPr>
        <w:t>CBAer</w:t>
      </w:r>
      <w:proofErr w:type="spellEnd"/>
      <w:proofErr w:type="gramEnd"/>
      <w:r w:rsidRPr="00234B68">
        <w:rPr>
          <w:b w:val="0"/>
        </w:rPr>
        <w:t xml:space="preserve">). </w:t>
      </w:r>
    </w:p>
    <w:p w:rsidR="00FC5A77" w:rsidRPr="00234B68" w:rsidRDefault="00727B6C" w:rsidP="00234B68">
      <w:pPr>
        <w:pStyle w:val="ITTTULLO1"/>
        <w:numPr>
          <w:ilvl w:val="0"/>
          <w:numId w:val="0"/>
        </w:numPr>
        <w:spacing w:before="0"/>
        <w:rPr>
          <w:b w:val="0"/>
        </w:rPr>
      </w:pPr>
      <w:r w:rsidRPr="00234B68">
        <w:rPr>
          <w:b w:val="0"/>
        </w:rPr>
        <w:t>Portaria nº 18/GM5, de fevereiro de 1974 do</w:t>
      </w:r>
      <w:r w:rsidR="00FC5A77" w:rsidRPr="00234B68">
        <w:rPr>
          <w:b w:val="0"/>
        </w:rPr>
        <w:t xml:space="preserve"> Ministério da Aeronáutica.</w:t>
      </w:r>
    </w:p>
    <w:p w:rsidR="00FC5A77" w:rsidRPr="00234B68" w:rsidRDefault="00727B6C" w:rsidP="00234B68">
      <w:pPr>
        <w:pStyle w:val="ITTTULLO1"/>
        <w:numPr>
          <w:ilvl w:val="0"/>
          <w:numId w:val="0"/>
        </w:numPr>
        <w:spacing w:before="0"/>
        <w:rPr>
          <w:b w:val="0"/>
        </w:rPr>
      </w:pPr>
      <w:r w:rsidRPr="00234B68">
        <w:rPr>
          <w:b w:val="0"/>
        </w:rPr>
        <w:t xml:space="preserve">Instrução do Comando da Aeronáutica (ICA) </w:t>
      </w:r>
      <w:r w:rsidR="00FC5A77" w:rsidRPr="00234B68">
        <w:rPr>
          <w:b w:val="0"/>
        </w:rPr>
        <w:t>92-1, de 07 de outubro de 2005.</w:t>
      </w:r>
    </w:p>
    <w:p w:rsidR="00FC5A77" w:rsidRPr="00234B68" w:rsidRDefault="00727B6C" w:rsidP="00234B68">
      <w:pPr>
        <w:pStyle w:val="ITTTULLO1"/>
        <w:numPr>
          <w:ilvl w:val="0"/>
          <w:numId w:val="0"/>
        </w:numPr>
        <w:spacing w:before="0"/>
        <w:rPr>
          <w:b w:val="0"/>
        </w:rPr>
      </w:pPr>
      <w:r w:rsidRPr="00234B68">
        <w:rPr>
          <w:b w:val="0"/>
        </w:rPr>
        <w:t>NF</w:t>
      </w:r>
      <w:r w:rsidR="00FC5A77" w:rsidRPr="00234B68">
        <w:rPr>
          <w:b w:val="0"/>
        </w:rPr>
        <w:t xml:space="preserve">PA 418 “Standard for </w:t>
      </w:r>
      <w:proofErr w:type="spellStart"/>
      <w:r w:rsidR="00FC5A77" w:rsidRPr="00234B68">
        <w:rPr>
          <w:b w:val="0"/>
        </w:rPr>
        <w:t>Heliports</w:t>
      </w:r>
      <w:proofErr w:type="spellEnd"/>
      <w:r w:rsidR="00FC5A77" w:rsidRPr="00234B68">
        <w:rPr>
          <w:b w:val="0"/>
        </w:rPr>
        <w:t>”</w:t>
      </w:r>
    </w:p>
    <w:p w:rsidR="0061223E" w:rsidRPr="00234B68" w:rsidRDefault="0061223E" w:rsidP="00234B68">
      <w:pPr>
        <w:pStyle w:val="ITTTULLO1"/>
        <w:numPr>
          <w:ilvl w:val="0"/>
          <w:numId w:val="0"/>
        </w:numPr>
        <w:spacing w:before="0"/>
        <w:rPr>
          <w:b w:val="0"/>
        </w:rPr>
      </w:pPr>
      <w:r w:rsidRPr="00234B68">
        <w:rPr>
          <w:b w:val="0"/>
        </w:rPr>
        <w:t xml:space="preserve">Instrução Técnica </w:t>
      </w:r>
      <w:r w:rsidR="00727B6C" w:rsidRPr="00234B68">
        <w:rPr>
          <w:b w:val="0"/>
        </w:rPr>
        <w:t>31</w:t>
      </w:r>
      <w:r w:rsidRPr="00234B68">
        <w:rPr>
          <w:b w:val="0"/>
        </w:rPr>
        <w:t xml:space="preserve"> CBPMESP </w:t>
      </w:r>
      <w:r w:rsidR="00563665" w:rsidRPr="00234B68">
        <w:rPr>
          <w:b w:val="0"/>
        </w:rPr>
        <w:t>–</w:t>
      </w:r>
      <w:r w:rsidRPr="00234B68">
        <w:rPr>
          <w:b w:val="0"/>
        </w:rPr>
        <w:t xml:space="preserve"> </w:t>
      </w:r>
      <w:r w:rsidR="00727B6C" w:rsidRPr="00234B68">
        <w:rPr>
          <w:b w:val="0"/>
        </w:rPr>
        <w:t>Segurança contra incêndio em helipontos e heliportos</w:t>
      </w:r>
      <w:r w:rsidR="00563665" w:rsidRPr="00234B68">
        <w:rPr>
          <w:b w:val="0"/>
        </w:rPr>
        <w:t>.</w:t>
      </w:r>
    </w:p>
    <w:p w:rsidR="0061223E" w:rsidRPr="002607EC" w:rsidRDefault="0061223E" w:rsidP="00234B68">
      <w:pPr>
        <w:pStyle w:val="ITTTULLO1"/>
      </w:pPr>
      <w:r w:rsidRPr="002607EC">
        <w:t xml:space="preserve">DEFINIÇÕES </w:t>
      </w:r>
    </w:p>
    <w:p w:rsidR="0061223E" w:rsidRPr="002607EC" w:rsidRDefault="0061223E" w:rsidP="00234B68">
      <w:pPr>
        <w:pStyle w:val="texto2"/>
      </w:pPr>
      <w:r w:rsidRPr="002607EC">
        <w:t xml:space="preserve">Para os efeitos desta Instrução Técnica aplicam-se as definições constantes </w:t>
      </w:r>
      <w:proofErr w:type="gramStart"/>
      <w:r w:rsidRPr="002607EC">
        <w:t xml:space="preserve">da </w:t>
      </w:r>
      <w:r w:rsidR="009A61EE" w:rsidRPr="00BD4830">
        <w:t>IT 04</w:t>
      </w:r>
      <w:proofErr w:type="gramEnd"/>
      <w:r w:rsidR="009A61EE" w:rsidRPr="00BD4830">
        <w:t xml:space="preserve"> – Terminologia de segurança contra incêndio e símbolos gráficos</w:t>
      </w:r>
      <w:r w:rsidRPr="002607EC">
        <w:t xml:space="preserve">. </w:t>
      </w:r>
    </w:p>
    <w:p w:rsidR="0061223E" w:rsidRPr="002607EC" w:rsidRDefault="0061223E" w:rsidP="00234B68">
      <w:pPr>
        <w:pStyle w:val="ITTTULLO1"/>
      </w:pPr>
      <w:r w:rsidRPr="002607EC">
        <w:t xml:space="preserve">PROCEDIMENTOS </w:t>
      </w:r>
    </w:p>
    <w:p w:rsidR="00727B6C" w:rsidRDefault="00727B6C" w:rsidP="00DA11E7">
      <w:pPr>
        <w:pStyle w:val="ITTTULO2"/>
      </w:pPr>
      <w:r w:rsidRPr="00FC5A77">
        <w:t xml:space="preserve">Condições gerais </w:t>
      </w:r>
    </w:p>
    <w:p w:rsidR="00727B6C" w:rsidRPr="002607EC" w:rsidRDefault="00727B6C" w:rsidP="00FC5A77">
      <w:pPr>
        <w:pStyle w:val="texto3"/>
      </w:pPr>
      <w:r w:rsidRPr="002607EC">
        <w:t xml:space="preserve">Tendo em vista que um heliporto é um heliponto dotado de facilidades de apoio, abastecimento embarque e desembarque de pessoas e cargas, somente a palavra “heliponto” será utilizada na presente IT. </w:t>
      </w:r>
    </w:p>
    <w:p w:rsidR="00727B6C" w:rsidRPr="00FC5A77" w:rsidRDefault="00727B6C" w:rsidP="00DA11E7">
      <w:pPr>
        <w:pStyle w:val="ITTTULO2"/>
      </w:pPr>
      <w:r w:rsidRPr="00FC5A77">
        <w:t>Avisos de segurança</w:t>
      </w:r>
    </w:p>
    <w:p w:rsidR="00727B6C" w:rsidRPr="002607EC" w:rsidRDefault="00727B6C" w:rsidP="00234B68">
      <w:pPr>
        <w:pStyle w:val="texto3"/>
      </w:pPr>
      <w:r w:rsidRPr="002607EC">
        <w:t xml:space="preserve">Em todos </w:t>
      </w:r>
      <w:proofErr w:type="spellStart"/>
      <w:r w:rsidRPr="002607EC">
        <w:t>helipontos</w:t>
      </w:r>
      <w:proofErr w:type="spellEnd"/>
      <w:r w:rsidRPr="002607EC">
        <w:t xml:space="preserve"> devem ser colocados avisos de segurança, com vistas a evitar acidentes com pessoas que transitem pela área de pouso e suas imediações. Tais avisos devem conter recomendações expressas, principalmente para o caso de aproximação de pessoas, embarque de carga com ou sem pessoal, estando os rotores do helicóptero em movimento. </w:t>
      </w:r>
    </w:p>
    <w:p w:rsidR="00727B6C" w:rsidRPr="002607EC" w:rsidRDefault="00727B6C" w:rsidP="00FC5A77">
      <w:pPr>
        <w:pStyle w:val="ITTEXTO4"/>
      </w:pPr>
      <w:r w:rsidRPr="002607EC">
        <w:t xml:space="preserve">Ênfase deve ser dada aos avisos visando evitar colisão de pessoas com o rotor de cauda dos helicópteros. </w:t>
      </w:r>
    </w:p>
    <w:p w:rsidR="00727B6C" w:rsidRPr="002607EC" w:rsidRDefault="00727B6C" w:rsidP="00234B68">
      <w:pPr>
        <w:pStyle w:val="texto3"/>
      </w:pPr>
      <w:r w:rsidRPr="002607EC">
        <w:t xml:space="preserve">Não é permitido fumar dentro do raio de 15 m da área de pouso/decolagem, devendo ser afixados avisos de “Proibido Fumar” em todos os pontos de acesso, conforme a IT 20 – Sinalização de Emergência. </w:t>
      </w:r>
    </w:p>
    <w:p w:rsidR="00727B6C" w:rsidRPr="002607EC" w:rsidRDefault="00727B6C" w:rsidP="00DA11E7">
      <w:pPr>
        <w:pStyle w:val="ITTTULO2"/>
      </w:pPr>
      <w:r w:rsidRPr="002607EC">
        <w:t xml:space="preserve">Balizamento luminoso </w:t>
      </w:r>
    </w:p>
    <w:p w:rsidR="00727B6C" w:rsidRPr="002607EC" w:rsidRDefault="00727B6C" w:rsidP="00234B68">
      <w:pPr>
        <w:pStyle w:val="texto3"/>
      </w:pPr>
      <w:r w:rsidRPr="002607EC">
        <w:t xml:space="preserve">As sinalizações luminosas de balizamento para as aeronaves devem possuir autonomia mínima de 120 min para funcionamento na ausência de fornecimento de energia elétrica pela concessionária local, de forma análoga ao sistema de iluminação de emergência. </w:t>
      </w:r>
    </w:p>
    <w:p w:rsidR="00727B6C" w:rsidRPr="002607EC" w:rsidRDefault="00727B6C" w:rsidP="00DA11E7">
      <w:pPr>
        <w:pStyle w:val="ITTTULO2"/>
      </w:pPr>
      <w:r w:rsidRPr="002607EC">
        <w:t xml:space="preserve">Prevenção e extinção de incêndio </w:t>
      </w:r>
    </w:p>
    <w:p w:rsidR="007B024F" w:rsidRPr="002607EC" w:rsidRDefault="00727B6C" w:rsidP="00234B68">
      <w:pPr>
        <w:pStyle w:val="texto3"/>
      </w:pPr>
      <w:r w:rsidRPr="002607EC">
        <w:t>As prescrições estabelecidas neste item são as mínimas exigidas para um razoável grau de proteção ao fogo e de salvamento em área de pouso e decolagem de helicópteros.</w:t>
      </w:r>
    </w:p>
    <w:p w:rsidR="00727B6C" w:rsidRPr="002607EC" w:rsidRDefault="00727B6C" w:rsidP="00234B68">
      <w:pPr>
        <w:pStyle w:val="texto3"/>
      </w:pPr>
      <w:r w:rsidRPr="002607EC">
        <w:lastRenderedPageBreak/>
        <w:t xml:space="preserve">Quando o heliponto está localizado em um aeroporto, os sistemas de proteção contra incêndio e o de salvamento devem ser dimensionados com base na Instrução do Comando da Aeronáutica (ICA) 92-1. </w:t>
      </w:r>
    </w:p>
    <w:p w:rsidR="00FC5A77" w:rsidRDefault="00727B6C" w:rsidP="00234B68">
      <w:pPr>
        <w:pStyle w:val="texto3"/>
      </w:pPr>
      <w:r w:rsidRPr="002607EC">
        <w:t xml:space="preserve">Para helipontos situados fora da jurisdição de um aeroporto, a proteção contra incêndio deve ser considerada sob três aspectos: </w:t>
      </w:r>
    </w:p>
    <w:p w:rsidR="00FC5A77" w:rsidRDefault="007B024F" w:rsidP="00B67EC6">
      <w:pPr>
        <w:pStyle w:val="ITTEXTO3"/>
        <w:numPr>
          <w:ilvl w:val="0"/>
          <w:numId w:val="6"/>
        </w:numPr>
      </w:pPr>
      <w:proofErr w:type="gramStart"/>
      <w:r w:rsidRPr="00FC5A77">
        <w:t>prevenção</w:t>
      </w:r>
      <w:proofErr w:type="gramEnd"/>
      <w:r w:rsidRPr="00FC5A77">
        <w:t xml:space="preserve"> contra incêndio em helipontos situados ao nível de solo; </w:t>
      </w:r>
    </w:p>
    <w:p w:rsidR="00FC5A77" w:rsidRDefault="007B024F" w:rsidP="00B67EC6">
      <w:pPr>
        <w:pStyle w:val="ITTEXTO3"/>
        <w:numPr>
          <w:ilvl w:val="0"/>
          <w:numId w:val="6"/>
        </w:numPr>
      </w:pPr>
      <w:proofErr w:type="gramStart"/>
      <w:r w:rsidRPr="00FC5A77">
        <w:t>prevenção</w:t>
      </w:r>
      <w:proofErr w:type="gramEnd"/>
      <w:r w:rsidRPr="00FC5A77">
        <w:t xml:space="preserve"> contra incêndio em helipontos elevados; </w:t>
      </w:r>
    </w:p>
    <w:p w:rsidR="007B024F" w:rsidRPr="00FC5A77" w:rsidRDefault="007B024F" w:rsidP="00B67EC6">
      <w:pPr>
        <w:pStyle w:val="ITTEXTO3"/>
        <w:numPr>
          <w:ilvl w:val="0"/>
          <w:numId w:val="6"/>
        </w:numPr>
      </w:pPr>
      <w:proofErr w:type="gramStart"/>
      <w:r w:rsidRPr="00FC5A77">
        <w:t>medidas</w:t>
      </w:r>
      <w:proofErr w:type="gramEnd"/>
      <w:r w:rsidRPr="00FC5A77">
        <w:t xml:space="preserve"> para extinção de incêndio e de salvamento em acidentes ocorridos em helipontos elevados. </w:t>
      </w:r>
    </w:p>
    <w:p w:rsidR="00727B6C" w:rsidRPr="002607EC" w:rsidRDefault="00727B6C" w:rsidP="00234B68">
      <w:pPr>
        <w:pStyle w:val="texto3"/>
      </w:pPr>
      <w:r w:rsidRPr="002607EC">
        <w:t>A prevenção contra incêndio em helipontos ao nível do solo deve obedecer às exigências previstas neste item, além de outras estabelecidas pel</w:t>
      </w:r>
      <w:r w:rsidR="00FC5A77">
        <w:t>o Serviço contra Incêndio do Co</w:t>
      </w:r>
      <w:r w:rsidRPr="002607EC">
        <w:t xml:space="preserve">mando da Aeronáutica. </w:t>
      </w:r>
    </w:p>
    <w:p w:rsidR="00727B6C" w:rsidRPr="002607EC" w:rsidRDefault="00727B6C" w:rsidP="00FC5A77">
      <w:pPr>
        <w:pStyle w:val="ITTEXTO4"/>
      </w:pPr>
      <w:r w:rsidRPr="002607EC">
        <w:t>Durante as operações de reabastecimento e de partida, a proteção do helicó</w:t>
      </w:r>
      <w:r w:rsidR="007B024F" w:rsidRPr="002607EC">
        <w:t>ptero deve ser feita com equipa</w:t>
      </w:r>
      <w:r w:rsidRPr="002607EC">
        <w:t xml:space="preserve">mento portátil apropriado, manuseado por pessoal treinado conforme IT 17 – Brigada de incêndio. </w:t>
      </w:r>
    </w:p>
    <w:p w:rsidR="00727B6C" w:rsidRPr="002607EC" w:rsidRDefault="00727B6C" w:rsidP="00FC5A77">
      <w:pPr>
        <w:pStyle w:val="ITTEXTO4"/>
      </w:pPr>
      <w:r w:rsidRPr="002607EC">
        <w:t xml:space="preserve">Os extintores portáteis ou sobrerrodas devem ser acondicionados em locais ou caixas, devidamente protegidos contra as intempéries, sendo adequadamente sinalizados, oferecendo fácil acesso e visibilidade. </w:t>
      </w:r>
    </w:p>
    <w:p w:rsidR="00727B6C" w:rsidRPr="002607EC" w:rsidRDefault="00727B6C" w:rsidP="00FC5A77">
      <w:pPr>
        <w:pStyle w:val="ITTEXTO4"/>
      </w:pPr>
      <w:r w:rsidRPr="002607EC">
        <w:t xml:space="preserve">O armazenamento de combustível deve estar a uma distância de segurança da área de pouso, nunca inferior a 30 m. </w:t>
      </w:r>
    </w:p>
    <w:p w:rsidR="00727B6C" w:rsidRPr="002607EC" w:rsidRDefault="00727B6C" w:rsidP="00234B68">
      <w:pPr>
        <w:pStyle w:val="texto3"/>
      </w:pPr>
      <w:r w:rsidRPr="002607EC">
        <w:t xml:space="preserve">A segurança contra incêndio em helipontos elevados deve obedecer às exigências previstas neste item, além daquelas previstas nos itens anteriores, e demais </w:t>
      </w:r>
      <w:proofErr w:type="gramStart"/>
      <w:r w:rsidRPr="002607EC">
        <w:t>IT pertinentes no que couberem</w:t>
      </w:r>
      <w:proofErr w:type="gramEnd"/>
      <w:r w:rsidRPr="002607EC">
        <w:t xml:space="preserve">. </w:t>
      </w:r>
    </w:p>
    <w:p w:rsidR="00727B6C" w:rsidRPr="002607EC" w:rsidRDefault="00727B6C" w:rsidP="00FC5A77">
      <w:pPr>
        <w:pStyle w:val="ITTEXTO4"/>
      </w:pPr>
      <w:r w:rsidRPr="002607EC">
        <w:t xml:space="preserve">Nos </w:t>
      </w:r>
      <w:proofErr w:type="spellStart"/>
      <w:r w:rsidRPr="002607EC">
        <w:t>helipontos</w:t>
      </w:r>
      <w:proofErr w:type="spellEnd"/>
      <w:r w:rsidRPr="002607EC">
        <w:t xml:space="preserve"> elevados, a estrutura na qual se situa a área de pouso deve ser de material incombustível. </w:t>
      </w:r>
    </w:p>
    <w:p w:rsidR="007B024F" w:rsidRPr="002607EC" w:rsidRDefault="00727B6C" w:rsidP="00FC5A77">
      <w:pPr>
        <w:pStyle w:val="ITTEXTO4"/>
      </w:pPr>
      <w:r w:rsidRPr="002607EC">
        <w:t>Não é permitido o armazenamento de combustível em helipontos elevados.</w:t>
      </w:r>
    </w:p>
    <w:p w:rsidR="00FC5A77" w:rsidRDefault="00727B6C" w:rsidP="00FC5A77">
      <w:pPr>
        <w:pStyle w:val="ITTEXTO4"/>
      </w:pPr>
      <w:r w:rsidRPr="002607EC">
        <w:t>Prevendo a eventualidade de um acidente em heliponto elevado, com a consequente possibilidade de propagação de fogo, os seguintes requisitos devem ser atendidos:</w:t>
      </w:r>
    </w:p>
    <w:p w:rsidR="00FC5A77" w:rsidRDefault="00123AB5" w:rsidP="00B67EC6">
      <w:pPr>
        <w:pStyle w:val="ITTEXTO4"/>
        <w:numPr>
          <w:ilvl w:val="0"/>
          <w:numId w:val="7"/>
        </w:numPr>
      </w:pPr>
      <w:proofErr w:type="gramStart"/>
      <w:r w:rsidRPr="00FC5A77">
        <w:t>existência</w:t>
      </w:r>
      <w:proofErr w:type="gramEnd"/>
      <w:r w:rsidRPr="00FC5A77">
        <w:t xml:space="preserve"> de fácil acesso ao heliponto elevado, para possibilitar o transporte de equipamentos necessário ao combate a incêndio de grandes proporções; </w:t>
      </w:r>
    </w:p>
    <w:p w:rsidR="00FC5A77" w:rsidRDefault="00123AB5" w:rsidP="00B67EC6">
      <w:pPr>
        <w:pStyle w:val="ITTEXTO4"/>
        <w:numPr>
          <w:ilvl w:val="0"/>
          <w:numId w:val="7"/>
        </w:numPr>
      </w:pPr>
      <w:proofErr w:type="gramStart"/>
      <w:r w:rsidRPr="00FC5A77">
        <w:t>as</w:t>
      </w:r>
      <w:proofErr w:type="gramEnd"/>
      <w:r w:rsidRPr="00FC5A77">
        <w:t xml:space="preserve"> portas de acesso à área de pouso devem ter PCF P-90; </w:t>
      </w:r>
    </w:p>
    <w:p w:rsidR="00FC5A77" w:rsidRDefault="00123AB5" w:rsidP="00B67EC6">
      <w:pPr>
        <w:pStyle w:val="ITTEXTO4"/>
        <w:numPr>
          <w:ilvl w:val="0"/>
          <w:numId w:val="7"/>
        </w:numPr>
      </w:pPr>
      <w:proofErr w:type="gramStart"/>
      <w:r w:rsidRPr="00FC5A77">
        <w:t>possibilidade</w:t>
      </w:r>
      <w:proofErr w:type="gramEnd"/>
      <w:r w:rsidRPr="00FC5A77">
        <w:t xml:space="preserve"> de rápida evacuação dos usuários do heliponto e dos demais andares do prédio; </w:t>
      </w:r>
    </w:p>
    <w:p w:rsidR="00123AB5" w:rsidRPr="00FC5A77" w:rsidRDefault="00123AB5" w:rsidP="00B67EC6">
      <w:pPr>
        <w:pStyle w:val="ITTEXTO4"/>
        <w:numPr>
          <w:ilvl w:val="0"/>
          <w:numId w:val="7"/>
        </w:numPr>
      </w:pPr>
      <w:proofErr w:type="gramStart"/>
      <w:r w:rsidRPr="00FC5A77">
        <w:t>adequada</w:t>
      </w:r>
      <w:proofErr w:type="gramEnd"/>
      <w:r w:rsidRPr="00FC5A77">
        <w:t xml:space="preserve"> sinalização das saídas de emergência.</w:t>
      </w:r>
    </w:p>
    <w:p w:rsidR="00123AB5" w:rsidRPr="002607EC" w:rsidRDefault="00123AB5" w:rsidP="00FC5A77">
      <w:pPr>
        <w:pStyle w:val="ITTTULO3"/>
      </w:pPr>
      <w:r w:rsidRPr="002607EC">
        <w:t xml:space="preserve">Sistemas de combate a incêndio </w:t>
      </w:r>
    </w:p>
    <w:p w:rsidR="00123AB5" w:rsidRPr="002607EC" w:rsidRDefault="00123AB5" w:rsidP="00FC5A77">
      <w:pPr>
        <w:pStyle w:val="ITTEXTO4"/>
      </w:pPr>
      <w:r w:rsidRPr="002607EC">
        <w:t xml:space="preserve">Em </w:t>
      </w:r>
      <w:proofErr w:type="spellStart"/>
      <w:r w:rsidRPr="002607EC">
        <w:t>helipontos</w:t>
      </w:r>
      <w:proofErr w:type="spellEnd"/>
      <w:r w:rsidRPr="002607EC">
        <w:t xml:space="preserve"> não localizados em aeroportos, devem-se exigir as quantidades mínimas de extintores, conforme Anexo A, de acordo com o peso (tonelagem) total do helicóptero atendido.</w:t>
      </w:r>
    </w:p>
    <w:p w:rsidR="00123AB5" w:rsidRPr="002607EC" w:rsidRDefault="00123AB5" w:rsidP="00FC5A77">
      <w:pPr>
        <w:pStyle w:val="ITTEXTO4"/>
      </w:pPr>
      <w:r w:rsidRPr="002607EC">
        <w:t xml:space="preserve">Os extintores de pó químico especial devem ser compatíveis com a utilização conjunta com espuma. </w:t>
      </w:r>
    </w:p>
    <w:p w:rsidR="00123AB5" w:rsidRPr="002607EC" w:rsidRDefault="00123AB5" w:rsidP="00FC5A77">
      <w:pPr>
        <w:pStyle w:val="ITTEXTO4"/>
      </w:pPr>
      <w:r w:rsidRPr="002607EC">
        <w:rPr>
          <w:color w:val="000000"/>
        </w:rPr>
        <w:t xml:space="preserve">Os extintores de incêndio devem ser distribuídos </w:t>
      </w:r>
      <w:r w:rsidRPr="002607EC">
        <w:t xml:space="preserve">uniformemente nas proximidades da área de pouso/decolagem, de forma a atender o caminhamento especificado </w:t>
      </w:r>
      <w:proofErr w:type="gramStart"/>
      <w:r w:rsidRPr="002607EC">
        <w:t>na IT 21</w:t>
      </w:r>
      <w:proofErr w:type="gramEnd"/>
      <w:r w:rsidRPr="002607EC">
        <w:t xml:space="preserve"> – Sistema de proteção por extintores de incêndio.</w:t>
      </w:r>
    </w:p>
    <w:p w:rsidR="00123AB5" w:rsidRPr="002607EC" w:rsidRDefault="00123AB5" w:rsidP="00FC5A77">
      <w:pPr>
        <w:pStyle w:val="ITTEXTO4"/>
      </w:pPr>
      <w:r w:rsidRPr="002607EC">
        <w:t xml:space="preserve"> Qualquer que seja o tipo de extintor utilizado deve haver pessoal habilitado para sua operação, conforme previsto </w:t>
      </w:r>
      <w:proofErr w:type="gramStart"/>
      <w:r w:rsidRPr="002607EC">
        <w:t>na IT 17</w:t>
      </w:r>
      <w:proofErr w:type="gramEnd"/>
      <w:r w:rsidRPr="002607EC">
        <w:t xml:space="preserve"> – Brigada de incêndio. </w:t>
      </w:r>
    </w:p>
    <w:p w:rsidR="00123AB5" w:rsidRPr="002607EC" w:rsidRDefault="00123AB5" w:rsidP="00FC5A77">
      <w:pPr>
        <w:pStyle w:val="ITTEXTO4"/>
      </w:pPr>
      <w:r w:rsidRPr="002607EC">
        <w:t>Pelo menos dois dos homens encarregados da proteção contra incêndios e das operações de salvamento devem dispor de EPI específico para fogo e salvamento (capa</w:t>
      </w:r>
      <w:proofErr w:type="gramStart"/>
      <w:r w:rsidRPr="002607EC">
        <w:t>, bota</w:t>
      </w:r>
      <w:proofErr w:type="gramEnd"/>
      <w:r w:rsidRPr="002607EC">
        <w:t xml:space="preserve">, capacete, balaclava e luvas). </w:t>
      </w:r>
    </w:p>
    <w:p w:rsidR="00123AB5" w:rsidRDefault="00123AB5" w:rsidP="00FC5A77">
      <w:pPr>
        <w:pStyle w:val="ITTEXTO4"/>
      </w:pPr>
      <w:r w:rsidRPr="002607EC">
        <w:t xml:space="preserve">Deve haver, em local protegido e devidamente sinalizado, ferramentas portáteis de arrombamento, serra manual para metais e escada articulada ou de apoio, com altura compatível com as dimensões do helicóptero. </w:t>
      </w:r>
    </w:p>
    <w:p w:rsidR="00DA11E7" w:rsidRDefault="00DA11E7" w:rsidP="00DA11E7">
      <w:pPr>
        <w:pStyle w:val="ITTEXTO4"/>
        <w:numPr>
          <w:ilvl w:val="0"/>
          <w:numId w:val="0"/>
        </w:numPr>
      </w:pPr>
    </w:p>
    <w:p w:rsidR="00DA11E7" w:rsidRDefault="00DA11E7" w:rsidP="00DA11E7">
      <w:pPr>
        <w:pStyle w:val="ITTEXTO4"/>
        <w:numPr>
          <w:ilvl w:val="0"/>
          <w:numId w:val="0"/>
        </w:numPr>
      </w:pPr>
    </w:p>
    <w:p w:rsidR="00DA11E7" w:rsidRDefault="00DA11E7" w:rsidP="00DA11E7">
      <w:pPr>
        <w:pStyle w:val="ITTEXTO4"/>
        <w:numPr>
          <w:ilvl w:val="0"/>
          <w:numId w:val="0"/>
        </w:numPr>
      </w:pPr>
    </w:p>
    <w:p w:rsidR="00DA11E7" w:rsidRPr="002607EC" w:rsidRDefault="00DA11E7" w:rsidP="00DA11E7">
      <w:pPr>
        <w:pStyle w:val="ITTEXTO4"/>
        <w:numPr>
          <w:ilvl w:val="0"/>
          <w:numId w:val="0"/>
        </w:numPr>
      </w:pPr>
    </w:p>
    <w:p w:rsidR="00123AB5" w:rsidRPr="002607EC" w:rsidRDefault="00123AB5" w:rsidP="00234B68">
      <w:pPr>
        <w:pStyle w:val="ITTTULLO1"/>
      </w:pPr>
      <w:r w:rsidRPr="002607EC">
        <w:t xml:space="preserve">PRESCRIÇÕES DIVERSAS </w:t>
      </w:r>
    </w:p>
    <w:p w:rsidR="00123AB5" w:rsidRPr="002607EC" w:rsidRDefault="00123AB5" w:rsidP="00234B68">
      <w:pPr>
        <w:pStyle w:val="texto2"/>
      </w:pPr>
      <w:r w:rsidRPr="002607EC">
        <w:t xml:space="preserve">De acordo com as normas da Aeronáutica, na construção ou instalação de um heliponto elevado, especial atenção deve ser dada ao sistema de drenagem das áreas de pouso, decolagem e de estacionamento, que deve ser independente do sistema de drenagem geral do prédio, porém esse sistema pode ser ligado ao de água pluvial, depois da separação do óleo ou combustível da água por um separador sifonado com capacidade suficiente para reter a carga total de combustível para capacidade da maior aeronave prevista para o heliponto considerado. </w:t>
      </w:r>
    </w:p>
    <w:p w:rsidR="00123AB5" w:rsidRPr="002607EC" w:rsidRDefault="00123AB5" w:rsidP="00234B68">
      <w:pPr>
        <w:pStyle w:val="texto2"/>
      </w:pPr>
      <w:r w:rsidRPr="002607EC">
        <w:t>Recomenda-se a existência de confiáveis meios de comunicação entre o heliponto e o Quartel do Corpo de Bombeiros Militar d</w:t>
      </w:r>
      <w:r w:rsidR="001621E6" w:rsidRPr="002607EC">
        <w:t>e Alagoas</w:t>
      </w:r>
      <w:r w:rsidRPr="002607EC">
        <w:t xml:space="preserve"> com jurisdição na área, de modo que seja assegurada uma rápida assistência em casos de acidentes e/ou de fogo, podendo ser por telefone.</w:t>
      </w:r>
    </w:p>
    <w:p w:rsidR="00B67EC6" w:rsidRDefault="00123AB5" w:rsidP="00234B68">
      <w:pPr>
        <w:pStyle w:val="texto2"/>
      </w:pPr>
      <w:r w:rsidRPr="002607EC">
        <w:t>Recomenda-se que os responsáveis por helipontos elevados solicitem e facilitem visitas dos integrantes do Corpo de Bombeiros Militar d</w:t>
      </w:r>
      <w:r w:rsidR="001621E6" w:rsidRPr="002607EC">
        <w:t>e Alagoas</w:t>
      </w:r>
      <w:r w:rsidRPr="002607EC">
        <w:t xml:space="preserve"> com jurisdição na área, com a finalidade de se familiarizarem com o local e com os caminhos mais rápidos para chegarem, em casos de emergência. </w:t>
      </w:r>
    </w:p>
    <w:p w:rsidR="00B67EC6" w:rsidRPr="00B67EC6" w:rsidRDefault="00123AB5" w:rsidP="00234B68">
      <w:pPr>
        <w:pStyle w:val="texto2"/>
      </w:pPr>
      <w:r w:rsidRPr="00B67EC6">
        <w:t>Caso haja hidrante no heliponto, este deve ser equipado com esguicho regulável.</w:t>
      </w: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B67EC6" w:rsidP="00B67EC6">
      <w:pPr>
        <w:pStyle w:val="ITTEXTO2"/>
        <w:rPr>
          <w:rFonts w:cs="Times New Roman"/>
          <w:color w:val="000000"/>
        </w:rPr>
      </w:pPr>
    </w:p>
    <w:p w:rsidR="00B67EC6" w:rsidRDefault="00123AB5" w:rsidP="00DA11E7">
      <w:pPr>
        <w:pStyle w:val="ITTEXTO2"/>
        <w:jc w:val="center"/>
        <w:rPr>
          <w:rFonts w:cs="Times New Roman"/>
          <w:b/>
          <w:color w:val="000000"/>
        </w:rPr>
      </w:pPr>
      <w:r w:rsidRPr="00B67EC6">
        <w:rPr>
          <w:rFonts w:cs="Times New Roman"/>
          <w:b/>
          <w:color w:val="000000"/>
        </w:rPr>
        <w:t>ANEXO A</w:t>
      </w:r>
    </w:p>
    <w:p w:rsidR="00C819E6" w:rsidRPr="00B67EC6" w:rsidRDefault="00123AB5" w:rsidP="00DA11E7">
      <w:pPr>
        <w:pStyle w:val="ITTEXTO2"/>
        <w:jc w:val="center"/>
      </w:pPr>
      <w:r w:rsidRPr="00B67EC6">
        <w:rPr>
          <w:rFonts w:cs="Times New Roman"/>
          <w:b/>
          <w:color w:val="000000"/>
        </w:rPr>
        <w:t xml:space="preserve">Tabela de dimensionamento de extintores em </w:t>
      </w:r>
      <w:proofErr w:type="spellStart"/>
      <w:r w:rsidRPr="00B67EC6">
        <w:rPr>
          <w:rFonts w:cs="Times New Roman"/>
          <w:b/>
          <w:color w:val="000000"/>
        </w:rPr>
        <w:t>helipontos</w:t>
      </w:r>
      <w:proofErr w:type="spellEnd"/>
    </w:p>
    <w:tbl>
      <w:tblPr>
        <w:tblStyle w:val="Tabelacomgrade"/>
        <w:tblW w:w="10207" w:type="dxa"/>
        <w:tblInd w:w="-176" w:type="dxa"/>
        <w:tblLook w:val="04A0" w:firstRow="1" w:lastRow="0" w:firstColumn="1" w:lastColumn="0" w:noHBand="0" w:noVBand="1"/>
      </w:tblPr>
      <w:tblGrid>
        <w:gridCol w:w="2269"/>
        <w:gridCol w:w="2126"/>
        <w:gridCol w:w="5812"/>
      </w:tblGrid>
      <w:tr w:rsidR="001621E6" w:rsidRPr="002607EC" w:rsidTr="00E3728B">
        <w:trPr>
          <w:trHeight w:hRule="exact" w:val="851"/>
        </w:trPr>
        <w:tc>
          <w:tcPr>
            <w:tcW w:w="2269" w:type="dxa"/>
            <w:tcBorders>
              <w:top w:val="single" w:sz="12" w:space="0" w:color="auto"/>
              <w:left w:val="single" w:sz="12" w:space="0" w:color="auto"/>
              <w:bottom w:val="single" w:sz="12" w:space="0" w:color="auto"/>
              <w:right w:val="single" w:sz="12" w:space="0" w:color="auto"/>
            </w:tcBorders>
            <w:shd w:val="clear" w:color="auto" w:fill="C4BC96" w:themeFill="background2" w:themeFillShade="BF"/>
            <w:vAlign w:val="center"/>
          </w:tcPr>
          <w:p w:rsidR="001621E6" w:rsidRPr="002607EC" w:rsidRDefault="001621E6" w:rsidP="00C819E6">
            <w:pPr>
              <w:pStyle w:val="PargrafodaLista"/>
              <w:autoSpaceDE w:val="0"/>
              <w:autoSpaceDN w:val="0"/>
              <w:adjustRightInd w:val="0"/>
              <w:ind w:left="0"/>
              <w:jc w:val="center"/>
              <w:rPr>
                <w:rFonts w:cs="Times New Roman"/>
                <w:b/>
                <w:sz w:val="20"/>
                <w:szCs w:val="20"/>
              </w:rPr>
            </w:pPr>
            <w:r w:rsidRPr="002607EC">
              <w:rPr>
                <w:rFonts w:cs="Times New Roman"/>
                <w:b/>
                <w:sz w:val="20"/>
                <w:szCs w:val="20"/>
              </w:rPr>
              <w:t>Tipo de heliponto</w:t>
            </w:r>
          </w:p>
        </w:tc>
        <w:tc>
          <w:tcPr>
            <w:tcW w:w="2126" w:type="dxa"/>
            <w:tcBorders>
              <w:top w:val="single" w:sz="12" w:space="0" w:color="auto"/>
              <w:left w:val="single" w:sz="12" w:space="0" w:color="auto"/>
              <w:bottom w:val="single" w:sz="12" w:space="0" w:color="auto"/>
              <w:right w:val="single" w:sz="12" w:space="0" w:color="auto"/>
            </w:tcBorders>
            <w:shd w:val="clear" w:color="auto" w:fill="C4BC96" w:themeFill="background2" w:themeFillShade="BF"/>
            <w:vAlign w:val="center"/>
          </w:tcPr>
          <w:p w:rsidR="001621E6" w:rsidRPr="002607EC" w:rsidRDefault="001621E6" w:rsidP="00C819E6">
            <w:pPr>
              <w:pStyle w:val="PargrafodaLista"/>
              <w:autoSpaceDE w:val="0"/>
              <w:autoSpaceDN w:val="0"/>
              <w:adjustRightInd w:val="0"/>
              <w:ind w:left="0"/>
              <w:jc w:val="center"/>
              <w:rPr>
                <w:rFonts w:cs="Times New Roman"/>
                <w:b/>
                <w:sz w:val="20"/>
                <w:szCs w:val="20"/>
              </w:rPr>
            </w:pPr>
            <w:r w:rsidRPr="002607EC">
              <w:rPr>
                <w:rFonts w:cs="Times New Roman"/>
                <w:b/>
                <w:sz w:val="20"/>
                <w:szCs w:val="20"/>
              </w:rPr>
              <w:t>Capacidade em Kg</w:t>
            </w:r>
          </w:p>
        </w:tc>
        <w:tc>
          <w:tcPr>
            <w:tcW w:w="5812" w:type="dxa"/>
            <w:tcBorders>
              <w:top w:val="single" w:sz="12" w:space="0" w:color="auto"/>
              <w:left w:val="single" w:sz="12" w:space="0" w:color="auto"/>
              <w:bottom w:val="single" w:sz="12" w:space="0" w:color="auto"/>
              <w:right w:val="single" w:sz="12" w:space="0" w:color="auto"/>
            </w:tcBorders>
            <w:shd w:val="clear" w:color="auto" w:fill="C4BC96" w:themeFill="background2" w:themeFillShade="BF"/>
            <w:vAlign w:val="center"/>
          </w:tcPr>
          <w:p w:rsidR="001621E6" w:rsidRPr="002607EC" w:rsidRDefault="001621E6" w:rsidP="00C819E6">
            <w:pPr>
              <w:pStyle w:val="PargrafodaLista"/>
              <w:autoSpaceDE w:val="0"/>
              <w:autoSpaceDN w:val="0"/>
              <w:adjustRightInd w:val="0"/>
              <w:ind w:left="0"/>
              <w:jc w:val="center"/>
              <w:rPr>
                <w:rFonts w:cs="Times New Roman"/>
                <w:b/>
                <w:sz w:val="20"/>
                <w:szCs w:val="20"/>
              </w:rPr>
            </w:pPr>
            <w:r w:rsidRPr="002607EC">
              <w:rPr>
                <w:rFonts w:cs="Times New Roman"/>
                <w:b/>
                <w:sz w:val="20"/>
                <w:szCs w:val="20"/>
              </w:rPr>
              <w:t>Quantidades de extintores e respectivas capacidades extintoras</w:t>
            </w:r>
          </w:p>
        </w:tc>
      </w:tr>
      <w:tr w:rsidR="00C819E6" w:rsidRPr="002607EC" w:rsidTr="00E3728B">
        <w:trPr>
          <w:trHeight w:hRule="exact" w:val="1418"/>
        </w:trPr>
        <w:tc>
          <w:tcPr>
            <w:tcW w:w="2269" w:type="dxa"/>
            <w:vMerge w:val="restart"/>
            <w:tcBorders>
              <w:top w:val="single" w:sz="12" w:space="0" w:color="auto"/>
              <w:left w:val="single" w:sz="12" w:space="0" w:color="auto"/>
              <w:bottom w:val="single" w:sz="12" w:space="0" w:color="auto"/>
              <w:right w:val="single" w:sz="12" w:space="0" w:color="auto"/>
            </w:tcBorders>
            <w:shd w:val="clear" w:color="auto" w:fill="FFFF00"/>
            <w:vAlign w:val="center"/>
          </w:tcPr>
          <w:p w:rsidR="00C819E6" w:rsidRPr="002607EC" w:rsidRDefault="00C819E6" w:rsidP="00C819E6">
            <w:pPr>
              <w:pStyle w:val="PargrafodaLista"/>
              <w:autoSpaceDE w:val="0"/>
              <w:autoSpaceDN w:val="0"/>
              <w:adjustRightInd w:val="0"/>
              <w:ind w:left="0"/>
              <w:jc w:val="center"/>
              <w:rPr>
                <w:rFonts w:cs="Times New Roman"/>
                <w:b/>
                <w:sz w:val="20"/>
                <w:szCs w:val="20"/>
              </w:rPr>
            </w:pPr>
            <w:r w:rsidRPr="002607EC">
              <w:rPr>
                <w:rFonts w:cs="Times New Roman"/>
                <w:b/>
                <w:sz w:val="20"/>
                <w:szCs w:val="20"/>
              </w:rPr>
              <w:t>Helipontos ao nível do solo</w:t>
            </w:r>
          </w:p>
        </w:tc>
        <w:tc>
          <w:tcPr>
            <w:tcW w:w="2126" w:type="dxa"/>
            <w:tcBorders>
              <w:top w:val="single" w:sz="12" w:space="0" w:color="auto"/>
              <w:left w:val="single" w:sz="12" w:space="0" w:color="auto"/>
              <w:bottom w:val="single" w:sz="12" w:space="0" w:color="auto"/>
              <w:right w:val="single" w:sz="12" w:space="0" w:color="auto"/>
            </w:tcBorders>
            <w:shd w:val="clear" w:color="auto" w:fill="EEECE1" w:themeFill="background2"/>
            <w:vAlign w:val="center"/>
          </w:tcPr>
          <w:p w:rsidR="00C819E6" w:rsidRPr="002607EC" w:rsidRDefault="00C819E6" w:rsidP="00C819E6">
            <w:pPr>
              <w:pStyle w:val="PargrafodaLista"/>
              <w:autoSpaceDE w:val="0"/>
              <w:autoSpaceDN w:val="0"/>
              <w:adjustRightInd w:val="0"/>
              <w:ind w:left="0"/>
              <w:jc w:val="center"/>
              <w:rPr>
                <w:rFonts w:cs="Times New Roman"/>
                <w:sz w:val="20"/>
                <w:szCs w:val="20"/>
              </w:rPr>
            </w:pPr>
            <w:r w:rsidRPr="002607EC">
              <w:rPr>
                <w:rFonts w:cs="Times New Roman"/>
                <w:sz w:val="20"/>
                <w:szCs w:val="20"/>
              </w:rPr>
              <w:t>Até 4.500 Kg</w:t>
            </w:r>
          </w:p>
        </w:tc>
        <w:tc>
          <w:tcPr>
            <w:tcW w:w="5812" w:type="dxa"/>
            <w:tcBorders>
              <w:top w:val="single" w:sz="12" w:space="0" w:color="auto"/>
              <w:left w:val="single" w:sz="12" w:space="0" w:color="auto"/>
              <w:bottom w:val="single" w:sz="12" w:space="0" w:color="auto"/>
              <w:right w:val="single" w:sz="12" w:space="0" w:color="auto"/>
            </w:tcBorders>
            <w:shd w:val="clear" w:color="auto" w:fill="EEECE1" w:themeFill="background2"/>
            <w:vAlign w:val="center"/>
          </w:tcPr>
          <w:p w:rsidR="00C819E6" w:rsidRPr="002607EC" w:rsidRDefault="00C819E6" w:rsidP="00C819E6">
            <w:pPr>
              <w:pStyle w:val="PargrafodaLista"/>
              <w:autoSpaceDE w:val="0"/>
              <w:autoSpaceDN w:val="0"/>
              <w:adjustRightInd w:val="0"/>
              <w:ind w:left="0"/>
              <w:jc w:val="center"/>
              <w:rPr>
                <w:rFonts w:cs="Times New Roman"/>
                <w:bCs/>
                <w:sz w:val="20"/>
                <w:szCs w:val="20"/>
              </w:rPr>
            </w:pPr>
            <w:r w:rsidRPr="002607EC">
              <w:rPr>
                <w:rFonts w:cs="Times New Roman"/>
                <w:bCs/>
                <w:sz w:val="20"/>
                <w:szCs w:val="20"/>
              </w:rPr>
              <w:t xml:space="preserve">04 (quatro) extintores de pó </w:t>
            </w:r>
            <w:proofErr w:type="gramStart"/>
            <w:r w:rsidRPr="002607EC">
              <w:rPr>
                <w:rFonts w:cs="Times New Roman"/>
                <w:bCs/>
                <w:sz w:val="20"/>
                <w:szCs w:val="20"/>
              </w:rPr>
              <w:t>B:</w:t>
            </w:r>
            <w:proofErr w:type="gramEnd"/>
            <w:r w:rsidRPr="002607EC">
              <w:rPr>
                <w:rFonts w:cs="Times New Roman"/>
                <w:bCs/>
                <w:sz w:val="20"/>
                <w:szCs w:val="20"/>
              </w:rPr>
              <w:t>C de  20-B:C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02 (dois) extintores sobrerrodas de espuma mecânica 40-B cada um.</w:t>
            </w:r>
          </w:p>
          <w:p w:rsidR="00C819E6" w:rsidRPr="002607EC" w:rsidRDefault="00C819E6" w:rsidP="00C819E6">
            <w:pPr>
              <w:pStyle w:val="PargrafodaLista"/>
              <w:autoSpaceDE w:val="0"/>
              <w:autoSpaceDN w:val="0"/>
              <w:adjustRightInd w:val="0"/>
              <w:ind w:left="0"/>
              <w:jc w:val="center"/>
              <w:rPr>
                <w:rFonts w:cs="Times New Roman"/>
                <w:sz w:val="20"/>
                <w:szCs w:val="20"/>
              </w:rPr>
            </w:pPr>
          </w:p>
        </w:tc>
      </w:tr>
      <w:tr w:rsidR="00C819E6" w:rsidRPr="002607EC" w:rsidTr="00E3728B">
        <w:trPr>
          <w:trHeight w:hRule="exact" w:val="1418"/>
        </w:trPr>
        <w:tc>
          <w:tcPr>
            <w:tcW w:w="2269" w:type="dxa"/>
            <w:vMerge/>
            <w:tcBorders>
              <w:top w:val="single" w:sz="12" w:space="0" w:color="auto"/>
              <w:left w:val="single" w:sz="12" w:space="0" w:color="auto"/>
              <w:bottom w:val="single" w:sz="12" w:space="0" w:color="auto"/>
              <w:right w:val="single" w:sz="12" w:space="0" w:color="auto"/>
            </w:tcBorders>
            <w:shd w:val="clear" w:color="auto" w:fill="FFFF00"/>
            <w:vAlign w:val="center"/>
          </w:tcPr>
          <w:p w:rsidR="00C819E6" w:rsidRPr="002607EC" w:rsidRDefault="00C819E6" w:rsidP="00C819E6">
            <w:pPr>
              <w:pStyle w:val="PargrafodaLista"/>
              <w:autoSpaceDE w:val="0"/>
              <w:autoSpaceDN w:val="0"/>
              <w:adjustRightInd w:val="0"/>
              <w:ind w:left="0"/>
              <w:jc w:val="center"/>
              <w:rPr>
                <w:rFonts w:cs="Times New Roman"/>
                <w:b/>
                <w:sz w:val="20"/>
                <w:szCs w:val="20"/>
              </w:rPr>
            </w:pPr>
          </w:p>
        </w:tc>
        <w:tc>
          <w:tcPr>
            <w:tcW w:w="2126" w:type="dxa"/>
            <w:tcBorders>
              <w:top w:val="single" w:sz="12" w:space="0" w:color="auto"/>
              <w:left w:val="single" w:sz="12" w:space="0" w:color="auto"/>
              <w:bottom w:val="single" w:sz="12" w:space="0" w:color="auto"/>
              <w:right w:val="single" w:sz="12" w:space="0" w:color="auto"/>
            </w:tcBorders>
            <w:vAlign w:val="center"/>
          </w:tcPr>
          <w:p w:rsidR="00C819E6" w:rsidRPr="002607EC" w:rsidRDefault="00C819E6" w:rsidP="00C819E6">
            <w:pPr>
              <w:pStyle w:val="PargrafodaLista"/>
              <w:autoSpaceDE w:val="0"/>
              <w:autoSpaceDN w:val="0"/>
              <w:adjustRightInd w:val="0"/>
              <w:ind w:left="0"/>
              <w:jc w:val="center"/>
              <w:rPr>
                <w:rFonts w:cs="Times New Roman"/>
                <w:sz w:val="20"/>
                <w:szCs w:val="20"/>
              </w:rPr>
            </w:pPr>
            <w:r w:rsidRPr="002607EC">
              <w:rPr>
                <w:rFonts w:cs="Times New Roman"/>
                <w:sz w:val="20"/>
                <w:szCs w:val="20"/>
              </w:rPr>
              <w:t>Acima de 4.500 Kg</w:t>
            </w:r>
          </w:p>
        </w:tc>
        <w:tc>
          <w:tcPr>
            <w:tcW w:w="5812" w:type="dxa"/>
            <w:tcBorders>
              <w:top w:val="single" w:sz="12" w:space="0" w:color="auto"/>
              <w:left w:val="single" w:sz="12" w:space="0" w:color="auto"/>
              <w:bottom w:val="single" w:sz="12" w:space="0" w:color="auto"/>
              <w:right w:val="single" w:sz="12" w:space="0" w:color="auto"/>
            </w:tcBorders>
            <w:vAlign w:val="center"/>
          </w:tcPr>
          <w:p w:rsidR="00C819E6" w:rsidRPr="002607EC" w:rsidRDefault="00C819E6" w:rsidP="00C819E6">
            <w:pPr>
              <w:pStyle w:val="PargrafodaLista"/>
              <w:autoSpaceDE w:val="0"/>
              <w:autoSpaceDN w:val="0"/>
              <w:adjustRightInd w:val="0"/>
              <w:ind w:left="0"/>
              <w:jc w:val="center"/>
              <w:rPr>
                <w:rFonts w:cs="Times New Roman"/>
                <w:bCs/>
                <w:sz w:val="20"/>
                <w:szCs w:val="20"/>
              </w:rPr>
            </w:pPr>
            <w:r w:rsidRPr="002607EC">
              <w:rPr>
                <w:rFonts w:cs="Times New Roman"/>
                <w:bCs/>
                <w:sz w:val="20"/>
                <w:szCs w:val="20"/>
              </w:rPr>
              <w:t xml:space="preserve">04 (quatro) extintores de pó </w:t>
            </w:r>
            <w:proofErr w:type="gramStart"/>
            <w:r w:rsidRPr="002607EC">
              <w:rPr>
                <w:rFonts w:cs="Times New Roman"/>
                <w:bCs/>
                <w:sz w:val="20"/>
                <w:szCs w:val="20"/>
              </w:rPr>
              <w:t>B:</w:t>
            </w:r>
            <w:proofErr w:type="gramEnd"/>
            <w:r w:rsidRPr="002607EC">
              <w:rPr>
                <w:rFonts w:cs="Times New Roman"/>
                <w:bCs/>
                <w:sz w:val="20"/>
                <w:szCs w:val="20"/>
              </w:rPr>
              <w:t>C de  20-B:C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 xml:space="preserve">01 (um) extintor sobrerrodas de pó </w:t>
            </w:r>
            <w:proofErr w:type="gramStart"/>
            <w:r w:rsidRPr="002607EC">
              <w:rPr>
                <w:rFonts w:cs="Times New Roman"/>
                <w:bCs/>
                <w:sz w:val="20"/>
                <w:szCs w:val="20"/>
              </w:rPr>
              <w:t>B:</w:t>
            </w:r>
            <w:proofErr w:type="gramEnd"/>
            <w:r w:rsidRPr="002607EC">
              <w:rPr>
                <w:rFonts w:cs="Times New Roman"/>
                <w:bCs/>
                <w:sz w:val="20"/>
                <w:szCs w:val="20"/>
              </w:rPr>
              <w:t>C 80-B:C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02 (dois) extintores de espuma mecânica sobrerrodas 40-B cada um</w:t>
            </w:r>
          </w:p>
          <w:p w:rsidR="00C819E6" w:rsidRPr="002607EC" w:rsidRDefault="00C819E6" w:rsidP="00C819E6">
            <w:pPr>
              <w:pStyle w:val="PargrafodaLista"/>
              <w:autoSpaceDE w:val="0"/>
              <w:autoSpaceDN w:val="0"/>
              <w:adjustRightInd w:val="0"/>
              <w:ind w:left="0"/>
              <w:jc w:val="center"/>
              <w:rPr>
                <w:rFonts w:cs="Times New Roman"/>
                <w:sz w:val="20"/>
                <w:szCs w:val="20"/>
              </w:rPr>
            </w:pPr>
          </w:p>
        </w:tc>
      </w:tr>
      <w:tr w:rsidR="00C819E6" w:rsidRPr="002607EC" w:rsidTr="00E3728B">
        <w:trPr>
          <w:trHeight w:hRule="exact" w:val="1418"/>
        </w:trPr>
        <w:tc>
          <w:tcPr>
            <w:tcW w:w="2269" w:type="dxa"/>
            <w:vMerge w:val="restart"/>
            <w:tcBorders>
              <w:top w:val="single" w:sz="12" w:space="0" w:color="auto"/>
              <w:left w:val="single" w:sz="12" w:space="0" w:color="auto"/>
              <w:bottom w:val="single" w:sz="12" w:space="0" w:color="auto"/>
              <w:right w:val="single" w:sz="12" w:space="0" w:color="auto"/>
            </w:tcBorders>
            <w:shd w:val="clear" w:color="auto" w:fill="FFFF00"/>
            <w:vAlign w:val="center"/>
          </w:tcPr>
          <w:p w:rsidR="00C819E6" w:rsidRPr="002607EC" w:rsidRDefault="00C819E6" w:rsidP="00C819E6">
            <w:pPr>
              <w:pStyle w:val="PargrafodaLista"/>
              <w:autoSpaceDE w:val="0"/>
              <w:autoSpaceDN w:val="0"/>
              <w:adjustRightInd w:val="0"/>
              <w:ind w:left="0"/>
              <w:jc w:val="center"/>
              <w:rPr>
                <w:rFonts w:cs="Times New Roman"/>
                <w:b/>
                <w:sz w:val="20"/>
                <w:szCs w:val="20"/>
              </w:rPr>
            </w:pPr>
            <w:r w:rsidRPr="002607EC">
              <w:rPr>
                <w:rFonts w:cs="Times New Roman"/>
                <w:b/>
                <w:sz w:val="20"/>
                <w:szCs w:val="20"/>
              </w:rPr>
              <w:t>Helipontos elevados</w:t>
            </w:r>
          </w:p>
        </w:tc>
        <w:tc>
          <w:tcPr>
            <w:tcW w:w="2126" w:type="dxa"/>
            <w:tcBorders>
              <w:top w:val="single" w:sz="12" w:space="0" w:color="auto"/>
              <w:left w:val="single" w:sz="12" w:space="0" w:color="auto"/>
              <w:bottom w:val="single" w:sz="12" w:space="0" w:color="auto"/>
              <w:right w:val="single" w:sz="12" w:space="0" w:color="auto"/>
            </w:tcBorders>
            <w:shd w:val="clear" w:color="auto" w:fill="EEECE1" w:themeFill="background2"/>
            <w:vAlign w:val="center"/>
          </w:tcPr>
          <w:p w:rsidR="00C819E6" w:rsidRPr="002607EC" w:rsidRDefault="00C819E6" w:rsidP="00C819E6">
            <w:pPr>
              <w:pStyle w:val="PargrafodaLista"/>
              <w:autoSpaceDE w:val="0"/>
              <w:autoSpaceDN w:val="0"/>
              <w:adjustRightInd w:val="0"/>
              <w:ind w:left="0"/>
              <w:jc w:val="center"/>
              <w:rPr>
                <w:rFonts w:cs="Times New Roman"/>
                <w:sz w:val="20"/>
                <w:szCs w:val="20"/>
              </w:rPr>
            </w:pPr>
            <w:r w:rsidRPr="002607EC">
              <w:rPr>
                <w:rFonts w:cs="Times New Roman"/>
                <w:sz w:val="20"/>
                <w:szCs w:val="20"/>
              </w:rPr>
              <w:t>Até 4.500 Kg</w:t>
            </w:r>
          </w:p>
        </w:tc>
        <w:tc>
          <w:tcPr>
            <w:tcW w:w="5812" w:type="dxa"/>
            <w:tcBorders>
              <w:top w:val="single" w:sz="12" w:space="0" w:color="auto"/>
              <w:left w:val="single" w:sz="12" w:space="0" w:color="auto"/>
              <w:bottom w:val="single" w:sz="12" w:space="0" w:color="auto"/>
              <w:right w:val="single" w:sz="12" w:space="0" w:color="auto"/>
            </w:tcBorders>
            <w:shd w:val="clear" w:color="auto" w:fill="EEECE1" w:themeFill="background2"/>
            <w:vAlign w:val="center"/>
          </w:tcPr>
          <w:p w:rsidR="00C819E6" w:rsidRPr="002607EC" w:rsidRDefault="00C819E6" w:rsidP="00C819E6">
            <w:pPr>
              <w:pStyle w:val="PargrafodaLista"/>
              <w:autoSpaceDE w:val="0"/>
              <w:autoSpaceDN w:val="0"/>
              <w:adjustRightInd w:val="0"/>
              <w:ind w:left="0"/>
              <w:jc w:val="center"/>
              <w:rPr>
                <w:rFonts w:cs="Times New Roman"/>
                <w:bCs/>
                <w:sz w:val="20"/>
                <w:szCs w:val="20"/>
              </w:rPr>
            </w:pPr>
            <w:r w:rsidRPr="002607EC">
              <w:rPr>
                <w:rFonts w:cs="Times New Roman"/>
                <w:bCs/>
                <w:sz w:val="20"/>
                <w:szCs w:val="20"/>
              </w:rPr>
              <w:t xml:space="preserve">06 (seis) extintores de pó </w:t>
            </w:r>
            <w:proofErr w:type="gramStart"/>
            <w:r w:rsidRPr="002607EC">
              <w:rPr>
                <w:rFonts w:cs="Times New Roman"/>
                <w:bCs/>
                <w:sz w:val="20"/>
                <w:szCs w:val="20"/>
              </w:rPr>
              <w:t>B:</w:t>
            </w:r>
            <w:proofErr w:type="gramEnd"/>
            <w:r w:rsidRPr="002607EC">
              <w:rPr>
                <w:rFonts w:cs="Times New Roman"/>
                <w:bCs/>
                <w:sz w:val="20"/>
                <w:szCs w:val="20"/>
              </w:rPr>
              <w:t>C de  20-B:C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 xml:space="preserve">01 (um) extintor sobrerrodas de pó </w:t>
            </w:r>
            <w:proofErr w:type="gramStart"/>
            <w:r w:rsidRPr="002607EC">
              <w:rPr>
                <w:rFonts w:cs="Times New Roman"/>
                <w:bCs/>
                <w:sz w:val="20"/>
                <w:szCs w:val="20"/>
              </w:rPr>
              <w:t>B:</w:t>
            </w:r>
            <w:proofErr w:type="gramEnd"/>
            <w:r w:rsidRPr="002607EC">
              <w:rPr>
                <w:rFonts w:cs="Times New Roman"/>
                <w:bCs/>
                <w:sz w:val="20"/>
                <w:szCs w:val="20"/>
              </w:rPr>
              <w:t>C 80-B:C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03 (três) extintores de espuma mecânica sobrerrodas 40-B cada um</w:t>
            </w:r>
          </w:p>
          <w:p w:rsidR="00C819E6" w:rsidRPr="002607EC" w:rsidRDefault="00C819E6" w:rsidP="00C819E6">
            <w:pPr>
              <w:pStyle w:val="PargrafodaLista"/>
              <w:autoSpaceDE w:val="0"/>
              <w:autoSpaceDN w:val="0"/>
              <w:adjustRightInd w:val="0"/>
              <w:ind w:left="0"/>
              <w:jc w:val="center"/>
              <w:rPr>
                <w:rFonts w:cs="Times New Roman"/>
                <w:sz w:val="20"/>
                <w:szCs w:val="20"/>
              </w:rPr>
            </w:pPr>
          </w:p>
        </w:tc>
      </w:tr>
      <w:tr w:rsidR="00C819E6" w:rsidRPr="002607EC" w:rsidTr="00E3728B">
        <w:trPr>
          <w:trHeight w:hRule="exact" w:val="1418"/>
        </w:trPr>
        <w:tc>
          <w:tcPr>
            <w:tcW w:w="2269" w:type="dxa"/>
            <w:vMerge/>
            <w:tcBorders>
              <w:top w:val="single" w:sz="12" w:space="0" w:color="auto"/>
              <w:left w:val="single" w:sz="12" w:space="0" w:color="auto"/>
              <w:bottom w:val="single" w:sz="12" w:space="0" w:color="auto"/>
              <w:right w:val="single" w:sz="12" w:space="0" w:color="auto"/>
            </w:tcBorders>
            <w:shd w:val="clear" w:color="auto" w:fill="FFFF00"/>
            <w:vAlign w:val="center"/>
          </w:tcPr>
          <w:p w:rsidR="00C819E6" w:rsidRPr="002607EC" w:rsidRDefault="00C819E6" w:rsidP="00C819E6">
            <w:pPr>
              <w:pStyle w:val="PargrafodaLista"/>
              <w:autoSpaceDE w:val="0"/>
              <w:autoSpaceDN w:val="0"/>
              <w:adjustRightInd w:val="0"/>
              <w:ind w:left="0"/>
              <w:jc w:val="center"/>
              <w:rPr>
                <w:rFonts w:cs="Times New Roman"/>
                <w:sz w:val="20"/>
                <w:szCs w:val="20"/>
              </w:rPr>
            </w:pPr>
          </w:p>
        </w:tc>
        <w:tc>
          <w:tcPr>
            <w:tcW w:w="2126" w:type="dxa"/>
            <w:tcBorders>
              <w:top w:val="single" w:sz="12" w:space="0" w:color="auto"/>
              <w:left w:val="single" w:sz="12" w:space="0" w:color="auto"/>
              <w:bottom w:val="single" w:sz="12" w:space="0" w:color="auto"/>
              <w:right w:val="single" w:sz="12" w:space="0" w:color="auto"/>
            </w:tcBorders>
            <w:vAlign w:val="center"/>
          </w:tcPr>
          <w:p w:rsidR="00C819E6" w:rsidRPr="002607EC" w:rsidRDefault="00C819E6" w:rsidP="00C819E6">
            <w:pPr>
              <w:pStyle w:val="PargrafodaLista"/>
              <w:autoSpaceDE w:val="0"/>
              <w:autoSpaceDN w:val="0"/>
              <w:adjustRightInd w:val="0"/>
              <w:ind w:left="0"/>
              <w:jc w:val="center"/>
              <w:rPr>
                <w:rFonts w:cs="Times New Roman"/>
                <w:sz w:val="20"/>
                <w:szCs w:val="20"/>
              </w:rPr>
            </w:pPr>
            <w:r w:rsidRPr="002607EC">
              <w:rPr>
                <w:rFonts w:cs="Times New Roman"/>
                <w:sz w:val="20"/>
                <w:szCs w:val="20"/>
              </w:rPr>
              <w:t>Acima de 4.500 Kg</w:t>
            </w:r>
          </w:p>
        </w:tc>
        <w:tc>
          <w:tcPr>
            <w:tcW w:w="5812" w:type="dxa"/>
            <w:tcBorders>
              <w:top w:val="single" w:sz="12" w:space="0" w:color="auto"/>
              <w:left w:val="single" w:sz="12" w:space="0" w:color="auto"/>
              <w:bottom w:val="single" w:sz="12" w:space="0" w:color="auto"/>
              <w:right w:val="single" w:sz="12" w:space="0" w:color="auto"/>
            </w:tcBorders>
            <w:vAlign w:val="center"/>
          </w:tcPr>
          <w:p w:rsidR="00C819E6" w:rsidRPr="002607EC" w:rsidRDefault="00C819E6" w:rsidP="00C819E6">
            <w:pPr>
              <w:pStyle w:val="PargrafodaLista"/>
              <w:autoSpaceDE w:val="0"/>
              <w:autoSpaceDN w:val="0"/>
              <w:adjustRightInd w:val="0"/>
              <w:ind w:left="0"/>
              <w:jc w:val="center"/>
              <w:rPr>
                <w:rFonts w:cs="Times New Roman"/>
                <w:bCs/>
                <w:sz w:val="20"/>
                <w:szCs w:val="20"/>
              </w:rPr>
            </w:pPr>
            <w:r w:rsidRPr="002607EC">
              <w:rPr>
                <w:rFonts w:cs="Times New Roman"/>
                <w:bCs/>
                <w:sz w:val="20"/>
                <w:szCs w:val="20"/>
              </w:rPr>
              <w:t xml:space="preserve">06 (seis) extintores de pó </w:t>
            </w:r>
            <w:proofErr w:type="gramStart"/>
            <w:r w:rsidRPr="002607EC">
              <w:rPr>
                <w:rFonts w:cs="Times New Roman"/>
                <w:bCs/>
                <w:sz w:val="20"/>
                <w:szCs w:val="20"/>
              </w:rPr>
              <w:t>B:</w:t>
            </w:r>
            <w:proofErr w:type="gramEnd"/>
            <w:r w:rsidRPr="002607EC">
              <w:rPr>
                <w:rFonts w:cs="Times New Roman"/>
                <w:bCs/>
                <w:sz w:val="20"/>
                <w:szCs w:val="20"/>
              </w:rPr>
              <w:t>C de  20-B:C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 xml:space="preserve">01 (um) extintor sobrerrodas de pó </w:t>
            </w:r>
            <w:proofErr w:type="gramStart"/>
            <w:r w:rsidRPr="002607EC">
              <w:rPr>
                <w:rFonts w:cs="Times New Roman"/>
                <w:bCs/>
                <w:sz w:val="20"/>
                <w:szCs w:val="20"/>
              </w:rPr>
              <w:t>B:</w:t>
            </w:r>
            <w:proofErr w:type="gramEnd"/>
            <w:r w:rsidRPr="002607EC">
              <w:rPr>
                <w:rFonts w:cs="Times New Roman"/>
                <w:bCs/>
                <w:sz w:val="20"/>
                <w:szCs w:val="20"/>
              </w:rPr>
              <w:t>C 80-B:C cada um;</w:t>
            </w:r>
          </w:p>
          <w:p w:rsidR="00C819E6" w:rsidRPr="002607EC" w:rsidRDefault="00C819E6" w:rsidP="00C819E6">
            <w:pPr>
              <w:pStyle w:val="PargrafodaLista"/>
              <w:tabs>
                <w:tab w:val="left" w:pos="567"/>
                <w:tab w:val="left" w:pos="709"/>
              </w:tabs>
              <w:ind w:left="0"/>
              <w:jc w:val="center"/>
              <w:rPr>
                <w:rFonts w:cs="Times New Roman"/>
                <w:bCs/>
                <w:sz w:val="20"/>
                <w:szCs w:val="20"/>
              </w:rPr>
            </w:pPr>
            <w:r w:rsidRPr="002607EC">
              <w:rPr>
                <w:rFonts w:cs="Times New Roman"/>
                <w:bCs/>
                <w:sz w:val="20"/>
                <w:szCs w:val="20"/>
              </w:rPr>
              <w:t>05 (cinco) extintores de espuma mecânica sobrerrodas 40-B cada um</w:t>
            </w:r>
          </w:p>
          <w:p w:rsidR="00C819E6" w:rsidRPr="002607EC" w:rsidRDefault="00C819E6" w:rsidP="00C819E6">
            <w:pPr>
              <w:pStyle w:val="PargrafodaLista"/>
              <w:autoSpaceDE w:val="0"/>
              <w:autoSpaceDN w:val="0"/>
              <w:adjustRightInd w:val="0"/>
              <w:ind w:left="0"/>
              <w:jc w:val="center"/>
              <w:rPr>
                <w:rFonts w:cs="Times New Roman"/>
                <w:sz w:val="20"/>
                <w:szCs w:val="20"/>
              </w:rPr>
            </w:pPr>
          </w:p>
        </w:tc>
      </w:tr>
    </w:tbl>
    <w:p w:rsidR="007B024F" w:rsidRDefault="007B024F" w:rsidP="00123AB5">
      <w:pPr>
        <w:pStyle w:val="PargrafodaLista"/>
        <w:autoSpaceDE w:val="0"/>
        <w:autoSpaceDN w:val="0"/>
        <w:adjustRightInd w:val="0"/>
        <w:spacing w:before="0" w:after="0" w:line="240" w:lineRule="auto"/>
        <w:ind w:left="0"/>
        <w:rPr>
          <w:rFonts w:cs="Times New Roman"/>
          <w:szCs w:val="24"/>
        </w:rPr>
      </w:pPr>
    </w:p>
    <w:p w:rsidR="001621E6" w:rsidRPr="00C819E6" w:rsidRDefault="00C819E6" w:rsidP="00123AB5">
      <w:pPr>
        <w:pStyle w:val="PargrafodaLista"/>
        <w:autoSpaceDE w:val="0"/>
        <w:autoSpaceDN w:val="0"/>
        <w:adjustRightInd w:val="0"/>
        <w:spacing w:before="0" w:after="0" w:line="240" w:lineRule="auto"/>
        <w:ind w:left="0"/>
        <w:rPr>
          <w:rFonts w:cs="Times New Roman"/>
          <w:sz w:val="20"/>
          <w:szCs w:val="20"/>
        </w:rPr>
      </w:pPr>
      <w:r w:rsidRPr="00C819E6">
        <w:rPr>
          <w:rFonts w:cs="Times New Roman"/>
          <w:b/>
          <w:i/>
          <w:iCs/>
          <w:sz w:val="20"/>
          <w:szCs w:val="20"/>
        </w:rPr>
        <w:t>Nota:</w:t>
      </w:r>
      <w:r w:rsidRPr="00C819E6">
        <w:rPr>
          <w:rFonts w:cs="Times New Roman"/>
          <w:i/>
          <w:iCs/>
          <w:sz w:val="20"/>
          <w:szCs w:val="20"/>
        </w:rPr>
        <w:t xml:space="preserve"> os extintores de pó devem ser compatíveis com a utilização</w:t>
      </w:r>
      <w:bookmarkStart w:id="0" w:name="_GoBack"/>
      <w:bookmarkEnd w:id="0"/>
      <w:r w:rsidRPr="00C819E6">
        <w:rPr>
          <w:rFonts w:cs="Times New Roman"/>
          <w:i/>
          <w:iCs/>
          <w:sz w:val="20"/>
          <w:szCs w:val="20"/>
        </w:rPr>
        <w:t xml:space="preserve"> conjunta com espuma</w:t>
      </w:r>
      <w:r>
        <w:rPr>
          <w:rFonts w:cs="Times New Roman"/>
          <w:i/>
          <w:iCs/>
          <w:sz w:val="20"/>
          <w:szCs w:val="20"/>
        </w:rPr>
        <w:t>.</w:t>
      </w:r>
    </w:p>
    <w:sectPr w:rsidR="001621E6" w:rsidRPr="00C819E6" w:rsidSect="00123AB5">
      <w:headerReference w:type="default" r:id="rId11"/>
      <w:footerReference w:type="default" r:id="rId12"/>
      <w:headerReference w:type="first" r:id="rId13"/>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69D" w:rsidRDefault="0000369D" w:rsidP="0061223E">
      <w:pPr>
        <w:spacing w:before="0" w:after="0" w:line="240" w:lineRule="auto"/>
      </w:pPr>
      <w:r>
        <w:separator/>
      </w:r>
    </w:p>
  </w:endnote>
  <w:endnote w:type="continuationSeparator" w:id="0">
    <w:p w:rsidR="0000369D" w:rsidRDefault="0000369D"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B67EC6" w:rsidRDefault="007C7ED5">
    <w:pPr>
      <w:pStyle w:val="Rodap"/>
      <w:pBdr>
        <w:top w:val="thinThickSmallGap" w:sz="24" w:space="1" w:color="622423" w:themeColor="accent2" w:themeShade="7F"/>
      </w:pBdr>
      <w:rPr>
        <w:rFonts w:eastAsiaTheme="majorEastAsia" w:cs="Times New Roman"/>
        <w:sz w:val="20"/>
        <w:szCs w:val="20"/>
      </w:rPr>
    </w:pPr>
    <w:r w:rsidRPr="00B67EC6">
      <w:rPr>
        <w:rFonts w:eastAsiaTheme="majorEastAsia" w:cs="Times New Roman"/>
        <w:sz w:val="20"/>
        <w:szCs w:val="20"/>
      </w:rPr>
      <w:t>Corpo de Bombeiros Militar de Alagoas</w:t>
    </w:r>
    <w:r w:rsidRPr="00B67EC6">
      <w:rPr>
        <w:rFonts w:eastAsiaTheme="majorEastAsia" w:cs="Times New Roman"/>
        <w:sz w:val="20"/>
        <w:szCs w:val="20"/>
      </w:rPr>
      <w:ptab w:relativeTo="margin" w:alignment="right" w:leader="none"/>
    </w:r>
    <w:r w:rsidRPr="00B67EC6">
      <w:rPr>
        <w:rFonts w:eastAsiaTheme="majorEastAsia" w:cs="Times New Roman"/>
        <w:sz w:val="20"/>
        <w:szCs w:val="20"/>
      </w:rPr>
      <w:t xml:space="preserve">Página </w:t>
    </w:r>
    <w:r w:rsidR="00B0241E" w:rsidRPr="00B67EC6">
      <w:rPr>
        <w:rFonts w:eastAsiaTheme="minorEastAsia" w:cs="Times New Roman"/>
        <w:sz w:val="20"/>
        <w:szCs w:val="20"/>
      </w:rPr>
      <w:fldChar w:fldCharType="begin"/>
    </w:r>
    <w:r w:rsidRPr="00B67EC6">
      <w:rPr>
        <w:rFonts w:cs="Times New Roman"/>
        <w:sz w:val="20"/>
        <w:szCs w:val="20"/>
      </w:rPr>
      <w:instrText>PAGE   \* MERGEFORMAT</w:instrText>
    </w:r>
    <w:r w:rsidR="00B0241E" w:rsidRPr="00B67EC6">
      <w:rPr>
        <w:rFonts w:eastAsiaTheme="minorEastAsia" w:cs="Times New Roman"/>
        <w:sz w:val="20"/>
        <w:szCs w:val="20"/>
      </w:rPr>
      <w:fldChar w:fldCharType="separate"/>
    </w:r>
    <w:r w:rsidR="00E3728B" w:rsidRPr="00E3728B">
      <w:rPr>
        <w:rFonts w:eastAsiaTheme="majorEastAsia" w:cs="Times New Roman"/>
        <w:noProof/>
        <w:sz w:val="20"/>
        <w:szCs w:val="20"/>
      </w:rPr>
      <w:t>5</w:t>
    </w:r>
    <w:r w:rsidR="00B0241E" w:rsidRPr="00B67EC6">
      <w:rPr>
        <w:rFonts w:eastAsiaTheme="majorEastAsia" w:cs="Times New Roman"/>
        <w:sz w:val="20"/>
        <w:szCs w:val="20"/>
      </w:rPr>
      <w:fldChar w:fldCharType="end"/>
    </w:r>
  </w:p>
  <w:p w:rsidR="0061223E" w:rsidRDefault="006122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69D" w:rsidRDefault="0000369D" w:rsidP="0061223E">
      <w:pPr>
        <w:spacing w:before="0" w:after="0" w:line="240" w:lineRule="auto"/>
      </w:pPr>
      <w:r>
        <w:separator/>
      </w:r>
    </w:p>
  </w:footnote>
  <w:footnote w:type="continuationSeparator" w:id="0">
    <w:p w:rsidR="0000369D" w:rsidRDefault="0000369D"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1061C4">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9525" t="9525" r="10795" b="12700"/>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2" name="Rectangle 197"/>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1214649473"/>
                              <w:dataBinding w:prefixMappings="xmlns:ns0='http://schemas.openxmlformats.org/package/2006/metadata/core-properties' xmlns:ns1='http://purl.org/dc/elements/1.1/'" w:xpath="/ns0:coreProperties[1]/ns1:title[1]" w:storeItemID="{6C3C8BC8-F283-45AE-878A-BAB7291924A1}"/>
                              <w:text/>
                            </w:sdtPr>
                            <w:sdtEndPr/>
                            <w:sdtContent>
                              <w:p w:rsidR="009946B9" w:rsidRDefault="00540109">
                                <w:pPr>
                                  <w:pStyle w:val="Cabealho"/>
                                  <w:rPr>
                                    <w:color w:val="FFFFFF" w:themeColor="background1"/>
                                    <w:sz w:val="28"/>
                                    <w:szCs w:val="28"/>
                                  </w:rPr>
                                </w:pPr>
                                <w:r>
                                  <w:rPr>
                                    <w:color w:val="FFFFFF" w:themeColor="background1"/>
                                    <w:sz w:val="28"/>
                                    <w:szCs w:val="28"/>
                                  </w:rPr>
                                  <w:t>IT 31</w:t>
                                </w:r>
                                <w:r w:rsidR="008C5AC9">
                                  <w:rPr>
                                    <w:color w:val="FFFFFF" w:themeColor="background1"/>
                                    <w:sz w:val="28"/>
                                    <w:szCs w:val="28"/>
                                  </w:rPr>
                                  <w:t xml:space="preserve"> CBMAL</w:t>
                                </w:r>
                              </w:p>
                            </w:sdtContent>
                          </w:sdt>
                        </w:txbxContent>
                      </wps:txbx>
                      <wps:bodyPr rot="0" vert="horz" wrap="square" lIns="91440" tIns="45720" rIns="91440" bIns="45720" anchor="ctr" anchorCtr="0" upright="1">
                        <a:noAutofit/>
                      </wps:bodyPr>
                    </wps:wsp>
                    <wps:wsp>
                      <wps:cNvPr id="3" name="Rectangle 198"/>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1214649474"/>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540109" w:rsidP="00A37D0B">
                                <w:pPr>
                                  <w:pStyle w:val="Cabealho"/>
                                  <w:jc w:val="center"/>
                                  <w:rPr>
                                    <w:color w:val="FFFFFF" w:themeColor="background1"/>
                                    <w:sz w:val="36"/>
                                    <w:szCs w:val="36"/>
                                  </w:rPr>
                                </w:pPr>
                                <w:r>
                                  <w:rPr>
                                    <w:color w:val="FFFFFF" w:themeColor="background1"/>
                                    <w:sz w:val="36"/>
                                    <w:szCs w:val="36"/>
                                  </w:rPr>
                                  <w:t>202</w:t>
                                </w:r>
                                <w:r w:rsidR="008C5AC9">
                                  <w:rPr>
                                    <w:color w:val="FFFFFF" w:themeColor="background1"/>
                                    <w:sz w:val="36"/>
                                    <w:szCs w:val="36"/>
                                  </w:rPr>
                                  <w:t>1</w:t>
                                </w:r>
                              </w:p>
                            </w:sdtContent>
                          </w:sdt>
                        </w:txbxContent>
                      </wps:txbx>
                      <wps:bodyPr rot="0" vert="horz" wrap="square" lIns="91440" tIns="45720" rIns="91440" bIns="45720" anchor="ctr" anchorCtr="0" upright="1">
                        <a:noAutofit/>
                      </wps:bodyPr>
                    </wps:wsp>
                    <wps:wsp>
                      <wps:cNvPr id="4"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7f6MMA&#10;AADaAAAADwAAAGRycy9kb3ducmV2LnhtbESPT2vCQBTE7wW/w/KE3urGQIOkbkIr2noStILXR/bl&#10;D82+jbtbTfvpu4LQ4zAzv2GW5Wh6cSHnO8sK5rMEBHFldceNguPn5mkBwgdkjb1lUvBDHspi8rDE&#10;XNsr7+lyCI2IEPY5KmhDGHIpfdWSQT+zA3H0ausMhihdI7XDa4SbXqZJkkmDHceFFgdatVR9Hb6N&#10;gmy93Z1/n7M3l/rTBuWuHt4/aqUep+PrC4hAY/gP39tbrSCF25V4A2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7f6MMAAADaAAAADwAAAAAAAAAAAAAAAACYAgAAZHJzL2Rv&#10;d25yZXYueG1sUEsFBgAAAAAEAAQA9QAAAIgDAAAAAA==&#10;" fillcolor="#e36c0a [2409]" stroked="f" strokecolor="white" strokeweight="1.5pt">
                <v:textbox>
                  <w:txbxContent>
                    <w:sdt>
                      <w:sdtPr>
                        <w:rPr>
                          <w:color w:val="FFFFFF" w:themeColor="background1"/>
                          <w:sz w:val="28"/>
                          <w:szCs w:val="28"/>
                        </w:rPr>
                        <w:alias w:val="Título"/>
                        <w:id w:val="1214649473"/>
                        <w:dataBinding w:prefixMappings="xmlns:ns0='http://schemas.openxmlformats.org/package/2006/metadata/core-properties' xmlns:ns1='http://purl.org/dc/elements/1.1/'" w:xpath="/ns0:coreProperties[1]/ns1:title[1]" w:storeItemID="{6C3C8BC8-F283-45AE-878A-BAB7291924A1}"/>
                        <w:text/>
                      </w:sdtPr>
                      <w:sdtEndPr/>
                      <w:sdtContent>
                        <w:p w:rsidR="009946B9" w:rsidRDefault="00540109">
                          <w:pPr>
                            <w:pStyle w:val="Cabealho"/>
                            <w:rPr>
                              <w:color w:val="FFFFFF" w:themeColor="background1"/>
                              <w:sz w:val="28"/>
                              <w:szCs w:val="28"/>
                            </w:rPr>
                          </w:pPr>
                          <w:r>
                            <w:rPr>
                              <w:color w:val="FFFFFF" w:themeColor="background1"/>
                              <w:sz w:val="28"/>
                              <w:szCs w:val="28"/>
                            </w:rPr>
                            <w:t>IT 31</w:t>
                          </w:r>
                          <w:r w:rsidR="008C5AC9">
                            <w:rPr>
                              <w:color w:val="FFFFFF" w:themeColor="background1"/>
                              <w:sz w:val="28"/>
                              <w:szCs w:val="28"/>
                            </w:rPr>
                            <w:t xml:space="preserve">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BQ8UA&#10;AADaAAAADwAAAGRycy9kb3ducmV2LnhtbESPT2vCQBTE74LfYXlCL6IbLf5pdBUpCFIPYhTt8ZF9&#10;JtHs25DdavrtuwXB4zAzv2Hmy8aU4k61KywrGPQjEMSp1QVnCo6HdW8KwnlkjaVlUvBLDpaLdmuO&#10;sbYP3tM98ZkIEHYxKsi9r2IpXZqTQde3FXHwLrY26IOsM6lrfAS4KeUwisbSYMFhIceKPnNKb8mP&#10;UZCsJ8Od/Rh109O1+3X+lls6brZKvXWa1QyEp8a/ws/2Rit4h/8r4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YFDxQAAANoAAAAPAAAAAAAAAAAAAAAAAJgCAABkcnMv&#10;ZG93bnJldi54bWxQSwUGAAAAAAQABAD1AAAAigMAAAAA&#10;" fillcolor="#9bbb59 [3206]" stroked="f" strokecolor="white" strokeweight="2pt">
                <v:textbox>
                  <w:txbxContent>
                    <w:sdt>
                      <w:sdtPr>
                        <w:rPr>
                          <w:color w:val="FFFFFF" w:themeColor="background1"/>
                          <w:sz w:val="36"/>
                          <w:szCs w:val="36"/>
                        </w:rPr>
                        <w:alias w:val="Ano"/>
                        <w:id w:val="1214649474"/>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540109" w:rsidP="00A37D0B">
                          <w:pPr>
                            <w:pStyle w:val="Cabealho"/>
                            <w:jc w:val="center"/>
                            <w:rPr>
                              <w:color w:val="FFFFFF" w:themeColor="background1"/>
                              <w:sz w:val="36"/>
                              <w:szCs w:val="36"/>
                            </w:rPr>
                          </w:pPr>
                          <w:r>
                            <w:rPr>
                              <w:color w:val="FFFFFF" w:themeColor="background1"/>
                              <w:sz w:val="36"/>
                              <w:szCs w:val="36"/>
                            </w:rPr>
                            <w:t>202</w:t>
                          </w:r>
                          <w:r w:rsidR="008C5AC9">
                            <w:rPr>
                              <w:color w:val="FFFFFF" w:themeColor="background1"/>
                              <w:sz w:val="36"/>
                              <w:szCs w:val="36"/>
                            </w:rPr>
                            <w:t>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fhAcMA&#10;AADaAAAADwAAAGRycy9kb3ducmV2LnhtbESPQYvCMBSE78L+h/CEvYimuipajbIIC+JBsIp4fDTP&#10;tti8lCRq/febhQWPw8x8wyzXranFg5yvLCsYDhIQxLnVFRcKTsef/gyED8gaa8uk4EUe1quPzhJT&#10;bZ98oEcWChEh7FNUUIbQpFL6vCSDfmAb4uhdrTMYonSF1A6fEW5qOUqSqTRYcVwosaFNSfktuxsF&#10;u/EkuYTz0B5nt6/53tW983R3V+qz234vQARqwzv8395qBWP4ux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fhAcMAAADaAAAADwAAAAAAAAAAAAAAAACYAgAAZHJzL2Rv&#10;d25yZXYueG1sUEsFBgAAAAAEAAQA9QAAAIgDAAAAAA==&#10;" filled="f" strokeweight="1pt"/>
              <w10:wrap anchorx="page" anchory="margin"/>
            </v:group>
          </w:pict>
        </mc:Fallback>
      </mc:AlternateContent>
    </w:r>
  </w:p>
  <w:p w:rsidR="009946B9" w:rsidRDefault="009946B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Default="007C7ED5">
    <w:pPr>
      <w:pStyle w:val="Cabealho"/>
    </w:pPr>
  </w:p>
  <w:p w:rsidR="007C7ED5" w:rsidRDefault="007C7ED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4009C"/>
    <w:multiLevelType w:val="hybridMultilevel"/>
    <w:tmpl w:val="4454B182"/>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E0E5D59"/>
    <w:multiLevelType w:val="multilevel"/>
    <w:tmpl w:val="02C0DEC2"/>
    <w:lvl w:ilvl="0">
      <w:start w:val="1"/>
      <w:numFmt w:val="lowerLetter"/>
      <w:lvlText w:val="%1)"/>
      <w:lvlJc w:val="left"/>
      <w:pPr>
        <w:ind w:left="567" w:hanging="340"/>
      </w:pPr>
      <w:rPr>
        <w:rFonts w:hint="default"/>
        <w:b/>
      </w:rPr>
    </w:lvl>
    <w:lvl w:ilvl="1">
      <w:start w:val="1"/>
      <w:numFmt w:val="decimal"/>
      <w:lvlText w:val="%1.%2."/>
      <w:lvlJc w:val="left"/>
      <w:pPr>
        <w:ind w:left="567" w:hanging="340"/>
      </w:pPr>
      <w:rPr>
        <w:rFonts w:hint="default"/>
        <w:b/>
      </w:rPr>
    </w:lvl>
    <w:lvl w:ilvl="2">
      <w:start w:val="1"/>
      <w:numFmt w:val="decimal"/>
      <w:lvlText w:val="%1.%2.%3."/>
      <w:lvlJc w:val="left"/>
      <w:pPr>
        <w:ind w:left="567" w:hanging="340"/>
      </w:pPr>
      <w:rPr>
        <w:rFonts w:hint="default"/>
        <w:b/>
      </w:rPr>
    </w:lvl>
    <w:lvl w:ilvl="3">
      <w:start w:val="1"/>
      <w:numFmt w:val="decimal"/>
      <w:lvlText w:val="%1.%2.%3.%4."/>
      <w:lvlJc w:val="left"/>
      <w:pPr>
        <w:ind w:left="567" w:hanging="340"/>
      </w:pPr>
      <w:rPr>
        <w:rFonts w:hint="default"/>
        <w:b/>
      </w:rPr>
    </w:lvl>
    <w:lvl w:ilvl="4">
      <w:start w:val="1"/>
      <w:numFmt w:val="decimal"/>
      <w:lvlText w:val="%1.%2.%3.%4.%5."/>
      <w:lvlJc w:val="left"/>
      <w:pPr>
        <w:ind w:left="567" w:hanging="340"/>
      </w:pPr>
      <w:rPr>
        <w:rFonts w:hint="default"/>
      </w:rPr>
    </w:lvl>
    <w:lvl w:ilvl="5">
      <w:start w:val="1"/>
      <w:numFmt w:val="decimal"/>
      <w:lvlText w:val="%1.%2.%3.%4.%5.%6."/>
      <w:lvlJc w:val="left"/>
      <w:pPr>
        <w:ind w:left="567" w:hanging="340"/>
      </w:pPr>
      <w:rPr>
        <w:rFonts w:hint="default"/>
      </w:rPr>
    </w:lvl>
    <w:lvl w:ilvl="6">
      <w:start w:val="1"/>
      <w:numFmt w:val="decimal"/>
      <w:lvlText w:val="%1.%2.%3.%4.%5.%6.%7."/>
      <w:lvlJc w:val="left"/>
      <w:pPr>
        <w:ind w:left="567" w:hanging="340"/>
      </w:pPr>
      <w:rPr>
        <w:rFonts w:hint="default"/>
      </w:rPr>
    </w:lvl>
    <w:lvl w:ilvl="7">
      <w:start w:val="1"/>
      <w:numFmt w:val="decimal"/>
      <w:lvlText w:val="%1.%2.%3.%4.%5.%6.%7.%8."/>
      <w:lvlJc w:val="left"/>
      <w:pPr>
        <w:ind w:left="567" w:hanging="340"/>
      </w:pPr>
      <w:rPr>
        <w:rFonts w:hint="default"/>
      </w:rPr>
    </w:lvl>
    <w:lvl w:ilvl="8">
      <w:start w:val="1"/>
      <w:numFmt w:val="decimal"/>
      <w:lvlText w:val="%1.%2.%3.%4.%5.%6.%7.%8.%9."/>
      <w:lvlJc w:val="left"/>
      <w:pPr>
        <w:ind w:left="567" w:hanging="340"/>
      </w:pPr>
      <w:rPr>
        <w:rFonts w:hint="default"/>
      </w:rPr>
    </w:lvl>
  </w:abstractNum>
  <w:abstractNum w:abstractNumId="2">
    <w:nsid w:val="104730AC"/>
    <w:multiLevelType w:val="multilevel"/>
    <w:tmpl w:val="D92C182E"/>
    <w:lvl w:ilvl="0">
      <w:start w:val="5"/>
      <w:numFmt w:val="decimal"/>
      <w:lvlText w:val="%1"/>
      <w:lvlJc w:val="left"/>
      <w:pPr>
        <w:ind w:left="555" w:hanging="555"/>
      </w:pPr>
      <w:rPr>
        <w:rFonts w:hint="default"/>
        <w:b/>
      </w:rPr>
    </w:lvl>
    <w:lvl w:ilvl="1">
      <w:start w:val="4"/>
      <w:numFmt w:val="decimal"/>
      <w:lvlText w:val="%1.%2"/>
      <w:lvlJc w:val="left"/>
      <w:pPr>
        <w:ind w:left="555" w:hanging="555"/>
      </w:pPr>
      <w:rPr>
        <w:rFonts w:hint="default"/>
        <w:b/>
      </w:rPr>
    </w:lvl>
    <w:lvl w:ilvl="2">
      <w:start w:val="5"/>
      <w:numFmt w:val="decimal"/>
      <w:lvlText w:val="%1.%2.%3"/>
      <w:lvlJc w:val="left"/>
      <w:pPr>
        <w:ind w:left="720" w:hanging="720"/>
      </w:pPr>
      <w:rPr>
        <w:rFonts w:hint="default"/>
        <w:b/>
      </w:rPr>
    </w:lvl>
    <w:lvl w:ilvl="3">
      <w:start w:val="3"/>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5B37CDC"/>
    <w:multiLevelType w:val="multilevel"/>
    <w:tmpl w:val="6D7CBB5A"/>
    <w:lvl w:ilvl="0">
      <w:start w:val="1"/>
      <w:numFmt w:val="decimal"/>
      <w:pStyle w:val="ITTTULLO1"/>
      <w:lvlText w:val="%1."/>
      <w:lvlJc w:val="left"/>
      <w:pPr>
        <w:ind w:left="360" w:hanging="360"/>
      </w:pPr>
      <w:rPr>
        <w:b/>
      </w:rPr>
    </w:lvl>
    <w:lvl w:ilvl="1">
      <w:start w:val="1"/>
      <w:numFmt w:val="decimal"/>
      <w:pStyle w:val="ITTTULO2"/>
      <w:lvlText w:val="%1.%2."/>
      <w:lvlJc w:val="left"/>
      <w:pPr>
        <w:ind w:left="792" w:hanging="432"/>
      </w:pPr>
      <w:rPr>
        <w:b/>
      </w:rPr>
    </w:lvl>
    <w:lvl w:ilvl="2">
      <w:start w:val="1"/>
      <w:numFmt w:val="decimal"/>
      <w:pStyle w:val="ITTTULO3"/>
      <w:lvlText w:val="%1.%2.%3."/>
      <w:lvlJc w:val="left"/>
      <w:pPr>
        <w:ind w:left="504" w:hanging="504"/>
      </w:pPr>
      <w:rPr>
        <w:b/>
      </w:rPr>
    </w:lvl>
    <w:lvl w:ilvl="3">
      <w:start w:val="1"/>
      <w:numFmt w:val="decimal"/>
      <w:pStyle w:val="IT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B733DD"/>
    <w:multiLevelType w:val="multilevel"/>
    <w:tmpl w:val="B8F40A20"/>
    <w:lvl w:ilvl="0">
      <w:start w:val="1"/>
      <w:numFmt w:val="lowerLetter"/>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50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B20783A"/>
    <w:multiLevelType w:val="hybridMultilevel"/>
    <w:tmpl w:val="4732DB94"/>
    <w:lvl w:ilvl="0" w:tplc="04160017">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79BB4281"/>
    <w:multiLevelType w:val="multilevel"/>
    <w:tmpl w:val="706C6662"/>
    <w:lvl w:ilvl="0">
      <w:start w:val="1"/>
      <w:numFmt w:val="lowerLetter"/>
      <w:lvlText w:val="%1)"/>
      <w:lvlJc w:val="left"/>
      <w:pPr>
        <w:ind w:left="567" w:hanging="340"/>
      </w:pPr>
      <w:rPr>
        <w:rFonts w:hint="default"/>
        <w:b/>
      </w:rPr>
    </w:lvl>
    <w:lvl w:ilvl="1">
      <w:start w:val="1"/>
      <w:numFmt w:val="decimal"/>
      <w:lvlText w:val="%1.%2."/>
      <w:lvlJc w:val="left"/>
      <w:pPr>
        <w:ind w:left="567" w:hanging="340"/>
      </w:pPr>
      <w:rPr>
        <w:rFonts w:hint="default"/>
        <w:b/>
      </w:rPr>
    </w:lvl>
    <w:lvl w:ilvl="2">
      <w:start w:val="1"/>
      <w:numFmt w:val="decimal"/>
      <w:lvlText w:val="%1.%2.%3."/>
      <w:lvlJc w:val="left"/>
      <w:pPr>
        <w:ind w:left="567" w:hanging="340"/>
      </w:pPr>
      <w:rPr>
        <w:rFonts w:hint="default"/>
        <w:b/>
      </w:rPr>
    </w:lvl>
    <w:lvl w:ilvl="3">
      <w:start w:val="1"/>
      <w:numFmt w:val="decimal"/>
      <w:lvlText w:val="%1.%2.%3.%4."/>
      <w:lvlJc w:val="left"/>
      <w:pPr>
        <w:ind w:left="567" w:hanging="340"/>
      </w:pPr>
      <w:rPr>
        <w:rFonts w:hint="default"/>
        <w:b/>
      </w:rPr>
    </w:lvl>
    <w:lvl w:ilvl="4">
      <w:start w:val="1"/>
      <w:numFmt w:val="decimal"/>
      <w:lvlText w:val="%1.%2.%3.%4.%5."/>
      <w:lvlJc w:val="left"/>
      <w:pPr>
        <w:ind w:left="567" w:hanging="340"/>
      </w:pPr>
      <w:rPr>
        <w:rFonts w:hint="default"/>
      </w:rPr>
    </w:lvl>
    <w:lvl w:ilvl="5">
      <w:start w:val="1"/>
      <w:numFmt w:val="decimal"/>
      <w:lvlText w:val="%1.%2.%3.%4.%5.%6."/>
      <w:lvlJc w:val="left"/>
      <w:pPr>
        <w:ind w:left="567" w:hanging="340"/>
      </w:pPr>
      <w:rPr>
        <w:rFonts w:hint="default"/>
      </w:rPr>
    </w:lvl>
    <w:lvl w:ilvl="6">
      <w:start w:val="1"/>
      <w:numFmt w:val="decimal"/>
      <w:lvlText w:val="%1.%2.%3.%4.%5.%6.%7."/>
      <w:lvlJc w:val="left"/>
      <w:pPr>
        <w:ind w:left="567" w:hanging="340"/>
      </w:pPr>
      <w:rPr>
        <w:rFonts w:hint="default"/>
      </w:rPr>
    </w:lvl>
    <w:lvl w:ilvl="7">
      <w:start w:val="1"/>
      <w:numFmt w:val="decimal"/>
      <w:lvlText w:val="%1.%2.%3.%4.%5.%6.%7.%8."/>
      <w:lvlJc w:val="left"/>
      <w:pPr>
        <w:ind w:left="567" w:hanging="340"/>
      </w:pPr>
      <w:rPr>
        <w:rFonts w:hint="default"/>
      </w:rPr>
    </w:lvl>
    <w:lvl w:ilvl="8">
      <w:start w:val="1"/>
      <w:numFmt w:val="decimal"/>
      <w:lvlText w:val="%1.%2.%3.%4.%5.%6.%7.%8.%9."/>
      <w:lvlJc w:val="left"/>
      <w:pPr>
        <w:ind w:left="567" w:hanging="340"/>
      </w:pPr>
      <w:rPr>
        <w:rFonts w:hint="default"/>
      </w:rPr>
    </w:lvl>
  </w:abstractNum>
  <w:num w:numId="1">
    <w:abstractNumId w:val="3"/>
  </w:num>
  <w:num w:numId="2">
    <w:abstractNumId w:val="2"/>
  </w:num>
  <w:num w:numId="3">
    <w:abstractNumId w:val="1"/>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0369D"/>
    <w:rsid w:val="00033C0E"/>
    <w:rsid w:val="001061C4"/>
    <w:rsid w:val="00123AB5"/>
    <w:rsid w:val="001621E6"/>
    <w:rsid w:val="001C2F90"/>
    <w:rsid w:val="00234B68"/>
    <w:rsid w:val="002607EC"/>
    <w:rsid w:val="003B6116"/>
    <w:rsid w:val="003B6D83"/>
    <w:rsid w:val="00540109"/>
    <w:rsid w:val="00563665"/>
    <w:rsid w:val="00570E21"/>
    <w:rsid w:val="005D301B"/>
    <w:rsid w:val="0061223E"/>
    <w:rsid w:val="0062426A"/>
    <w:rsid w:val="00676F9B"/>
    <w:rsid w:val="00727B6C"/>
    <w:rsid w:val="00763C07"/>
    <w:rsid w:val="00790EEE"/>
    <w:rsid w:val="007B024F"/>
    <w:rsid w:val="007C7ED5"/>
    <w:rsid w:val="008C5AC9"/>
    <w:rsid w:val="008D6BAB"/>
    <w:rsid w:val="009946B9"/>
    <w:rsid w:val="009A61EE"/>
    <w:rsid w:val="00A37D0B"/>
    <w:rsid w:val="00B0241E"/>
    <w:rsid w:val="00B21DD0"/>
    <w:rsid w:val="00B257C2"/>
    <w:rsid w:val="00B67EC6"/>
    <w:rsid w:val="00BA1B62"/>
    <w:rsid w:val="00BC4336"/>
    <w:rsid w:val="00C819E6"/>
    <w:rsid w:val="00CE0FF6"/>
    <w:rsid w:val="00DA11E7"/>
    <w:rsid w:val="00E23A0F"/>
    <w:rsid w:val="00E3728B"/>
    <w:rsid w:val="00E527C1"/>
    <w:rsid w:val="00F351F0"/>
    <w:rsid w:val="00F87C2E"/>
    <w:rsid w:val="00F90E04"/>
    <w:rsid w:val="00FB1089"/>
    <w:rsid w:val="00FC5A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FC5A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C5A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5A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LO1">
    <w:name w:val="IT TÍTULLO 1"/>
    <w:basedOn w:val="Ttulo1"/>
    <w:qFormat/>
    <w:rsid w:val="00234B68"/>
    <w:pPr>
      <w:numPr>
        <w:numId w:val="1"/>
      </w:numPr>
      <w:tabs>
        <w:tab w:val="left" w:pos="426"/>
      </w:tabs>
      <w:autoSpaceDE w:val="0"/>
      <w:autoSpaceDN w:val="0"/>
      <w:adjustRightInd w:val="0"/>
      <w:spacing w:before="240" w:after="120"/>
      <w:ind w:left="0" w:firstLine="0"/>
    </w:pPr>
    <w:rPr>
      <w:rFonts w:ascii="Times New Roman" w:hAnsi="Times New Roman" w:cs="Times New Roman"/>
      <w:bCs w:val="0"/>
      <w:color w:val="000000"/>
      <w:sz w:val="20"/>
      <w:szCs w:val="20"/>
    </w:rPr>
  </w:style>
  <w:style w:type="paragraph" w:customStyle="1" w:styleId="ITTEXTO2">
    <w:name w:val="IT TEXTO 2"/>
    <w:basedOn w:val="Ttulo2"/>
    <w:qFormat/>
    <w:rsid w:val="00FC5A77"/>
    <w:pPr>
      <w:autoSpaceDE w:val="0"/>
      <w:autoSpaceDN w:val="0"/>
      <w:adjustRightInd w:val="0"/>
      <w:spacing w:before="120" w:after="120"/>
    </w:pPr>
    <w:rPr>
      <w:b w:val="0"/>
      <w:color w:val="auto"/>
      <w:sz w:val="20"/>
      <w:szCs w:val="20"/>
    </w:rPr>
  </w:style>
  <w:style w:type="paragraph" w:customStyle="1" w:styleId="ITTTULO2">
    <w:name w:val="IT TÍTULO 2"/>
    <w:basedOn w:val="Ttulo2"/>
    <w:qFormat/>
    <w:rsid w:val="00DA11E7"/>
    <w:pPr>
      <w:numPr>
        <w:ilvl w:val="1"/>
        <w:numId w:val="1"/>
      </w:numPr>
      <w:tabs>
        <w:tab w:val="left" w:pos="567"/>
      </w:tabs>
      <w:autoSpaceDE w:val="0"/>
      <w:autoSpaceDN w:val="0"/>
      <w:adjustRightInd w:val="0"/>
      <w:spacing w:before="240" w:after="120"/>
      <w:ind w:left="0" w:firstLine="0"/>
    </w:pPr>
    <w:rPr>
      <w:rFonts w:ascii="Times New Roman" w:hAnsi="Times New Roman" w:cs="Times New Roman"/>
      <w:bCs w:val="0"/>
      <w:color w:val="auto"/>
      <w:sz w:val="20"/>
      <w:szCs w:val="20"/>
    </w:rPr>
  </w:style>
  <w:style w:type="character" w:customStyle="1" w:styleId="Ttulo2Char">
    <w:name w:val="Título 2 Char"/>
    <w:basedOn w:val="Fontepargpadro"/>
    <w:link w:val="Ttulo2"/>
    <w:uiPriority w:val="9"/>
    <w:semiHidden/>
    <w:rsid w:val="00FC5A77"/>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FC5A77"/>
    <w:pPr>
      <w:autoSpaceDE w:val="0"/>
      <w:autoSpaceDN w:val="0"/>
      <w:adjustRightInd w:val="0"/>
      <w:spacing w:before="120" w:after="120"/>
    </w:pPr>
    <w:rPr>
      <w:rFonts w:ascii="Times New Roman" w:hAnsi="Times New Roman" w:cs="Times New Roman"/>
      <w:b w:val="0"/>
      <w:color w:val="auto"/>
      <w:sz w:val="20"/>
      <w:szCs w:val="20"/>
    </w:rPr>
  </w:style>
  <w:style w:type="paragraph" w:customStyle="1" w:styleId="ITTEXTO4">
    <w:name w:val="IT TEXTO 4"/>
    <w:basedOn w:val="Ttulo4"/>
    <w:qFormat/>
    <w:rsid w:val="00FC5A77"/>
    <w:pPr>
      <w:numPr>
        <w:ilvl w:val="3"/>
        <w:numId w:val="1"/>
      </w:numPr>
      <w:autoSpaceDE w:val="0"/>
      <w:autoSpaceDN w:val="0"/>
      <w:adjustRightInd w:val="0"/>
      <w:spacing w:before="120" w:after="120"/>
      <w:ind w:left="0" w:firstLine="0"/>
    </w:pPr>
    <w:rPr>
      <w:rFonts w:ascii="Times New Roman" w:hAnsi="Times New Roman" w:cs="Times New Roman"/>
      <w:b w:val="0"/>
      <w:i w:val="0"/>
      <w:color w:val="auto"/>
      <w:sz w:val="20"/>
      <w:szCs w:val="20"/>
    </w:rPr>
  </w:style>
  <w:style w:type="character" w:customStyle="1" w:styleId="Ttulo3Char">
    <w:name w:val="Título 3 Char"/>
    <w:basedOn w:val="Fontepargpadro"/>
    <w:link w:val="Ttulo3"/>
    <w:uiPriority w:val="9"/>
    <w:semiHidden/>
    <w:rsid w:val="00FC5A77"/>
    <w:rPr>
      <w:rFonts w:asciiTheme="majorHAnsi" w:eastAsiaTheme="majorEastAsia" w:hAnsiTheme="majorHAnsi" w:cstheme="majorBidi"/>
      <w:b/>
      <w:bCs/>
      <w:color w:val="4F81BD" w:themeColor="accent1"/>
      <w:sz w:val="24"/>
    </w:rPr>
  </w:style>
  <w:style w:type="paragraph" w:customStyle="1" w:styleId="ITTTULO3">
    <w:name w:val="IT TÍTULO 3"/>
    <w:basedOn w:val="Ttulo3"/>
    <w:qFormat/>
    <w:rsid w:val="00DA11E7"/>
    <w:pPr>
      <w:numPr>
        <w:ilvl w:val="2"/>
        <w:numId w:val="1"/>
      </w:numPr>
      <w:autoSpaceDE w:val="0"/>
      <w:autoSpaceDN w:val="0"/>
      <w:adjustRightInd w:val="0"/>
      <w:spacing w:before="240" w:after="120"/>
      <w:ind w:left="0" w:firstLine="0"/>
    </w:pPr>
    <w:rPr>
      <w:rFonts w:ascii="Times New Roman" w:hAnsi="Times New Roman" w:cs="Times New Roman"/>
      <w:bCs w:val="0"/>
      <w:color w:val="000000"/>
      <w:sz w:val="20"/>
      <w:szCs w:val="20"/>
    </w:rPr>
  </w:style>
  <w:style w:type="character" w:customStyle="1" w:styleId="Ttulo4Char">
    <w:name w:val="Título 4 Char"/>
    <w:basedOn w:val="Fontepargpadro"/>
    <w:link w:val="Ttulo4"/>
    <w:uiPriority w:val="9"/>
    <w:semiHidden/>
    <w:rsid w:val="00FC5A77"/>
    <w:rPr>
      <w:rFonts w:asciiTheme="majorHAnsi" w:eastAsiaTheme="majorEastAsia" w:hAnsiTheme="majorHAnsi" w:cstheme="majorBidi"/>
      <w:b/>
      <w:bCs/>
      <w:i/>
      <w:iCs/>
      <w:color w:val="4F81BD" w:themeColor="accent1"/>
      <w:sz w:val="24"/>
    </w:rPr>
  </w:style>
  <w:style w:type="paragraph" w:customStyle="1" w:styleId="texto2">
    <w:name w:val="texto 2"/>
    <w:basedOn w:val="ITTTULO2"/>
    <w:qFormat/>
    <w:rsid w:val="00234B68"/>
    <w:pPr>
      <w:spacing w:before="120"/>
    </w:pPr>
    <w:rPr>
      <w:b w:val="0"/>
    </w:rPr>
  </w:style>
  <w:style w:type="paragraph" w:customStyle="1" w:styleId="texto3">
    <w:name w:val="texto 3"/>
    <w:basedOn w:val="ITTTULO3"/>
    <w:qFormat/>
    <w:rsid w:val="00234B68"/>
    <w:pPr>
      <w:spacing w:before="120"/>
    </w:pPr>
    <w:rPr>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CE0FF6"/>
    <w:rPr>
      <w:rFonts w:ascii="Times New Roman" w:hAnsi="Times New Roman"/>
      <w:sz w:val="24"/>
    </w:rPr>
  </w:style>
  <w:style w:type="paragraph" w:styleId="Ttulo1">
    <w:name w:val="heading 1"/>
    <w:basedOn w:val="Normal"/>
    <w:next w:val="Normal"/>
    <w:link w:val="Ttulo1Char"/>
    <w:uiPriority w:val="9"/>
    <w:qFormat/>
    <w:rsid w:val="00CE0F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FC5A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FC5A7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5A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61223E"/>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TULLO1">
    <w:name w:val="IT TÍTULLO 1"/>
    <w:basedOn w:val="Ttulo1"/>
    <w:qFormat/>
    <w:rsid w:val="00234B68"/>
    <w:pPr>
      <w:numPr>
        <w:numId w:val="1"/>
      </w:numPr>
      <w:tabs>
        <w:tab w:val="left" w:pos="426"/>
      </w:tabs>
      <w:autoSpaceDE w:val="0"/>
      <w:autoSpaceDN w:val="0"/>
      <w:adjustRightInd w:val="0"/>
      <w:spacing w:before="240" w:after="120"/>
      <w:ind w:left="0" w:firstLine="0"/>
    </w:pPr>
    <w:rPr>
      <w:rFonts w:ascii="Times New Roman" w:hAnsi="Times New Roman" w:cs="Times New Roman"/>
      <w:bCs w:val="0"/>
      <w:color w:val="000000"/>
      <w:sz w:val="20"/>
      <w:szCs w:val="20"/>
    </w:rPr>
  </w:style>
  <w:style w:type="paragraph" w:customStyle="1" w:styleId="ITTEXTO2">
    <w:name w:val="IT TEXTO 2"/>
    <w:basedOn w:val="Ttulo2"/>
    <w:qFormat/>
    <w:rsid w:val="00FC5A77"/>
    <w:pPr>
      <w:autoSpaceDE w:val="0"/>
      <w:autoSpaceDN w:val="0"/>
      <w:adjustRightInd w:val="0"/>
      <w:spacing w:before="120" w:after="120"/>
    </w:pPr>
    <w:rPr>
      <w:b w:val="0"/>
      <w:color w:val="auto"/>
      <w:sz w:val="20"/>
      <w:szCs w:val="20"/>
    </w:rPr>
  </w:style>
  <w:style w:type="paragraph" w:customStyle="1" w:styleId="ITTTULO2">
    <w:name w:val="IT TÍTULO 2"/>
    <w:basedOn w:val="Ttulo2"/>
    <w:qFormat/>
    <w:rsid w:val="00DA11E7"/>
    <w:pPr>
      <w:numPr>
        <w:ilvl w:val="1"/>
        <w:numId w:val="1"/>
      </w:numPr>
      <w:tabs>
        <w:tab w:val="left" w:pos="567"/>
      </w:tabs>
      <w:autoSpaceDE w:val="0"/>
      <w:autoSpaceDN w:val="0"/>
      <w:adjustRightInd w:val="0"/>
      <w:spacing w:before="240" w:after="120"/>
      <w:ind w:left="0" w:firstLine="0"/>
    </w:pPr>
    <w:rPr>
      <w:rFonts w:ascii="Times New Roman" w:hAnsi="Times New Roman" w:cs="Times New Roman"/>
      <w:bCs w:val="0"/>
      <w:color w:val="auto"/>
      <w:sz w:val="20"/>
      <w:szCs w:val="20"/>
    </w:rPr>
  </w:style>
  <w:style w:type="character" w:customStyle="1" w:styleId="Ttulo2Char">
    <w:name w:val="Título 2 Char"/>
    <w:basedOn w:val="Fontepargpadro"/>
    <w:link w:val="Ttulo2"/>
    <w:uiPriority w:val="9"/>
    <w:semiHidden/>
    <w:rsid w:val="00FC5A77"/>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FC5A77"/>
    <w:pPr>
      <w:autoSpaceDE w:val="0"/>
      <w:autoSpaceDN w:val="0"/>
      <w:adjustRightInd w:val="0"/>
      <w:spacing w:before="120" w:after="120"/>
    </w:pPr>
    <w:rPr>
      <w:rFonts w:ascii="Times New Roman" w:hAnsi="Times New Roman" w:cs="Times New Roman"/>
      <w:b w:val="0"/>
      <w:color w:val="auto"/>
      <w:sz w:val="20"/>
      <w:szCs w:val="20"/>
    </w:rPr>
  </w:style>
  <w:style w:type="paragraph" w:customStyle="1" w:styleId="ITTEXTO4">
    <w:name w:val="IT TEXTO 4"/>
    <w:basedOn w:val="Ttulo4"/>
    <w:qFormat/>
    <w:rsid w:val="00FC5A77"/>
    <w:pPr>
      <w:numPr>
        <w:ilvl w:val="3"/>
        <w:numId w:val="1"/>
      </w:numPr>
      <w:autoSpaceDE w:val="0"/>
      <w:autoSpaceDN w:val="0"/>
      <w:adjustRightInd w:val="0"/>
      <w:spacing w:before="120" w:after="120"/>
      <w:ind w:left="0" w:firstLine="0"/>
    </w:pPr>
    <w:rPr>
      <w:rFonts w:ascii="Times New Roman" w:hAnsi="Times New Roman" w:cs="Times New Roman"/>
      <w:b w:val="0"/>
      <w:i w:val="0"/>
      <w:color w:val="auto"/>
      <w:sz w:val="20"/>
      <w:szCs w:val="20"/>
    </w:rPr>
  </w:style>
  <w:style w:type="character" w:customStyle="1" w:styleId="Ttulo3Char">
    <w:name w:val="Título 3 Char"/>
    <w:basedOn w:val="Fontepargpadro"/>
    <w:link w:val="Ttulo3"/>
    <w:uiPriority w:val="9"/>
    <w:semiHidden/>
    <w:rsid w:val="00FC5A77"/>
    <w:rPr>
      <w:rFonts w:asciiTheme="majorHAnsi" w:eastAsiaTheme="majorEastAsia" w:hAnsiTheme="majorHAnsi" w:cstheme="majorBidi"/>
      <w:b/>
      <w:bCs/>
      <w:color w:val="4F81BD" w:themeColor="accent1"/>
      <w:sz w:val="24"/>
    </w:rPr>
  </w:style>
  <w:style w:type="paragraph" w:customStyle="1" w:styleId="ITTTULO3">
    <w:name w:val="IT TÍTULO 3"/>
    <w:basedOn w:val="Ttulo3"/>
    <w:qFormat/>
    <w:rsid w:val="00DA11E7"/>
    <w:pPr>
      <w:numPr>
        <w:ilvl w:val="2"/>
        <w:numId w:val="1"/>
      </w:numPr>
      <w:autoSpaceDE w:val="0"/>
      <w:autoSpaceDN w:val="0"/>
      <w:adjustRightInd w:val="0"/>
      <w:spacing w:before="240" w:after="120"/>
      <w:ind w:left="0" w:firstLine="0"/>
    </w:pPr>
    <w:rPr>
      <w:rFonts w:ascii="Times New Roman" w:hAnsi="Times New Roman" w:cs="Times New Roman"/>
      <w:bCs w:val="0"/>
      <w:color w:val="000000"/>
      <w:sz w:val="20"/>
      <w:szCs w:val="20"/>
    </w:rPr>
  </w:style>
  <w:style w:type="character" w:customStyle="1" w:styleId="Ttulo4Char">
    <w:name w:val="Título 4 Char"/>
    <w:basedOn w:val="Fontepargpadro"/>
    <w:link w:val="Ttulo4"/>
    <w:uiPriority w:val="9"/>
    <w:semiHidden/>
    <w:rsid w:val="00FC5A77"/>
    <w:rPr>
      <w:rFonts w:asciiTheme="majorHAnsi" w:eastAsiaTheme="majorEastAsia" w:hAnsiTheme="majorHAnsi" w:cstheme="majorBidi"/>
      <w:b/>
      <w:bCs/>
      <w:i/>
      <w:iCs/>
      <w:color w:val="4F81BD" w:themeColor="accent1"/>
      <w:sz w:val="24"/>
    </w:rPr>
  </w:style>
  <w:style w:type="paragraph" w:customStyle="1" w:styleId="texto2">
    <w:name w:val="texto 2"/>
    <w:basedOn w:val="ITTTULO2"/>
    <w:qFormat/>
    <w:rsid w:val="00234B68"/>
    <w:pPr>
      <w:spacing w:before="120"/>
    </w:pPr>
    <w:rPr>
      <w:b w:val="0"/>
    </w:rPr>
  </w:style>
  <w:style w:type="paragraph" w:customStyle="1" w:styleId="texto3">
    <w:name w:val="texto 3"/>
    <w:basedOn w:val="ITTTULO3"/>
    <w:qFormat/>
    <w:rsid w:val="00234B68"/>
    <w:pPr>
      <w:spacing w:before="1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27D3D-FA6F-45B9-A931-F2167986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1309</Words>
  <Characters>7074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IT 31 CBMAL</vt:lpstr>
    </vt:vector>
  </TitlesOfParts>
  <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31 CBMAL</dc:title>
  <dc:creator>ELAINE MONTEIRO</dc:creator>
  <cp:lastModifiedBy>ELAINE MONTEIRO</cp:lastModifiedBy>
  <cp:revision>6</cp:revision>
  <cp:lastPrinted>2021-04-17T22:16:00Z</cp:lastPrinted>
  <dcterms:created xsi:type="dcterms:W3CDTF">2021-04-01T17:33:00Z</dcterms:created>
  <dcterms:modified xsi:type="dcterms:W3CDTF">2021-04-17T22:16:00Z</dcterms:modified>
</cp:coreProperties>
</file>