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D5" w:rsidRDefault="004A34AF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171575" cy="1028700"/>
            <wp:effectExtent l="0" t="0" r="9525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3E" w:rsidRPr="006C2780" w:rsidRDefault="0061223E" w:rsidP="0061223E">
      <w:pPr>
        <w:jc w:val="center"/>
        <w:rPr>
          <w:sz w:val="32"/>
          <w:szCs w:val="32"/>
        </w:rPr>
      </w:pPr>
      <w:r w:rsidRPr="006C2780">
        <w:rPr>
          <w:sz w:val="32"/>
          <w:szCs w:val="32"/>
        </w:rPr>
        <w:t>Corpo de Bombeiros Militar de Alagoas</w:t>
      </w:r>
    </w:p>
    <w:p w:rsidR="0061223E" w:rsidRDefault="0061223E" w:rsidP="0061223E">
      <w:pPr>
        <w:jc w:val="center"/>
      </w:pPr>
    </w:p>
    <w:p w:rsidR="006C2780" w:rsidRPr="006C2780" w:rsidRDefault="006C2780" w:rsidP="006C2780">
      <w:pPr>
        <w:pStyle w:val="Ttulo1"/>
      </w:pPr>
    </w:p>
    <w:p w:rsidR="0061223E" w:rsidRPr="0061223E" w:rsidRDefault="0061223E" w:rsidP="0061223E">
      <w:pPr>
        <w:jc w:val="center"/>
        <w:rPr>
          <w:sz w:val="40"/>
          <w:szCs w:val="40"/>
        </w:rPr>
      </w:pPr>
      <w:r w:rsidRPr="0061223E">
        <w:rPr>
          <w:sz w:val="40"/>
          <w:szCs w:val="40"/>
        </w:rPr>
        <w:t xml:space="preserve">INSTRUÇÃO TÉCNICA Nº </w:t>
      </w:r>
      <w:r w:rsidR="00CE4A5E">
        <w:rPr>
          <w:sz w:val="40"/>
          <w:szCs w:val="40"/>
        </w:rPr>
        <w:t>3</w:t>
      </w:r>
      <w:r w:rsidR="00430E29">
        <w:rPr>
          <w:sz w:val="40"/>
          <w:szCs w:val="40"/>
        </w:rPr>
        <w:t>4</w:t>
      </w:r>
      <w:r w:rsidRPr="0061223E">
        <w:rPr>
          <w:sz w:val="40"/>
          <w:szCs w:val="40"/>
        </w:rPr>
        <w:t>/20</w:t>
      </w:r>
      <w:r w:rsidR="00CE4A5E">
        <w:rPr>
          <w:sz w:val="40"/>
          <w:szCs w:val="40"/>
        </w:rPr>
        <w:t>2</w:t>
      </w:r>
      <w:r w:rsidR="00A9155D">
        <w:rPr>
          <w:sz w:val="40"/>
          <w:szCs w:val="40"/>
        </w:rPr>
        <w:t>1</w:t>
      </w:r>
    </w:p>
    <w:p w:rsidR="00CE4A5E" w:rsidRPr="00CE4A5E" w:rsidRDefault="00CE4A5E" w:rsidP="00CE4A5E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color w:val="000000"/>
          <w:szCs w:val="24"/>
        </w:rPr>
      </w:pPr>
    </w:p>
    <w:p w:rsidR="00430E29" w:rsidRPr="00430E29" w:rsidRDefault="00CE4A5E" w:rsidP="00430E29">
      <w:pPr>
        <w:pStyle w:val="Default"/>
      </w:pPr>
      <w:r w:rsidRPr="00CE4A5E">
        <w:t xml:space="preserve"> </w:t>
      </w:r>
    </w:p>
    <w:p w:rsidR="0061223E" w:rsidRPr="006C2780" w:rsidRDefault="00430E29" w:rsidP="00A9155D">
      <w:pPr>
        <w:jc w:val="center"/>
        <w:rPr>
          <w:b/>
          <w:sz w:val="40"/>
          <w:szCs w:val="40"/>
        </w:rPr>
      </w:pPr>
      <w:r w:rsidRPr="006C2780">
        <w:rPr>
          <w:rFonts w:ascii="Arial" w:hAnsi="Arial" w:cs="Arial"/>
          <w:b/>
          <w:color w:val="000000"/>
          <w:szCs w:val="24"/>
        </w:rPr>
        <w:t xml:space="preserve"> </w:t>
      </w:r>
      <w:r w:rsidRPr="006C2780">
        <w:rPr>
          <w:b/>
          <w:sz w:val="40"/>
          <w:szCs w:val="40"/>
        </w:rPr>
        <w:t>Hidrante urbano</w:t>
      </w:r>
    </w:p>
    <w:p w:rsidR="00A9155D" w:rsidRPr="0061223E" w:rsidRDefault="00A9155D" w:rsidP="00A9155D">
      <w:pPr>
        <w:jc w:val="center"/>
        <w:rPr>
          <w:rFonts w:cs="Times New Roman"/>
        </w:rPr>
      </w:pPr>
    </w:p>
    <w:p w:rsidR="0061223E" w:rsidRPr="00713D11" w:rsidRDefault="0061223E" w:rsidP="0061223E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SUMÁRIO </w:t>
      </w:r>
    </w:p>
    <w:p w:rsidR="0061223E" w:rsidRPr="00713D11" w:rsidRDefault="0061223E" w:rsidP="0061223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61223E" w:rsidRPr="00713D11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1 </w:t>
      </w:r>
      <w:r w:rsidRPr="00713D11">
        <w:rPr>
          <w:rFonts w:ascii="Times New Roman" w:hAnsi="Times New Roman" w:cs="Times New Roman"/>
          <w:sz w:val="20"/>
          <w:szCs w:val="20"/>
        </w:rPr>
        <w:t xml:space="preserve">Objetivo </w:t>
      </w:r>
    </w:p>
    <w:p w:rsidR="0061223E" w:rsidRPr="00713D11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2 </w:t>
      </w:r>
      <w:r w:rsidRPr="00713D11">
        <w:rPr>
          <w:rFonts w:ascii="Times New Roman" w:hAnsi="Times New Roman" w:cs="Times New Roman"/>
          <w:sz w:val="20"/>
          <w:szCs w:val="20"/>
        </w:rPr>
        <w:t xml:space="preserve">Aplicação </w:t>
      </w:r>
    </w:p>
    <w:p w:rsidR="0061223E" w:rsidRPr="00713D11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3 </w:t>
      </w:r>
      <w:r w:rsidRPr="00713D11">
        <w:rPr>
          <w:rFonts w:ascii="Times New Roman" w:hAnsi="Times New Roman" w:cs="Times New Roman"/>
          <w:sz w:val="20"/>
          <w:szCs w:val="20"/>
        </w:rPr>
        <w:t xml:space="preserve">Referências normativas e bibliográficas </w:t>
      </w:r>
    </w:p>
    <w:p w:rsidR="0061223E" w:rsidRPr="00713D11" w:rsidRDefault="0061223E" w:rsidP="0061223E">
      <w:pPr>
        <w:pStyle w:val="Default"/>
        <w:spacing w:after="113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4 </w:t>
      </w:r>
      <w:r w:rsidRPr="00713D11">
        <w:rPr>
          <w:rFonts w:ascii="Times New Roman" w:hAnsi="Times New Roman" w:cs="Times New Roman"/>
          <w:sz w:val="20"/>
          <w:szCs w:val="20"/>
        </w:rPr>
        <w:t xml:space="preserve">Definições </w:t>
      </w:r>
    </w:p>
    <w:p w:rsidR="0061223E" w:rsidRPr="00713D11" w:rsidRDefault="0061223E" w:rsidP="00563665">
      <w:pPr>
        <w:pStyle w:val="Default"/>
        <w:spacing w:after="113"/>
        <w:rPr>
          <w:rFonts w:ascii="Times New Roman" w:hAnsi="Times New Roman" w:cs="Times New Roman"/>
          <w:b/>
          <w:bCs/>
          <w:sz w:val="20"/>
          <w:szCs w:val="20"/>
        </w:rPr>
      </w:pP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5 </w:t>
      </w:r>
      <w:r w:rsidRPr="00713D11">
        <w:rPr>
          <w:rFonts w:ascii="Times New Roman" w:hAnsi="Times New Roman" w:cs="Times New Roman"/>
          <w:bCs/>
          <w:sz w:val="20"/>
          <w:szCs w:val="20"/>
        </w:rPr>
        <w:t>Procedimentos</w:t>
      </w:r>
      <w:r w:rsidRPr="00713D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430E29" w:rsidRPr="00713D11" w:rsidRDefault="00430E29" w:rsidP="00430E29">
      <w:pPr>
        <w:autoSpaceDE w:val="0"/>
        <w:autoSpaceDN w:val="0"/>
        <w:adjustRightInd w:val="0"/>
        <w:spacing w:before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713D11">
        <w:rPr>
          <w:rFonts w:cs="Times New Roman"/>
          <w:color w:val="000000"/>
          <w:sz w:val="20"/>
          <w:szCs w:val="20"/>
        </w:rPr>
        <w:t xml:space="preserve"> </w:t>
      </w:r>
    </w:p>
    <w:p w:rsidR="00430E29" w:rsidRPr="00713D11" w:rsidRDefault="00430E29" w:rsidP="006217CB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 w:val="20"/>
          <w:szCs w:val="20"/>
        </w:rPr>
      </w:pPr>
      <w:r w:rsidRPr="00713D11">
        <w:rPr>
          <w:rFonts w:cs="Times New Roman"/>
          <w:b/>
          <w:bCs/>
          <w:color w:val="000000"/>
          <w:sz w:val="20"/>
          <w:szCs w:val="20"/>
        </w:rPr>
        <w:t xml:space="preserve">ANEXOS </w:t>
      </w:r>
    </w:p>
    <w:p w:rsidR="006217CB" w:rsidRPr="00713D11" w:rsidRDefault="006217CB" w:rsidP="006217CB">
      <w:pPr>
        <w:autoSpaceDE w:val="0"/>
        <w:autoSpaceDN w:val="0"/>
        <w:adjustRightInd w:val="0"/>
        <w:spacing w:before="0" w:after="173" w:line="240" w:lineRule="auto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 xml:space="preserve">A </w:t>
      </w:r>
      <w:r w:rsidRPr="00713D11">
        <w:rPr>
          <w:rFonts w:cs="Times New Roman"/>
          <w:bCs/>
          <w:sz w:val="20"/>
          <w:szCs w:val="20"/>
        </w:rPr>
        <w:t>Cores padrão para a identificação da vazão dos hidrantes urbanos</w:t>
      </w:r>
    </w:p>
    <w:p w:rsidR="006217CB" w:rsidRPr="00713D11" w:rsidRDefault="006217CB" w:rsidP="006217CB">
      <w:pPr>
        <w:autoSpaceDE w:val="0"/>
        <w:autoSpaceDN w:val="0"/>
        <w:adjustRightInd w:val="0"/>
        <w:spacing w:before="0" w:after="173" w:line="240" w:lineRule="auto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 xml:space="preserve">B </w:t>
      </w:r>
      <w:r w:rsidRPr="00713D11">
        <w:rPr>
          <w:rFonts w:cs="Times New Roman"/>
          <w:bCs/>
          <w:sz w:val="20"/>
          <w:szCs w:val="20"/>
        </w:rPr>
        <w:t>Esquema de instalação</w:t>
      </w:r>
      <w:r w:rsidRPr="00713D11">
        <w:rPr>
          <w:rFonts w:cs="Times New Roman"/>
          <w:b/>
          <w:bCs/>
          <w:sz w:val="20"/>
          <w:szCs w:val="20"/>
        </w:rPr>
        <w:t xml:space="preserve"> </w:t>
      </w:r>
      <w:r w:rsidRPr="00713D11">
        <w:rPr>
          <w:rFonts w:cs="Times New Roman"/>
          <w:bCs/>
          <w:sz w:val="20"/>
          <w:szCs w:val="20"/>
        </w:rPr>
        <w:t>do hidrante urbano e relação de seus componentes</w:t>
      </w:r>
    </w:p>
    <w:p w:rsidR="00430E29" w:rsidRPr="00713D11" w:rsidRDefault="006217CB" w:rsidP="006217CB">
      <w:pPr>
        <w:autoSpaceDE w:val="0"/>
        <w:autoSpaceDN w:val="0"/>
        <w:adjustRightInd w:val="0"/>
        <w:spacing w:before="0" w:after="173" w:line="240" w:lineRule="auto"/>
        <w:rPr>
          <w:rFonts w:cs="Times New Roman"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 xml:space="preserve">C </w:t>
      </w:r>
      <w:r w:rsidRPr="00713D11">
        <w:rPr>
          <w:rFonts w:cs="Times New Roman"/>
          <w:sz w:val="20"/>
          <w:szCs w:val="20"/>
        </w:rPr>
        <w:t>Posicionamento do hidrante urbano no passeio público</w:t>
      </w:r>
      <w:r w:rsidR="00430E29" w:rsidRPr="00713D11">
        <w:rPr>
          <w:rFonts w:cs="Times New Roman"/>
          <w:b/>
          <w:bCs/>
          <w:sz w:val="20"/>
          <w:szCs w:val="20"/>
        </w:rPr>
        <w:t xml:space="preserve"> </w:t>
      </w:r>
    </w:p>
    <w:p w:rsidR="006217CB" w:rsidRPr="00713D11" w:rsidRDefault="00430E29" w:rsidP="006217CB">
      <w:pPr>
        <w:autoSpaceDE w:val="0"/>
        <w:autoSpaceDN w:val="0"/>
        <w:adjustRightInd w:val="0"/>
        <w:spacing w:before="0" w:after="173" w:line="240" w:lineRule="auto"/>
        <w:rPr>
          <w:rFonts w:cs="Times New Roman"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 xml:space="preserve">B </w:t>
      </w:r>
      <w:r w:rsidR="006217CB" w:rsidRPr="00713D11">
        <w:rPr>
          <w:rFonts w:cs="Times New Roman"/>
          <w:sz w:val="20"/>
          <w:szCs w:val="20"/>
        </w:rPr>
        <w:t xml:space="preserve">Sinalização horizontal – hidrante de coluna </w:t>
      </w:r>
    </w:p>
    <w:p w:rsidR="00A9155D" w:rsidRDefault="00A9155D">
      <w:pP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br w:type="page"/>
      </w:r>
    </w:p>
    <w:p w:rsidR="0061223E" w:rsidRPr="00713D11" w:rsidRDefault="0061223E" w:rsidP="006C2780">
      <w:pPr>
        <w:pStyle w:val="ITTTULO1"/>
      </w:pPr>
      <w:r w:rsidRPr="00713D11">
        <w:lastRenderedPageBreak/>
        <w:t xml:space="preserve">OBJETIVO </w:t>
      </w:r>
    </w:p>
    <w:p w:rsidR="0061223E" w:rsidRPr="00713D11" w:rsidRDefault="00430E29" w:rsidP="006C2780">
      <w:pPr>
        <w:pStyle w:val="ITTEXTO2"/>
      </w:pPr>
      <w:r w:rsidRPr="00713D11">
        <w:t>Estabelecer a regulamentação das condições mínimas para a instalação de hidrante urbano</w:t>
      </w:r>
      <w:r w:rsidR="0061223E" w:rsidRPr="00713D11">
        <w:t>, atendendo ao previsto no Código de segurança contra incêndio e Emergência das edificações e áreas de risco do Estado de Alagoas - C</w:t>
      </w:r>
      <w:r w:rsidR="00A9155D">
        <w:t>O</w:t>
      </w:r>
      <w:r w:rsidR="0061223E" w:rsidRPr="00713D11">
        <w:t xml:space="preserve">SCIE. </w:t>
      </w:r>
    </w:p>
    <w:p w:rsidR="00E6265C" w:rsidRDefault="0061223E" w:rsidP="00E6265C">
      <w:pPr>
        <w:pStyle w:val="ITTTULO1"/>
      </w:pPr>
      <w:r w:rsidRPr="00713D11">
        <w:t xml:space="preserve">APLICAÇÃO </w:t>
      </w:r>
    </w:p>
    <w:p w:rsidR="00430E29" w:rsidRPr="00E6265C" w:rsidRDefault="00430E29" w:rsidP="00E6265C">
      <w:pPr>
        <w:pStyle w:val="ITTEXTO2"/>
        <w:rPr>
          <w:color w:val="000000"/>
        </w:rPr>
      </w:pPr>
      <w:r w:rsidRPr="00E6265C">
        <w:t xml:space="preserve">Esta Instrução Técnica (IT) aplica-se ao dimensionamento de sistema de hidrantes urbanos na rede pública de distribuição de água nos municípios em que não haja legislação específica regulamentando a matéria. </w:t>
      </w:r>
    </w:p>
    <w:p w:rsidR="00CE4A5E" w:rsidRPr="00713D11" w:rsidRDefault="00430E29" w:rsidP="006C2780">
      <w:pPr>
        <w:pStyle w:val="ITTEXTO2"/>
        <w:rPr>
          <w:color w:val="000000"/>
        </w:rPr>
      </w:pPr>
      <w:r w:rsidRPr="00713D11">
        <w:t xml:space="preserve">Fica facultado aos demais municípios adotá-la, mediante legislação municipal específica. </w:t>
      </w:r>
    </w:p>
    <w:p w:rsidR="0061223E" w:rsidRPr="00713D11" w:rsidRDefault="0061223E" w:rsidP="006C2780">
      <w:pPr>
        <w:pStyle w:val="ITTTULO1"/>
      </w:pPr>
      <w:r w:rsidRPr="00713D11">
        <w:t xml:space="preserve">REFERÊNCIAS NORMATIVAS E BIBLIOGRÁFICAS </w:t>
      </w:r>
    </w:p>
    <w:p w:rsidR="00E6265C" w:rsidRPr="00E6265C" w:rsidRDefault="00CE4A5E" w:rsidP="00E6265C">
      <w:pPr>
        <w:pStyle w:val="ITTEXTO2"/>
      </w:pPr>
      <w:r w:rsidRPr="00713D11">
        <w:t xml:space="preserve">Para compreensão </w:t>
      </w:r>
      <w:proofErr w:type="gramStart"/>
      <w:r w:rsidRPr="00713D11">
        <w:t>desta IT</w:t>
      </w:r>
      <w:proofErr w:type="gramEnd"/>
      <w:r w:rsidRPr="00713D11">
        <w:t xml:space="preserve"> é necessário consultar as seguintes normas e documentos: </w:t>
      </w:r>
      <w:r w:rsidR="00430E29" w:rsidRPr="00E6265C">
        <w:rPr>
          <w:color w:val="000000"/>
        </w:rPr>
        <w:t xml:space="preserve">ASSOCIAÇÃO BRASILEIRA DE NORMAS TÉCNICAS (ABNT). NBR 5667: Hidrantes urbanos de incêndio de ferro fundido dúctil. Rio de Janeiro: ABNT; </w:t>
      </w:r>
    </w:p>
    <w:p w:rsidR="00E6265C" w:rsidRDefault="00430E29" w:rsidP="00E6265C">
      <w:pPr>
        <w:pStyle w:val="ITTEXTO2"/>
        <w:rPr>
          <w:color w:val="000000"/>
        </w:rPr>
      </w:pPr>
      <w:r w:rsidRPr="00E6265C">
        <w:rPr>
          <w:color w:val="000000"/>
        </w:rPr>
        <w:t xml:space="preserve">_______. NBR 12218: Projeto de rede de distribuição de água para abastecimento público. Rio de Janeiro: ABNT; </w:t>
      </w:r>
    </w:p>
    <w:p w:rsidR="00E6265C" w:rsidRDefault="00430E29" w:rsidP="00E6265C">
      <w:pPr>
        <w:pStyle w:val="ITTEXTO2"/>
        <w:rPr>
          <w:color w:val="000000"/>
        </w:rPr>
      </w:pPr>
      <w:r w:rsidRPr="00713D11">
        <w:rPr>
          <w:color w:val="000000"/>
        </w:rPr>
        <w:t>_______. NBR 7195: Cores para segurança. Rio de Janeiro: ABNT;</w:t>
      </w:r>
    </w:p>
    <w:p w:rsidR="00E6265C" w:rsidRDefault="0061223E" w:rsidP="00E6265C">
      <w:pPr>
        <w:pStyle w:val="ITTEXTO2"/>
        <w:rPr>
          <w:color w:val="000000"/>
        </w:rPr>
      </w:pPr>
      <w:r w:rsidRPr="00713D11">
        <w:rPr>
          <w:color w:val="000000"/>
        </w:rPr>
        <w:t xml:space="preserve">Instrução Técnica </w:t>
      </w:r>
      <w:r w:rsidR="00CE4A5E" w:rsidRPr="00713D11">
        <w:rPr>
          <w:color w:val="000000"/>
        </w:rPr>
        <w:t>3</w:t>
      </w:r>
      <w:r w:rsidR="00430E29" w:rsidRPr="00713D11">
        <w:rPr>
          <w:color w:val="000000"/>
        </w:rPr>
        <w:t xml:space="preserve">4 </w:t>
      </w:r>
      <w:r w:rsidRPr="00713D11">
        <w:rPr>
          <w:color w:val="000000"/>
        </w:rPr>
        <w:t xml:space="preserve">CBPMESP </w:t>
      </w:r>
      <w:r w:rsidR="00563665" w:rsidRPr="00713D11">
        <w:rPr>
          <w:color w:val="000000"/>
        </w:rPr>
        <w:t>–</w:t>
      </w:r>
      <w:r w:rsidRPr="00713D11">
        <w:rPr>
          <w:color w:val="000000"/>
        </w:rPr>
        <w:t xml:space="preserve"> </w:t>
      </w:r>
      <w:r w:rsidR="00430E29" w:rsidRPr="00713D11">
        <w:rPr>
          <w:color w:val="000000"/>
        </w:rPr>
        <w:t>Hidrante urbano</w:t>
      </w:r>
      <w:r w:rsidR="00563665" w:rsidRPr="00713D11">
        <w:rPr>
          <w:color w:val="000000"/>
        </w:rPr>
        <w:t>.</w:t>
      </w:r>
    </w:p>
    <w:p w:rsidR="004A5F00" w:rsidRPr="00E6265C" w:rsidRDefault="004A5F00" w:rsidP="00E6265C">
      <w:pPr>
        <w:pStyle w:val="ITTEXTO2"/>
      </w:pPr>
      <w:r w:rsidRPr="00713D11">
        <w:rPr>
          <w:color w:val="000000"/>
        </w:rPr>
        <w:t>Instrução Técnica 34 CBPMPR – Hidrante urbano.</w:t>
      </w:r>
    </w:p>
    <w:p w:rsidR="0061223E" w:rsidRPr="00713D11" w:rsidRDefault="0061223E" w:rsidP="006C2780">
      <w:pPr>
        <w:pStyle w:val="ITTTULO1"/>
      </w:pPr>
      <w:r w:rsidRPr="00713D11">
        <w:t xml:space="preserve">DEFINIÇÕES </w:t>
      </w:r>
    </w:p>
    <w:p w:rsidR="004A5F00" w:rsidRPr="00713D11" w:rsidRDefault="004A5F00" w:rsidP="006C2780">
      <w:pPr>
        <w:pStyle w:val="ITTEXTO2"/>
      </w:pPr>
      <w:r w:rsidRPr="00713D11">
        <w:t xml:space="preserve">Aplicam-se as definições constantes </w:t>
      </w:r>
      <w:proofErr w:type="gramStart"/>
      <w:r w:rsidRPr="00713D11">
        <w:t xml:space="preserve">da </w:t>
      </w:r>
      <w:r w:rsidR="00EE3CF0">
        <w:t>IT 04</w:t>
      </w:r>
      <w:proofErr w:type="gramEnd"/>
      <w:r w:rsidR="00EE3CF0">
        <w:t xml:space="preserve"> – Terminologia de segurança contra incêndio e símbolos gráficos</w:t>
      </w:r>
      <w:r w:rsidRPr="00713D11">
        <w:t xml:space="preserve">. </w:t>
      </w:r>
    </w:p>
    <w:p w:rsidR="0061223E" w:rsidRPr="00713D11" w:rsidRDefault="0061223E" w:rsidP="006C2780">
      <w:pPr>
        <w:pStyle w:val="ITTTULO1"/>
      </w:pPr>
      <w:r w:rsidRPr="00713D11">
        <w:t xml:space="preserve">PROCEDIMENTOS </w:t>
      </w:r>
    </w:p>
    <w:p w:rsidR="004A5F00" w:rsidRPr="00713D11" w:rsidRDefault="004A5F00" w:rsidP="006C2780">
      <w:pPr>
        <w:pStyle w:val="ITTTULO2"/>
      </w:pPr>
      <w:r w:rsidRPr="00713D11">
        <w:t xml:space="preserve">Instalação de hidrantes urbanos em loteamentos e condomínios </w:t>
      </w:r>
    </w:p>
    <w:p w:rsidR="004A5F00" w:rsidRPr="00713D11" w:rsidRDefault="004A5F00" w:rsidP="006C2780">
      <w:pPr>
        <w:pStyle w:val="ITTEXTO3"/>
        <w:rPr>
          <w:b/>
        </w:rPr>
      </w:pPr>
      <w:r w:rsidRPr="00713D11">
        <w:t>O loteador deve projetar e instalar, além dos demais serviços e equipamentos urbanos obrigatórios, hidrantes urbanos nas redes de distribuição de água do loteamento ou condomínio.</w:t>
      </w:r>
    </w:p>
    <w:p w:rsidR="004A5F00" w:rsidRPr="00713D11" w:rsidRDefault="004A5F00" w:rsidP="006C2780">
      <w:pPr>
        <w:pStyle w:val="ITTEXTO3"/>
        <w:rPr>
          <w:b/>
        </w:rPr>
      </w:pPr>
      <w:r w:rsidRPr="00713D11">
        <w:t xml:space="preserve">Devem ser observados os seguintes parâmetros para o projeto: </w:t>
      </w:r>
    </w:p>
    <w:p w:rsidR="00E6265C" w:rsidRDefault="004A5F00" w:rsidP="00E6265C">
      <w:pPr>
        <w:pStyle w:val="ITTEXTO4"/>
      </w:pPr>
      <w:r w:rsidRPr="006C2780">
        <w:t>Loteamentos industriais:</w:t>
      </w:r>
    </w:p>
    <w:p w:rsidR="00E6265C" w:rsidRDefault="003E4318" w:rsidP="00E6265C">
      <w:pPr>
        <w:pStyle w:val="ITTEXTO4"/>
        <w:numPr>
          <w:ilvl w:val="0"/>
          <w:numId w:val="6"/>
        </w:numPr>
      </w:pPr>
      <w:proofErr w:type="gramStart"/>
      <w:r w:rsidRPr="00E6265C">
        <w:t>os</w:t>
      </w:r>
      <w:proofErr w:type="gramEnd"/>
      <w:r w:rsidRPr="00E6265C">
        <w:t xml:space="preserve"> hidrantes urbanos devem ter, cada um, um raio de ação de, no máximo 300 m, devendo atender a toda a área do loteamento; </w:t>
      </w:r>
    </w:p>
    <w:p w:rsidR="00E6265C" w:rsidRDefault="003E4318" w:rsidP="00E6265C">
      <w:pPr>
        <w:pStyle w:val="ITTEXTO4"/>
        <w:numPr>
          <w:ilvl w:val="0"/>
          <w:numId w:val="6"/>
        </w:numPr>
      </w:pPr>
      <w:proofErr w:type="gramStart"/>
      <w:r w:rsidRPr="00E6265C">
        <w:t>o</w:t>
      </w:r>
      <w:proofErr w:type="gramEnd"/>
      <w:r w:rsidRPr="00E6265C">
        <w:t xml:space="preserve"> hidrante urbano mais desfavorável deve fornecer uma vazão mínima de 2000 l/min, sendo que deve haver, no mínimo, 2 hidrantes urbanos no loteamento; </w:t>
      </w:r>
    </w:p>
    <w:p w:rsidR="003E4318" w:rsidRPr="00E6265C" w:rsidRDefault="003E4318" w:rsidP="00E6265C">
      <w:pPr>
        <w:pStyle w:val="ITTEXTO4"/>
        <w:numPr>
          <w:ilvl w:val="0"/>
          <w:numId w:val="6"/>
        </w:numPr>
      </w:pPr>
      <w:proofErr w:type="gramStart"/>
      <w:r w:rsidRPr="00E6265C">
        <w:t>os</w:t>
      </w:r>
      <w:proofErr w:type="gramEnd"/>
      <w:r w:rsidRPr="00E6265C">
        <w:t xml:space="preserve"> hidrantes urbanos devem ser instalados em rede de diâmetro mínimo de 150 mm. </w:t>
      </w:r>
    </w:p>
    <w:p w:rsidR="00E6265C" w:rsidRPr="00E6265C" w:rsidRDefault="004A5F00" w:rsidP="00E6265C">
      <w:pPr>
        <w:pStyle w:val="ITTEXTO4"/>
        <w:rPr>
          <w:b/>
        </w:rPr>
      </w:pPr>
      <w:r w:rsidRPr="00713D11">
        <w:t>Demais loteamentos e condomínios:</w:t>
      </w:r>
    </w:p>
    <w:p w:rsidR="00E6265C" w:rsidRDefault="003E4318" w:rsidP="00E6265C">
      <w:pPr>
        <w:pStyle w:val="ITTEXTO4"/>
        <w:numPr>
          <w:ilvl w:val="0"/>
          <w:numId w:val="7"/>
        </w:numPr>
      </w:pPr>
      <w:proofErr w:type="gramStart"/>
      <w:r w:rsidRPr="00E6265C">
        <w:t>os</w:t>
      </w:r>
      <w:proofErr w:type="gramEnd"/>
      <w:r w:rsidRPr="00E6265C">
        <w:t xml:space="preserve"> hidrantes urbanos devem ter, cada um, um raio de ação de, no máximo 300 m, devendo atender a toda a área do loteamento; </w:t>
      </w:r>
    </w:p>
    <w:p w:rsidR="00E6265C" w:rsidRDefault="003E4318" w:rsidP="00E6265C">
      <w:pPr>
        <w:pStyle w:val="ITTEXTO4"/>
        <w:numPr>
          <w:ilvl w:val="0"/>
          <w:numId w:val="7"/>
        </w:numPr>
      </w:pPr>
      <w:proofErr w:type="gramStart"/>
      <w:r w:rsidRPr="00E6265C">
        <w:t>o</w:t>
      </w:r>
      <w:proofErr w:type="gramEnd"/>
      <w:r w:rsidRPr="00E6265C">
        <w:t xml:space="preserve"> hidrante urbano mais desfavorável deve fornecer uma vazão entre 1000 l/min e 2000 l/min, sendo que deve haver, no mínimo, 2 hidrantes urbanos no loteamento; </w:t>
      </w:r>
    </w:p>
    <w:p w:rsidR="003E4318" w:rsidRPr="00E6265C" w:rsidRDefault="003E4318" w:rsidP="00E6265C">
      <w:pPr>
        <w:pStyle w:val="ITTEXTO4"/>
        <w:numPr>
          <w:ilvl w:val="0"/>
          <w:numId w:val="7"/>
        </w:numPr>
        <w:rPr>
          <w:b/>
        </w:rPr>
      </w:pPr>
      <w:proofErr w:type="gramStart"/>
      <w:r w:rsidRPr="00E6265C">
        <w:t>os</w:t>
      </w:r>
      <w:proofErr w:type="gramEnd"/>
      <w:r w:rsidRPr="00E6265C">
        <w:t xml:space="preserve"> hidrantes urbanos devem ser instalados em rede de diâmetro mínimo de 150 mm. </w:t>
      </w:r>
    </w:p>
    <w:p w:rsidR="003E4318" w:rsidRPr="00713D11" w:rsidRDefault="004A5F00" w:rsidP="00FC4110">
      <w:pPr>
        <w:pStyle w:val="ITTEXTO3"/>
        <w:rPr>
          <w:b/>
        </w:rPr>
      </w:pPr>
      <w:r w:rsidRPr="00713D11">
        <w:t>Recomenda-se que a concessionária local dos serviços de água e esgotos ou a prefeitura somente assine o “aceite” da rede de distribuição de água do loteamento após a inspeção e testes dos hidrantes urbanos e após a verificação de que foram instalados conforme projeto aprovado, além do cumprimento dos demais requisitos legais pertinentes.</w:t>
      </w:r>
    </w:p>
    <w:p w:rsidR="003E4318" w:rsidRPr="00713D11" w:rsidRDefault="004A5F00" w:rsidP="00FC4110">
      <w:pPr>
        <w:pStyle w:val="ITTEXTO3"/>
        <w:rPr>
          <w:b/>
        </w:rPr>
      </w:pPr>
      <w:r w:rsidRPr="00713D11">
        <w:t xml:space="preserve">O disposto neste item aplica-se </w:t>
      </w:r>
      <w:r w:rsidRPr="00FC4110">
        <w:t>igualmente</w:t>
      </w:r>
      <w:r w:rsidRPr="00713D11">
        <w:t xml:space="preserve"> aos loteamentos implantados pela administração direta ou indireta. </w:t>
      </w:r>
    </w:p>
    <w:p w:rsidR="004A5F00" w:rsidRPr="00713D11" w:rsidRDefault="004A5F00" w:rsidP="00FC4110">
      <w:pPr>
        <w:pStyle w:val="ITTTULO2"/>
      </w:pPr>
      <w:r w:rsidRPr="00713D11">
        <w:lastRenderedPageBreak/>
        <w:t>Instalação de hidrante urbano na rede pública</w:t>
      </w:r>
    </w:p>
    <w:p w:rsidR="003E4318" w:rsidRPr="00713D11" w:rsidRDefault="003E4318" w:rsidP="00FC4110">
      <w:pPr>
        <w:pStyle w:val="ITTEXTO3"/>
        <w:rPr>
          <w:b/>
        </w:rPr>
      </w:pPr>
      <w:r w:rsidRPr="00713D11">
        <w:t xml:space="preserve">À concessionária local dos serviços de águas e esgotos é atribuída </w:t>
      </w:r>
      <w:r w:rsidR="00FC4110" w:rsidRPr="00713D11">
        <w:t>à</w:t>
      </w:r>
      <w:r w:rsidRPr="00713D11">
        <w:t xml:space="preserve"> competência para o projeto, a instalação, a substituição e a manutenção dos hidrantes urbanos.</w:t>
      </w:r>
    </w:p>
    <w:p w:rsidR="003E4318" w:rsidRPr="00713D11" w:rsidRDefault="003E4318" w:rsidP="00FC4110">
      <w:pPr>
        <w:pStyle w:val="ITTEXTO3"/>
        <w:rPr>
          <w:b/>
        </w:rPr>
      </w:pPr>
      <w:r w:rsidRPr="00713D11">
        <w:t xml:space="preserve">A concessionária, em conjunto com o Corpo de Bombeiros </w:t>
      </w:r>
      <w:r w:rsidR="00FC4110">
        <w:t xml:space="preserve">Militar </w:t>
      </w:r>
      <w:r w:rsidRPr="00713D11">
        <w:t xml:space="preserve">local, deve estabelecer os locais para a instalação dos hidrantes urbanos. </w:t>
      </w:r>
    </w:p>
    <w:p w:rsidR="003E4318" w:rsidRPr="00713D11" w:rsidRDefault="003E4318" w:rsidP="00FC4110">
      <w:pPr>
        <w:pStyle w:val="ITTEXTO3"/>
        <w:rPr>
          <w:b/>
        </w:rPr>
      </w:pPr>
      <w:r w:rsidRPr="00713D11">
        <w:t>O espaçamento entre os hidrantes urbanos, vazão e pressão devem ser estipulados pela concessionária em conjunto com o Corpo de Bombeiros</w:t>
      </w:r>
      <w:r w:rsidR="00FC4110">
        <w:t xml:space="preserve"> Militar</w:t>
      </w:r>
      <w:r w:rsidRPr="00713D11">
        <w:t xml:space="preserve">, com base </w:t>
      </w:r>
      <w:proofErr w:type="gramStart"/>
      <w:r w:rsidRPr="00713D11">
        <w:t xml:space="preserve">nesta </w:t>
      </w:r>
      <w:r w:rsidR="00FC4110">
        <w:t>I</w:t>
      </w:r>
      <w:r w:rsidRPr="00713D11">
        <w:t>T</w:t>
      </w:r>
      <w:proofErr w:type="gramEnd"/>
      <w:r w:rsidRPr="00713D11">
        <w:t xml:space="preserve">, nas normas técnicas brasileiras vigentes e nas condições da rede pública de distribuição de água local. </w:t>
      </w:r>
    </w:p>
    <w:p w:rsidR="003E4318" w:rsidRPr="00713D11" w:rsidRDefault="003E4318" w:rsidP="00FC4110">
      <w:pPr>
        <w:pStyle w:val="ITTEXTO3"/>
        <w:rPr>
          <w:b/>
        </w:rPr>
      </w:pPr>
      <w:r w:rsidRPr="00713D11">
        <w:t>Os hidrantes urbanos devem ser preferencialmente instalados nas esquinas das vias públicas e no meio das grandes quadras.</w:t>
      </w:r>
    </w:p>
    <w:p w:rsidR="003E4318" w:rsidRPr="00713D11" w:rsidRDefault="003E4318" w:rsidP="00FC4110">
      <w:pPr>
        <w:pStyle w:val="ITTEXTO3"/>
        <w:rPr>
          <w:b/>
        </w:rPr>
      </w:pPr>
      <w:r w:rsidRPr="00713D11">
        <w:t xml:space="preserve">Os hidrantes urbanos, desta forma, devem ser instalados até que toda a área urbana e distritos do município sejam totalmente atendidos por este benefício, após o que ele pode ser estendido à área rural.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Recomenda-se que a concessionária local dos serviços de água e esgotos, ao implantar novas redes de distribuição de água ou substituir as antigas, faça a previsão e a instalação dos hidrantes urbanos respectivos, atendendo ao disposto no item 5.2.3. </w:t>
      </w:r>
    </w:p>
    <w:p w:rsidR="003E4318" w:rsidRPr="00713D11" w:rsidRDefault="003E4318" w:rsidP="00621845">
      <w:pPr>
        <w:pStyle w:val="ITTEXTO4"/>
        <w:rPr>
          <w:b/>
        </w:rPr>
      </w:pPr>
      <w:r w:rsidRPr="00713D11">
        <w:t xml:space="preserve">A concessionária pode também estudar a possibilidade da substituição dos hidrantes subterrâneos existentes por hidrantes urbanos, bem como a substituição da rede de água em obras de reforço do abastecimento.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O Corpo de Bombeiros </w:t>
      </w:r>
      <w:r w:rsidR="00621845">
        <w:t xml:space="preserve">Militar </w:t>
      </w:r>
      <w:r w:rsidRPr="00713D11">
        <w:t xml:space="preserve">da área deve solicitar à concessionária local dos serviços de água o conserto dos defeitos constatados nos hidrantes urbanos, de forma a mantê-los sempre em perfeitas condições de funcionamento.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>O Corpo de Bombeiros</w:t>
      </w:r>
      <w:r w:rsidR="00621845">
        <w:t xml:space="preserve"> Militar</w:t>
      </w:r>
      <w:r w:rsidRPr="00713D11">
        <w:t xml:space="preserve"> deve solicitar à concessionária local dos serviços de água que indique a localização dos hidrantes urbanos em mapa circunstanciado, mantendo-o constantemente atualizado.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A instalação de que trata o item 5.3.5 deve ser feita em redes de, no mínimo, 150 mm de diâmetro. </w:t>
      </w:r>
    </w:p>
    <w:p w:rsidR="003E4318" w:rsidRPr="00713D11" w:rsidRDefault="003E4318" w:rsidP="00621845">
      <w:pPr>
        <w:pStyle w:val="ITTEXTO4"/>
        <w:rPr>
          <w:b/>
        </w:rPr>
      </w:pPr>
      <w:r w:rsidRPr="00713D11">
        <w:t>No município com população de até 100.000 habitantes, excepcionalmente, deve ser aceita a instalação de hidrantes urbanos em redes de diâmetro mínimo de 100 mm, desde que as redes sejam existentes.</w:t>
      </w:r>
    </w:p>
    <w:p w:rsidR="003E4318" w:rsidRPr="00713D11" w:rsidRDefault="003E4318" w:rsidP="00621845">
      <w:pPr>
        <w:pStyle w:val="ITTTULO2"/>
      </w:pPr>
      <w:r w:rsidRPr="00713D11">
        <w:t xml:space="preserve">Identificação da vazão do hidrante urbano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Os capacetes e os tampões dos hidrantes urbanos devem ser pintados conforme o padrão constante do Anexo A. </w:t>
      </w:r>
    </w:p>
    <w:p w:rsidR="00E6265C" w:rsidRPr="00E6265C" w:rsidRDefault="003E4318" w:rsidP="00E6265C">
      <w:pPr>
        <w:pStyle w:val="ITTEXTO3"/>
        <w:rPr>
          <w:b/>
        </w:rPr>
      </w:pPr>
      <w:r w:rsidRPr="00713D11">
        <w:t xml:space="preserve">Deve-se entender que a identificação dos hidrantes urbanos constante do item 5.3.1 representa somente a capacidade individual de cada hidrante urbano e não de um grupo de hidrantes urbanos funcionando simultaneamente. </w:t>
      </w:r>
    </w:p>
    <w:p w:rsidR="003E4318" w:rsidRPr="00E6265C" w:rsidRDefault="003E4318" w:rsidP="00E6265C">
      <w:pPr>
        <w:pStyle w:val="ITTEXTO3"/>
        <w:rPr>
          <w:b/>
        </w:rPr>
      </w:pPr>
      <w:r w:rsidRPr="00E6265C">
        <w:t xml:space="preserve">O Corpo de Bombeiros </w:t>
      </w:r>
      <w:r w:rsidR="00621845" w:rsidRPr="00E6265C">
        <w:t xml:space="preserve">Militar </w:t>
      </w:r>
      <w:r w:rsidRPr="00E6265C">
        <w:t>da área de atuação deve enviar à concessionária local dos serviços de águas e esgotos cópia do relatório com o resultado dos testes da vazão dos hidrantes urbanos para avaliação do desempenho da rede.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Para melhor visualização o corpo de hidrante deve ser pintado de amarelo. </w:t>
      </w:r>
    </w:p>
    <w:p w:rsidR="003E4318" w:rsidRPr="00713D11" w:rsidRDefault="003E4318" w:rsidP="00621845">
      <w:pPr>
        <w:pStyle w:val="ITTTULO2"/>
      </w:pPr>
      <w:r w:rsidRPr="00713D11">
        <w:t xml:space="preserve">Identificação da proibição de estacionamento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Para melhorar a identificação da proibição de estacionamento em frente de cada hidrante urbano deve ser pintada com tinta específica para pisos a sinalização descrita no Anexo D.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A responsabilidade para implantar a sinalização descrita no item anterior deve ser da concessionária local dos serviços de águas e esgotos ou da secretaria de trânsito do município, quando houver. </w:t>
      </w:r>
    </w:p>
    <w:p w:rsidR="003E4318" w:rsidRPr="00713D11" w:rsidRDefault="003E4318" w:rsidP="00621845">
      <w:pPr>
        <w:pStyle w:val="ITTTULO2"/>
      </w:pPr>
      <w:r w:rsidRPr="00713D11">
        <w:t xml:space="preserve">Recomendação </w:t>
      </w:r>
    </w:p>
    <w:p w:rsidR="003E4318" w:rsidRPr="00713D11" w:rsidRDefault="003E4318" w:rsidP="00621845">
      <w:pPr>
        <w:pStyle w:val="ITTEXTO3"/>
        <w:rPr>
          <w:b/>
        </w:rPr>
      </w:pPr>
      <w:r w:rsidRPr="00713D11">
        <w:t xml:space="preserve">Tendo em vista a dificuldade de visualização, a grande possibilidade de obstrução e de contaminação da água, recomenda-se a não instalação de hidrante do tipo subterrâneo na rede pública de distribuição de água e nas redes dos loteamentos e condomínios. </w:t>
      </w:r>
    </w:p>
    <w:p w:rsidR="00713D11" w:rsidRPr="00E6265C" w:rsidRDefault="003E4318" w:rsidP="00713D11">
      <w:pPr>
        <w:pStyle w:val="ITTEXTO3"/>
        <w:rPr>
          <w:b/>
        </w:rPr>
      </w:pPr>
      <w:r w:rsidRPr="00713D11">
        <w:lastRenderedPageBreak/>
        <w:t>Pelos mesmos motivos elencados no item 5.5.1, recomenda-se que os hidrantes subterrâneos existentes sejam gradativamente desativados para a finalidade de combate a incêndios e, após análise de viabilidade, sejam substituídos por hidrantes urbanos, fabricados de acordo com a NBR 5667/06.</w:t>
      </w: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1C6E6A" w:rsidRDefault="001C6E6A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3E4318" w:rsidRPr="00713D11" w:rsidRDefault="003E4318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13D11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ANEXO A </w:t>
      </w:r>
    </w:p>
    <w:p w:rsidR="003E4318" w:rsidRPr="00713D11" w:rsidRDefault="00A83201" w:rsidP="00713D11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713D11">
        <w:rPr>
          <w:rFonts w:ascii="Times New Roman" w:hAnsi="Times New Roman" w:cs="Times New Roman"/>
          <w:color w:val="auto"/>
          <w:sz w:val="20"/>
          <w:szCs w:val="20"/>
        </w:rPr>
        <w:t>Cores padrão para a identificação da vazão dos hidrantes urbanos</w:t>
      </w:r>
    </w:p>
    <w:p w:rsidR="00A83201" w:rsidRDefault="00A83201" w:rsidP="00713D11">
      <w:pPr>
        <w:pStyle w:val="PargrafodaLista"/>
        <w:numPr>
          <w:ilvl w:val="0"/>
          <w:numId w:val="4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proofErr w:type="gramStart"/>
      <w:r w:rsidRPr="00713D11">
        <w:rPr>
          <w:rFonts w:cs="Times New Roman"/>
          <w:b/>
          <w:sz w:val="20"/>
          <w:szCs w:val="20"/>
        </w:rPr>
        <w:t>hidrante</w:t>
      </w:r>
      <w:proofErr w:type="gramEnd"/>
      <w:r w:rsidRPr="00713D11">
        <w:rPr>
          <w:rFonts w:cs="Times New Roman"/>
          <w:b/>
          <w:sz w:val="20"/>
          <w:szCs w:val="20"/>
        </w:rPr>
        <w:t xml:space="preserve"> com vazão maior do que 2.000 L/min</w:t>
      </w:r>
    </w:p>
    <w:p w:rsidR="00621845" w:rsidRPr="00713D11" w:rsidRDefault="00621845" w:rsidP="00621845">
      <w:pPr>
        <w:pStyle w:val="PargrafodaLista"/>
        <w:spacing w:before="120" w:after="120" w:line="240" w:lineRule="auto"/>
        <w:jc w:val="center"/>
        <w:rPr>
          <w:rFonts w:cs="Times New Roman"/>
          <w:b/>
          <w:sz w:val="20"/>
          <w:szCs w:val="20"/>
        </w:rPr>
      </w:pPr>
      <w:r w:rsidRPr="00713D11">
        <w:rPr>
          <w:rFonts w:cs="Times New Roman"/>
          <w:b/>
          <w:noProof/>
          <w:sz w:val="20"/>
          <w:szCs w:val="20"/>
          <w:lang w:eastAsia="pt-BR"/>
        </w:rPr>
        <w:drawing>
          <wp:inline distT="0" distB="0" distL="0" distR="0" wp14:anchorId="1D78EA3D" wp14:editId="42BEE52D">
            <wp:extent cx="3116276" cy="1761403"/>
            <wp:effectExtent l="38100" t="38100" r="27305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19" cy="17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83201" w:rsidRPr="00713D11" w:rsidRDefault="00A83201" w:rsidP="00621845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Fonte</w:t>
      </w:r>
      <w:r w:rsidRPr="00713D11">
        <w:rPr>
          <w:rFonts w:cs="Times New Roman"/>
          <w:sz w:val="20"/>
          <w:szCs w:val="20"/>
        </w:rPr>
        <w:t>: Procedimento Operacional Padrão de Teste de Hidrantes do Corpo de Bombeiros da Polícia Militar do Estado de São Paulo</w:t>
      </w:r>
    </w:p>
    <w:p w:rsidR="00A83201" w:rsidRPr="00713D11" w:rsidRDefault="00A83201" w:rsidP="00713D11">
      <w:pPr>
        <w:pStyle w:val="PargrafodaLista"/>
        <w:numPr>
          <w:ilvl w:val="0"/>
          <w:numId w:val="4"/>
        </w:numPr>
        <w:spacing w:before="120" w:after="120" w:line="240" w:lineRule="auto"/>
        <w:rPr>
          <w:rFonts w:cs="Times New Roman"/>
          <w:b/>
          <w:bCs/>
          <w:sz w:val="20"/>
          <w:szCs w:val="20"/>
        </w:rPr>
      </w:pPr>
      <w:proofErr w:type="gramStart"/>
      <w:r w:rsidRPr="00713D11">
        <w:rPr>
          <w:rFonts w:cs="Times New Roman"/>
          <w:b/>
          <w:bCs/>
          <w:sz w:val="20"/>
          <w:szCs w:val="20"/>
        </w:rPr>
        <w:t>hidrante</w:t>
      </w:r>
      <w:proofErr w:type="gramEnd"/>
      <w:r w:rsidRPr="00713D11">
        <w:rPr>
          <w:rFonts w:cs="Times New Roman"/>
          <w:b/>
          <w:bCs/>
          <w:sz w:val="20"/>
          <w:szCs w:val="20"/>
        </w:rPr>
        <w:t xml:space="preserve"> com vazão entre 1.000 L e 2.000 L/min</w:t>
      </w:r>
    </w:p>
    <w:p w:rsidR="00A83201" w:rsidRPr="00713D11" w:rsidRDefault="00621845" w:rsidP="00621845">
      <w:pPr>
        <w:pStyle w:val="PargrafodaLista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noProof/>
          <w:sz w:val="20"/>
          <w:szCs w:val="20"/>
          <w:lang w:eastAsia="pt-BR"/>
        </w:rPr>
        <w:drawing>
          <wp:inline distT="0" distB="0" distL="0" distR="0" wp14:anchorId="043C9BC6" wp14:editId="2430A544">
            <wp:extent cx="3123590" cy="2112311"/>
            <wp:effectExtent l="38100" t="38100" r="19685" b="21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39" cy="21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83201" w:rsidRPr="00713D11" w:rsidRDefault="00A83201" w:rsidP="00621845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Fonte</w:t>
      </w:r>
      <w:r w:rsidRPr="00713D11">
        <w:rPr>
          <w:rFonts w:cs="Times New Roman"/>
          <w:sz w:val="20"/>
          <w:szCs w:val="20"/>
        </w:rPr>
        <w:t>: Procedimento Operacional Padrão de Teste de Hidrantes do Corpo de Bombeiros da Polícia Militar do Estado de São Paulo</w:t>
      </w:r>
    </w:p>
    <w:p w:rsidR="00A8320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pStyle w:val="PargrafodaLista"/>
        <w:numPr>
          <w:ilvl w:val="0"/>
          <w:numId w:val="4"/>
        </w:numPr>
        <w:spacing w:before="120" w:after="120" w:line="240" w:lineRule="auto"/>
        <w:rPr>
          <w:rFonts w:cs="Times New Roman"/>
          <w:b/>
          <w:bCs/>
          <w:sz w:val="20"/>
          <w:szCs w:val="20"/>
        </w:rPr>
      </w:pPr>
      <w:proofErr w:type="gramStart"/>
      <w:r w:rsidRPr="00713D11">
        <w:rPr>
          <w:rFonts w:cs="Times New Roman"/>
          <w:b/>
          <w:bCs/>
          <w:sz w:val="20"/>
          <w:szCs w:val="20"/>
        </w:rPr>
        <w:t>hidrante</w:t>
      </w:r>
      <w:proofErr w:type="gramEnd"/>
      <w:r w:rsidRPr="00713D11">
        <w:rPr>
          <w:rFonts w:cs="Times New Roman"/>
          <w:b/>
          <w:bCs/>
          <w:sz w:val="20"/>
          <w:szCs w:val="20"/>
        </w:rPr>
        <w:t xml:space="preserve"> com vazão menor do que 1.000 L/min</w:t>
      </w:r>
    </w:p>
    <w:p w:rsidR="00A83201" w:rsidRPr="00713D11" w:rsidRDefault="00621845" w:rsidP="00621845">
      <w:pPr>
        <w:pStyle w:val="PargrafodaLista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noProof/>
          <w:sz w:val="20"/>
          <w:szCs w:val="20"/>
          <w:lang w:eastAsia="pt-BR"/>
        </w:rPr>
        <w:drawing>
          <wp:inline distT="0" distB="0" distL="0" distR="0" wp14:anchorId="191BC9F5" wp14:editId="5A1F8788">
            <wp:extent cx="3247949" cy="1973352"/>
            <wp:effectExtent l="38100" t="38100" r="10160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7" cy="198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83201" w:rsidRPr="00713D11" w:rsidRDefault="00A83201" w:rsidP="00621845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Fonte</w:t>
      </w:r>
      <w:r w:rsidRPr="00713D11">
        <w:rPr>
          <w:rFonts w:cs="Times New Roman"/>
          <w:sz w:val="20"/>
          <w:szCs w:val="20"/>
        </w:rPr>
        <w:t>: Procedimento Operacional Padrão de Teste de Hidrantes do Corpo de Bombeiros da Polícia Militar do Estado de São Paulo</w:t>
      </w:r>
    </w:p>
    <w:p w:rsidR="00A83201" w:rsidRPr="00713D1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pStyle w:val="PargrafodaLista"/>
        <w:spacing w:before="120" w:after="120" w:line="240" w:lineRule="auto"/>
        <w:rPr>
          <w:rFonts w:cs="Times New Roman"/>
          <w:b/>
          <w:bCs/>
          <w:sz w:val="20"/>
          <w:szCs w:val="20"/>
        </w:rPr>
      </w:pPr>
    </w:p>
    <w:p w:rsidR="00902FFF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lastRenderedPageBreak/>
        <w:t>ANEXO B</w:t>
      </w:r>
    </w:p>
    <w:p w:rsidR="00A83201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Esquema de instalação do hidrante urbano e relação de seus componentes</w:t>
      </w:r>
    </w:p>
    <w:p w:rsidR="00A83201" w:rsidRPr="00713D11" w:rsidRDefault="00E6265C" w:rsidP="00E6265C">
      <w:pPr>
        <w:pStyle w:val="Ttulo1"/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3868F42A" wp14:editId="2D6BC2E1">
            <wp:extent cx="5706785" cy="7549286"/>
            <wp:effectExtent l="38100" t="38100" r="27305" b="139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85" cy="75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902FFF" w:rsidRPr="00713D11" w:rsidRDefault="00902FFF" w:rsidP="00713D11">
      <w:pPr>
        <w:spacing w:before="120" w:after="120" w:line="240" w:lineRule="auto"/>
        <w:rPr>
          <w:rFonts w:cs="Times New Roman"/>
          <w:sz w:val="20"/>
          <w:szCs w:val="20"/>
        </w:rPr>
      </w:pPr>
    </w:p>
    <w:p w:rsidR="00713D11" w:rsidRDefault="00713D1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</w:p>
    <w:p w:rsidR="00713D11" w:rsidRDefault="00713D1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</w:p>
    <w:p w:rsidR="00E6265C" w:rsidRDefault="00E6265C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</w:p>
    <w:p w:rsidR="00E6265C" w:rsidRDefault="00E6265C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</w:p>
    <w:p w:rsidR="00A83201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lastRenderedPageBreak/>
        <w:t>ANEXO C</w:t>
      </w:r>
    </w:p>
    <w:p w:rsidR="00A83201" w:rsidRPr="00713D11" w:rsidRDefault="00A83201" w:rsidP="00713D11">
      <w:pPr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Posicionamento do hidrante urbano no passeio público</w:t>
      </w:r>
    </w:p>
    <w:p w:rsidR="00A83201" w:rsidRPr="00713D11" w:rsidRDefault="00E6265C" w:rsidP="00713D11">
      <w:pPr>
        <w:pStyle w:val="Ttulo1"/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713D1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0322481" wp14:editId="3EAF3F68">
            <wp:extent cx="6120130" cy="6035102"/>
            <wp:effectExtent l="38100" t="38100" r="13970" b="228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83201" w:rsidRPr="00713D11" w:rsidRDefault="00A83201" w:rsidP="00713D11">
      <w:pPr>
        <w:spacing w:before="120" w:after="120" w:line="240" w:lineRule="auto"/>
        <w:rPr>
          <w:rFonts w:cs="Times New Roman"/>
          <w:sz w:val="20"/>
          <w:szCs w:val="20"/>
        </w:rPr>
      </w:pPr>
    </w:p>
    <w:p w:rsidR="00A83201" w:rsidRPr="00713D11" w:rsidRDefault="00A83201" w:rsidP="00713D11">
      <w:pPr>
        <w:pStyle w:val="Ttulo1"/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A83201" w:rsidRDefault="00A83201" w:rsidP="00713D11">
      <w:pPr>
        <w:spacing w:before="120" w:after="120" w:line="240" w:lineRule="auto"/>
        <w:rPr>
          <w:rFonts w:cs="Times New Roman"/>
          <w:sz w:val="20"/>
          <w:szCs w:val="20"/>
        </w:rPr>
      </w:pPr>
    </w:p>
    <w:p w:rsidR="00713D11" w:rsidRDefault="00713D11" w:rsidP="00713D11">
      <w:pPr>
        <w:pStyle w:val="Ttulo1"/>
      </w:pPr>
    </w:p>
    <w:p w:rsidR="00713D11" w:rsidRDefault="00713D11" w:rsidP="00713D11"/>
    <w:p w:rsidR="00713D11" w:rsidRDefault="00713D11" w:rsidP="00713D11">
      <w:pPr>
        <w:pStyle w:val="Ttulo1"/>
      </w:pPr>
    </w:p>
    <w:p w:rsidR="00E6265C" w:rsidRPr="00E6265C" w:rsidRDefault="00E6265C" w:rsidP="00E6265C"/>
    <w:p w:rsidR="00A83201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lastRenderedPageBreak/>
        <w:t>ANEXO D</w:t>
      </w:r>
    </w:p>
    <w:p w:rsidR="00A83201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SINALIZAÇÃO HORIZONTAL – HIDRANTE DE COLUNA</w:t>
      </w:r>
    </w:p>
    <w:p w:rsidR="00A83201" w:rsidRPr="00713D11" w:rsidRDefault="00A83201" w:rsidP="00713D11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13D11">
        <w:rPr>
          <w:rFonts w:cs="Times New Roman"/>
          <w:b/>
          <w:bCs/>
          <w:sz w:val="20"/>
          <w:szCs w:val="20"/>
        </w:rPr>
        <w:t>Corredor preferencial</w:t>
      </w:r>
    </w:p>
    <w:p w:rsidR="00A83201" w:rsidRPr="00713D11" w:rsidRDefault="00A83201" w:rsidP="00713D11">
      <w:pPr>
        <w:pStyle w:val="Ttulo1"/>
        <w:spacing w:before="120" w:after="120" w:line="240" w:lineRule="auto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13D11">
        <w:rPr>
          <w:rFonts w:ascii="Times New Roman" w:eastAsiaTheme="minorHAnsi" w:hAnsi="Times New Roman" w:cs="Times New Roman"/>
          <w:color w:val="auto"/>
          <w:sz w:val="20"/>
          <w:szCs w:val="20"/>
        </w:rPr>
        <w:t>TIPO H1 – Calçada frente particular</w:t>
      </w:r>
    </w:p>
    <w:p w:rsidR="00E6265C" w:rsidRDefault="00E6265C" w:rsidP="00713D11">
      <w:pPr>
        <w:pStyle w:val="Ttulo1"/>
        <w:spacing w:before="120" w:after="120" w:line="240" w:lineRule="auto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13D11">
        <w:rPr>
          <w:rFonts w:cs="Times New Roman"/>
          <w:noProof/>
          <w:sz w:val="20"/>
          <w:szCs w:val="20"/>
          <w:lang w:eastAsia="pt-BR"/>
        </w:rPr>
        <w:drawing>
          <wp:inline distT="0" distB="0" distL="0" distR="0" wp14:anchorId="3FAA9968" wp14:editId="0ECC0705">
            <wp:extent cx="6113780" cy="2817495"/>
            <wp:effectExtent l="38100" t="38100" r="20320" b="209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902FFF" w:rsidRPr="00713D11" w:rsidRDefault="00902FFF" w:rsidP="00713D11">
      <w:pPr>
        <w:pStyle w:val="Ttulo1"/>
        <w:spacing w:before="120" w:after="120" w:line="240" w:lineRule="auto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13D11">
        <w:rPr>
          <w:rFonts w:ascii="Times New Roman" w:eastAsiaTheme="minorHAnsi" w:hAnsi="Times New Roman" w:cs="Times New Roman"/>
          <w:color w:val="auto"/>
          <w:sz w:val="20"/>
          <w:szCs w:val="20"/>
        </w:rPr>
        <w:t>TIPO H1 – Calçada frente área publica</w:t>
      </w:r>
    </w:p>
    <w:p w:rsidR="00E6265C" w:rsidRDefault="00E6265C" w:rsidP="00713D11">
      <w:pPr>
        <w:spacing w:before="120" w:after="120" w:line="240" w:lineRule="auto"/>
        <w:rPr>
          <w:rFonts w:cs="Times New Roman"/>
          <w:b/>
          <w:bCs/>
          <w:i/>
          <w:iCs/>
          <w:sz w:val="20"/>
          <w:szCs w:val="20"/>
        </w:rPr>
      </w:pPr>
    </w:p>
    <w:p w:rsidR="00E6265C" w:rsidRDefault="00E6265C" w:rsidP="00713D11">
      <w:pPr>
        <w:spacing w:before="120" w:after="120" w:line="240" w:lineRule="auto"/>
        <w:rPr>
          <w:rFonts w:cs="Times New Roman"/>
          <w:b/>
          <w:bCs/>
          <w:i/>
          <w:iCs/>
          <w:sz w:val="20"/>
          <w:szCs w:val="20"/>
        </w:rPr>
      </w:pPr>
      <w:r w:rsidRPr="00713D11">
        <w:rPr>
          <w:rFonts w:cs="Times New Roman"/>
          <w:noProof/>
          <w:sz w:val="20"/>
          <w:szCs w:val="20"/>
          <w:lang w:eastAsia="pt-BR"/>
        </w:rPr>
        <w:drawing>
          <wp:inline distT="0" distB="0" distL="0" distR="0" wp14:anchorId="48266DD2" wp14:editId="054FF76C">
            <wp:extent cx="6120130" cy="2635241"/>
            <wp:effectExtent l="38100" t="38100" r="13970" b="133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83201" w:rsidRPr="00713D11" w:rsidRDefault="00902FFF" w:rsidP="00713D11">
      <w:pPr>
        <w:spacing w:before="120" w:after="120" w:line="240" w:lineRule="auto"/>
        <w:rPr>
          <w:rFonts w:cs="Times New Roman"/>
          <w:sz w:val="20"/>
          <w:szCs w:val="20"/>
        </w:rPr>
      </w:pPr>
      <w:r w:rsidRPr="00713D11">
        <w:rPr>
          <w:rFonts w:cs="Times New Roman"/>
          <w:b/>
          <w:bCs/>
          <w:i/>
          <w:iCs/>
          <w:sz w:val="20"/>
          <w:szCs w:val="20"/>
        </w:rPr>
        <w:t xml:space="preserve">Fonte: </w:t>
      </w:r>
      <w:r w:rsidRPr="00713D11">
        <w:rPr>
          <w:rFonts w:cs="Times New Roman"/>
          <w:i/>
          <w:iCs/>
          <w:sz w:val="20"/>
          <w:szCs w:val="20"/>
        </w:rPr>
        <w:t xml:space="preserve">Engenheiro João </w:t>
      </w:r>
      <w:proofErr w:type="spellStart"/>
      <w:r w:rsidRPr="00713D11">
        <w:rPr>
          <w:rFonts w:cs="Times New Roman"/>
          <w:i/>
          <w:iCs/>
          <w:sz w:val="20"/>
          <w:szCs w:val="20"/>
        </w:rPr>
        <w:t>Rosolino</w:t>
      </w:r>
      <w:proofErr w:type="spellEnd"/>
      <w:r w:rsidRPr="00713D11">
        <w:rPr>
          <w:rFonts w:cs="Times New Roman"/>
          <w:i/>
          <w:iCs/>
          <w:sz w:val="20"/>
          <w:szCs w:val="20"/>
        </w:rPr>
        <w:t xml:space="preserve"> – SEMAE – Piracic</w:t>
      </w:r>
      <w:bookmarkStart w:id="0" w:name="_GoBack"/>
      <w:bookmarkEnd w:id="0"/>
      <w:r w:rsidRPr="00713D11">
        <w:rPr>
          <w:rFonts w:cs="Times New Roman"/>
          <w:i/>
          <w:iCs/>
          <w:sz w:val="20"/>
          <w:szCs w:val="20"/>
        </w:rPr>
        <w:t>aba</w:t>
      </w:r>
    </w:p>
    <w:sectPr w:rsidR="00A83201" w:rsidRPr="00713D11" w:rsidSect="00430E29">
      <w:headerReference w:type="default" r:id="rId17"/>
      <w:footerReference w:type="default" r:id="rId18"/>
      <w:type w:val="continuous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A1" w:rsidRDefault="00613EA1" w:rsidP="0061223E">
      <w:pPr>
        <w:spacing w:before="0" w:after="0" w:line="240" w:lineRule="auto"/>
      </w:pPr>
      <w:r>
        <w:separator/>
      </w:r>
    </w:p>
  </w:endnote>
  <w:endnote w:type="continuationSeparator" w:id="0">
    <w:p w:rsidR="00613EA1" w:rsidRDefault="00613EA1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D5" w:rsidRPr="00621845" w:rsidRDefault="007C7ED5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621845">
      <w:rPr>
        <w:rFonts w:eastAsiaTheme="majorEastAsia" w:cs="Times New Roman"/>
        <w:sz w:val="20"/>
        <w:szCs w:val="20"/>
      </w:rPr>
      <w:t>Corpo de Bombeiros Militar de Alagoas</w:t>
    </w:r>
    <w:r w:rsidRPr="00621845">
      <w:rPr>
        <w:rFonts w:eastAsiaTheme="majorEastAsia" w:cs="Times New Roman"/>
        <w:sz w:val="20"/>
        <w:szCs w:val="20"/>
      </w:rPr>
      <w:ptab w:relativeTo="margin" w:alignment="right" w:leader="none"/>
    </w:r>
    <w:r w:rsidRPr="00621845">
      <w:rPr>
        <w:rFonts w:eastAsiaTheme="majorEastAsia" w:cs="Times New Roman"/>
        <w:sz w:val="20"/>
        <w:szCs w:val="20"/>
      </w:rPr>
      <w:t xml:space="preserve">Página </w:t>
    </w:r>
    <w:r w:rsidR="002F290C" w:rsidRPr="00621845">
      <w:rPr>
        <w:rFonts w:eastAsiaTheme="minorEastAsia" w:cs="Times New Roman"/>
        <w:sz w:val="20"/>
        <w:szCs w:val="20"/>
      </w:rPr>
      <w:fldChar w:fldCharType="begin"/>
    </w:r>
    <w:r w:rsidRPr="00621845">
      <w:rPr>
        <w:rFonts w:cs="Times New Roman"/>
        <w:sz w:val="20"/>
        <w:szCs w:val="20"/>
      </w:rPr>
      <w:instrText>PAGE   \* MERGEFORMAT</w:instrText>
    </w:r>
    <w:r w:rsidR="002F290C" w:rsidRPr="00621845">
      <w:rPr>
        <w:rFonts w:eastAsiaTheme="minorEastAsia" w:cs="Times New Roman"/>
        <w:sz w:val="20"/>
        <w:szCs w:val="20"/>
      </w:rPr>
      <w:fldChar w:fldCharType="separate"/>
    </w:r>
    <w:r w:rsidR="001C6E6A" w:rsidRPr="001C6E6A">
      <w:rPr>
        <w:rFonts w:eastAsiaTheme="majorEastAsia" w:cs="Times New Roman"/>
        <w:noProof/>
        <w:sz w:val="20"/>
        <w:szCs w:val="20"/>
      </w:rPr>
      <w:t>8</w:t>
    </w:r>
    <w:r w:rsidR="002F290C" w:rsidRPr="00621845">
      <w:rPr>
        <w:rFonts w:eastAsiaTheme="majorEastAsia" w:cs="Times New Roman"/>
        <w:sz w:val="20"/>
        <w:szCs w:val="20"/>
      </w:rPr>
      <w:fldChar w:fldCharType="end"/>
    </w:r>
  </w:p>
  <w:p w:rsidR="0061223E" w:rsidRPr="00621845" w:rsidRDefault="0061223E">
    <w:pPr>
      <w:pStyle w:val="Rodap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A1" w:rsidRDefault="00613EA1" w:rsidP="0061223E">
      <w:pPr>
        <w:spacing w:before="0" w:after="0" w:line="240" w:lineRule="auto"/>
      </w:pPr>
      <w:r>
        <w:separator/>
      </w:r>
    </w:p>
  </w:footnote>
  <w:footnote w:type="continuationSeparator" w:id="0">
    <w:p w:rsidR="00613EA1" w:rsidRDefault="00613EA1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6B9" w:rsidRDefault="00E6265C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62165" cy="530225"/>
              <wp:effectExtent l="0" t="0" r="18415" b="22225"/>
              <wp:wrapNone/>
              <wp:docPr id="2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165" cy="530225"/>
                        <a:chOff x="330" y="308"/>
                        <a:chExt cx="11586" cy="835"/>
                      </a:xfrm>
                    </wpg:grpSpPr>
                    <wps:wsp>
                      <wps:cNvPr id="3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946B9" w:rsidRDefault="00A9155D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34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946B9" w:rsidRDefault="00A9155D" w:rsidP="00A37D0B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63.95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BM8EA&#10;AADaAAAADwAAAGRycy9kb3ducmV2LnhtbESPzarCMBSE9xd8h3AEd9fUf6lGEUFwI6hXEHeH5tgW&#10;m5PaRFvf3gjCXQ4z8w0zXzamEE+qXG5ZQa8bgSBOrM45VXD62/xOQTiPrLGwTApe5GC5aP3MMda2&#10;5gM9jz4VAcIuRgWZ92UspUsyMui6tiQO3tVWBn2QVSp1hXWAm0L2o2gsDeYcFjIsaZ1Rcjs+jIKR&#10;1pdpUk7Gw3O9Gaxvbr+7j1ZKddrNagbCU+P/w9/2VisYwOdKu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tATPBAAAA2gAAAA8AAAAAAAAAAAAAAAAAmAIAAGRycy9kb3du&#10;cmV2LnhtbFBLBQYAAAAABAAEAPUAAACGAwAAAAA=&#10;" fillcolor="#e36c0a [2409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946B9" w:rsidRDefault="00A9155D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34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u/MIA&#10;AADaAAAADwAAAGRycy9kb3ducmV2LnhtbESP0WrCQBRE3wv+w3KFvtWNEqSkriKK0IJim/YDrtlr&#10;EszeDbtbE/16VxB8HGbmDDNb9KYRZ3K+tqxgPEpAEBdW11wq+PvdvL2D8AFZY2OZFFzIw2I+eJlh&#10;pm3HP3TOQykihH2GCqoQ2kxKX1Rk0I9sSxy9o3UGQ5SulNphF+GmkZMkmUqDNceFCltaVVSc8n+j&#10;YGflt9zW5WHccbK+XPfplzOpUq/DfvkBIlAfnuFH+1MrSOF+Jd4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u78wgAAANoAAAAPAAAAAAAAAAAAAAAAAJgCAABkcnMvZG93&#10;bnJldi54bWxQSwUGAAAAAAQABAD1AAAAhwMAAAAA&#10;" fillcolor="#9bbb59 [3206]" stroked="f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946B9" w:rsidRDefault="00A9155D" w:rsidP="00A37D0B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dMcIA&#10;AADbAAAADwAAAGRycy9kb3ducmV2LnhtbERPS4vCMBC+C/6HMAteZE19rGjXKCII4mHBusgeh2Zs&#10;i82kJFHrvzfCgrf5+J6zWLWmFjdyvrKsYDhIQBDnVldcKPg9bj9nIHxA1lhbJgUP8rBadjsLTLW9&#10;84FuWShEDGGfooIyhCaV0uclGfQD2xBH7mydwRChK6R2eI/hppajJJlKgxXHhhIb2pSUX7KrUbCf&#10;fCV/4TS0x9llPP9xdf803V+V6n20628QgdrwFv+7dzrOH8Prl3i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l0xwgAAANsAAAAPAAAAAAAAAAAAAAAAAJgCAABkcnMvZG93&#10;bnJldi54bWxQSwUGAAAAAAQABAD1AAAAhwMAAAAA&#10;" filled="f" strokeweight="1pt"/>
              <w10:wrap anchorx="page" anchory="margin"/>
            </v:group>
          </w:pict>
        </mc:Fallback>
      </mc:AlternateContent>
    </w:r>
  </w:p>
  <w:p w:rsidR="009946B9" w:rsidRDefault="00994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717"/>
    <w:multiLevelType w:val="multilevel"/>
    <w:tmpl w:val="67B2A236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67" w:hanging="3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67" w:hanging="3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340"/>
      </w:pPr>
      <w:rPr>
        <w:rFonts w:hint="default"/>
      </w:rPr>
    </w:lvl>
  </w:abstractNum>
  <w:abstractNum w:abstractNumId="1">
    <w:nsid w:val="099D6B02"/>
    <w:multiLevelType w:val="multilevel"/>
    <w:tmpl w:val="E6B8BD2E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B37CDC"/>
    <w:multiLevelType w:val="multilevel"/>
    <w:tmpl w:val="B2D2C7FC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31B00"/>
    <w:multiLevelType w:val="multilevel"/>
    <w:tmpl w:val="458451CA"/>
    <w:lvl w:ilvl="0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3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67" w:hanging="34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67" w:hanging="3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340"/>
      </w:pPr>
      <w:rPr>
        <w:rFonts w:hint="default"/>
      </w:rPr>
    </w:lvl>
  </w:abstractNum>
  <w:abstractNum w:abstractNumId="4">
    <w:nsid w:val="305016AA"/>
    <w:multiLevelType w:val="hybridMultilevel"/>
    <w:tmpl w:val="369C569A"/>
    <w:lvl w:ilvl="0" w:tplc="B2B670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C2BAA"/>
    <w:multiLevelType w:val="hybridMultilevel"/>
    <w:tmpl w:val="5B345B90"/>
    <w:lvl w:ilvl="0" w:tplc="3F7242D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6350"/>
    <w:multiLevelType w:val="hybridMultilevel"/>
    <w:tmpl w:val="3EE8CE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2185D"/>
    <w:rsid w:val="00033C0E"/>
    <w:rsid w:val="0005660A"/>
    <w:rsid w:val="000709A7"/>
    <w:rsid w:val="0017709F"/>
    <w:rsid w:val="001C2F90"/>
    <w:rsid w:val="001C6E6A"/>
    <w:rsid w:val="00205C99"/>
    <w:rsid w:val="00233E4D"/>
    <w:rsid w:val="002F290C"/>
    <w:rsid w:val="003B6116"/>
    <w:rsid w:val="003B6D83"/>
    <w:rsid w:val="003D23D2"/>
    <w:rsid w:val="003E4318"/>
    <w:rsid w:val="00430E29"/>
    <w:rsid w:val="004A34AF"/>
    <w:rsid w:val="004A5F00"/>
    <w:rsid w:val="00563665"/>
    <w:rsid w:val="00572066"/>
    <w:rsid w:val="00585FEA"/>
    <w:rsid w:val="005D301B"/>
    <w:rsid w:val="005E6E58"/>
    <w:rsid w:val="0061223E"/>
    <w:rsid w:val="00613EA1"/>
    <w:rsid w:val="006217CB"/>
    <w:rsid w:val="00621845"/>
    <w:rsid w:val="0062426A"/>
    <w:rsid w:val="006C2780"/>
    <w:rsid w:val="00713D11"/>
    <w:rsid w:val="0074167D"/>
    <w:rsid w:val="00763C07"/>
    <w:rsid w:val="007C7ED5"/>
    <w:rsid w:val="008B0CB9"/>
    <w:rsid w:val="00902FFF"/>
    <w:rsid w:val="009946B9"/>
    <w:rsid w:val="00A37D0B"/>
    <w:rsid w:val="00A83201"/>
    <w:rsid w:val="00A9155D"/>
    <w:rsid w:val="00B21DD0"/>
    <w:rsid w:val="00B257C2"/>
    <w:rsid w:val="00BF05E9"/>
    <w:rsid w:val="00CE0FF6"/>
    <w:rsid w:val="00CE4A5E"/>
    <w:rsid w:val="00D90A28"/>
    <w:rsid w:val="00E527C1"/>
    <w:rsid w:val="00E6265C"/>
    <w:rsid w:val="00EE3CF0"/>
    <w:rsid w:val="00F351F0"/>
    <w:rsid w:val="00F87C2E"/>
    <w:rsid w:val="00FB1089"/>
    <w:rsid w:val="00FC4110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27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A5F00"/>
    <w:rPr>
      <w:color w:val="0000FF"/>
      <w:u w:val="single"/>
    </w:rPr>
  </w:style>
  <w:style w:type="paragraph" w:customStyle="1" w:styleId="ITTTULO1">
    <w:name w:val="IT TÍTULO 1"/>
    <w:basedOn w:val="Ttulo1"/>
    <w:qFormat/>
    <w:rsid w:val="001C6E6A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1C6E6A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1C6E6A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6C2780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paragraph" w:customStyle="1" w:styleId="ITTEXTO4">
    <w:name w:val="IT TEXTO 4"/>
    <w:basedOn w:val="Ttulo4"/>
    <w:qFormat/>
    <w:rsid w:val="006C2780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auto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278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27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27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A5F00"/>
    <w:rPr>
      <w:color w:val="0000FF"/>
      <w:u w:val="single"/>
    </w:rPr>
  </w:style>
  <w:style w:type="paragraph" w:customStyle="1" w:styleId="ITTTULO1">
    <w:name w:val="IT TÍTULO 1"/>
    <w:basedOn w:val="Ttulo1"/>
    <w:qFormat/>
    <w:rsid w:val="001C6E6A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1C6E6A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1C6E6A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6C2780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paragraph" w:customStyle="1" w:styleId="ITTEXTO4">
    <w:name w:val="IT TEXTO 4"/>
    <w:basedOn w:val="Ttulo4"/>
    <w:qFormat/>
    <w:rsid w:val="006C2780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auto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278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27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34 CBMAL</vt:lpstr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34 CBMAL</dc:title>
  <dc:creator>ELAINE MONTEIRO</dc:creator>
  <cp:lastModifiedBy>ELAINE MONTEIRO</cp:lastModifiedBy>
  <cp:revision>4</cp:revision>
  <cp:lastPrinted>2021-04-11T17:35:00Z</cp:lastPrinted>
  <dcterms:created xsi:type="dcterms:W3CDTF">2021-04-02T21:12:00Z</dcterms:created>
  <dcterms:modified xsi:type="dcterms:W3CDTF">2021-04-11T17:37:00Z</dcterms:modified>
</cp:coreProperties>
</file>