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2EDFD" w14:textId="77777777" w:rsidR="007E1F91" w:rsidRPr="00352664" w:rsidRDefault="007E1F91" w:rsidP="007E1F91">
      <w:pPr>
        <w:spacing w:after="0" w:line="240" w:lineRule="auto"/>
        <w:ind w:right="181"/>
        <w:rPr>
          <w:rFonts w:ascii="Arial" w:hAnsi="Arial" w:cs="Arial"/>
        </w:rPr>
      </w:pPr>
    </w:p>
    <w:p w14:paraId="3AB0F7E0" w14:textId="77777777" w:rsidR="007E1F91" w:rsidRPr="00352664" w:rsidRDefault="007E1F91" w:rsidP="007E1F91">
      <w:pPr>
        <w:spacing w:after="0" w:line="240" w:lineRule="auto"/>
        <w:ind w:right="181"/>
        <w:jc w:val="center"/>
        <w:rPr>
          <w:rFonts w:ascii="Arial" w:hAnsi="Arial" w:cs="Arial"/>
        </w:rPr>
      </w:pPr>
      <w:r w:rsidRPr="00783F75">
        <w:rPr>
          <w:rFonts w:ascii="Arial" w:hAnsi="Arial" w:cs="Arial"/>
          <w:b/>
          <w:noProof/>
          <w:color w:val="000000"/>
          <w:sz w:val="32"/>
          <w:szCs w:val="32"/>
          <w:lang w:eastAsia="pt-BR"/>
        </w:rPr>
        <w:pict w14:anchorId="798879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78.75pt;height:87pt;visibility:visible">
            <v:imagedata r:id="rId8" o:title=""/>
          </v:shape>
        </w:pict>
      </w:r>
    </w:p>
    <w:p w14:paraId="322214AF" w14:textId="77777777" w:rsidR="007E1F91" w:rsidRPr="00352664" w:rsidRDefault="007E1F91" w:rsidP="007E1F91">
      <w:pPr>
        <w:spacing w:after="0" w:line="240" w:lineRule="auto"/>
        <w:ind w:left="284" w:right="181"/>
        <w:jc w:val="center"/>
        <w:rPr>
          <w:rFonts w:ascii="Arial" w:hAnsi="Arial" w:cs="Arial"/>
        </w:rPr>
      </w:pPr>
    </w:p>
    <w:p w14:paraId="60803BEA" w14:textId="77777777" w:rsidR="007E1F91" w:rsidRPr="00067A32" w:rsidRDefault="007E1F91" w:rsidP="007E1F91">
      <w:pPr>
        <w:autoSpaceDE w:val="0"/>
        <w:autoSpaceDN w:val="0"/>
        <w:adjustRightInd w:val="0"/>
        <w:spacing w:after="0" w:line="240" w:lineRule="auto"/>
        <w:ind w:left="284" w:right="181"/>
        <w:jc w:val="center"/>
        <w:rPr>
          <w:b/>
          <w:bCs/>
          <w:color w:val="000000"/>
          <w:sz w:val="32"/>
          <w:szCs w:val="32"/>
        </w:rPr>
      </w:pPr>
      <w:r w:rsidRPr="00067A32">
        <w:rPr>
          <w:b/>
          <w:bCs/>
          <w:color w:val="000000"/>
          <w:sz w:val="32"/>
          <w:szCs w:val="32"/>
        </w:rPr>
        <w:t>Corpo de Bombeiros Militar de Alagoas</w:t>
      </w:r>
    </w:p>
    <w:p w14:paraId="32875EA5" w14:textId="77777777" w:rsidR="007E1F91" w:rsidRPr="00067A32" w:rsidRDefault="007E1F91" w:rsidP="007E1F91">
      <w:pPr>
        <w:autoSpaceDE w:val="0"/>
        <w:autoSpaceDN w:val="0"/>
        <w:adjustRightInd w:val="0"/>
        <w:spacing w:after="0" w:line="240" w:lineRule="auto"/>
        <w:ind w:left="284" w:right="181"/>
        <w:jc w:val="center"/>
        <w:rPr>
          <w:b/>
          <w:bCs/>
          <w:color w:val="000000"/>
          <w:sz w:val="32"/>
          <w:szCs w:val="32"/>
        </w:rPr>
      </w:pPr>
    </w:p>
    <w:p w14:paraId="0E46A33B" w14:textId="77777777" w:rsidR="007E1F91" w:rsidRPr="00067A32" w:rsidRDefault="007E1F91" w:rsidP="007E1F91">
      <w:pPr>
        <w:autoSpaceDE w:val="0"/>
        <w:autoSpaceDN w:val="0"/>
        <w:adjustRightInd w:val="0"/>
        <w:spacing w:after="0" w:line="240" w:lineRule="auto"/>
        <w:ind w:left="284" w:right="181"/>
        <w:jc w:val="center"/>
        <w:rPr>
          <w:b/>
          <w:bCs/>
          <w:color w:val="000000"/>
          <w:sz w:val="32"/>
          <w:szCs w:val="32"/>
        </w:rPr>
      </w:pPr>
    </w:p>
    <w:p w14:paraId="46F0C641" w14:textId="77777777" w:rsidR="007E1F91" w:rsidRPr="00067A32" w:rsidRDefault="007E1F91" w:rsidP="007E1F91">
      <w:pPr>
        <w:autoSpaceDE w:val="0"/>
        <w:autoSpaceDN w:val="0"/>
        <w:adjustRightInd w:val="0"/>
        <w:spacing w:after="0" w:line="240" w:lineRule="auto"/>
        <w:ind w:left="284" w:right="181"/>
        <w:jc w:val="center"/>
        <w:rPr>
          <w:b/>
          <w:bCs/>
          <w:color w:val="FF0000"/>
          <w:sz w:val="30"/>
          <w:szCs w:val="30"/>
        </w:rPr>
      </w:pPr>
    </w:p>
    <w:p w14:paraId="1DF291D1" w14:textId="77777777" w:rsidR="007E1F91" w:rsidRPr="00C132CB" w:rsidRDefault="00F479A6" w:rsidP="007E1F91">
      <w:pPr>
        <w:autoSpaceDE w:val="0"/>
        <w:autoSpaceDN w:val="0"/>
        <w:adjustRightInd w:val="0"/>
        <w:spacing w:after="0" w:line="240" w:lineRule="auto"/>
        <w:ind w:left="284" w:right="181"/>
        <w:jc w:val="center"/>
        <w:rPr>
          <w:bCs/>
          <w:sz w:val="28"/>
          <w:szCs w:val="28"/>
        </w:rPr>
      </w:pPr>
      <w:r w:rsidRPr="00C132CB">
        <w:rPr>
          <w:sz w:val="40"/>
          <w:szCs w:val="40"/>
        </w:rPr>
        <w:t xml:space="preserve">INSTRUÇÃO TÉCNICA Nº </w:t>
      </w:r>
      <w:r w:rsidR="007E1F91" w:rsidRPr="00C132CB">
        <w:rPr>
          <w:sz w:val="40"/>
          <w:szCs w:val="40"/>
        </w:rPr>
        <w:t>4</w:t>
      </w:r>
      <w:r w:rsidR="008871F4" w:rsidRPr="00C132CB">
        <w:rPr>
          <w:sz w:val="40"/>
          <w:szCs w:val="40"/>
        </w:rPr>
        <w:t>0</w:t>
      </w:r>
      <w:r w:rsidR="007E1F91" w:rsidRPr="00C132CB">
        <w:rPr>
          <w:sz w:val="40"/>
          <w:szCs w:val="40"/>
        </w:rPr>
        <w:t>/20</w:t>
      </w:r>
      <w:r w:rsidR="006A5EE0" w:rsidRPr="00C132CB">
        <w:rPr>
          <w:sz w:val="40"/>
          <w:szCs w:val="40"/>
        </w:rPr>
        <w:t>2</w:t>
      </w:r>
      <w:r w:rsidR="00D25383" w:rsidRPr="00C132CB">
        <w:rPr>
          <w:sz w:val="40"/>
          <w:szCs w:val="40"/>
        </w:rPr>
        <w:t>1</w:t>
      </w:r>
    </w:p>
    <w:p w14:paraId="7DD0CF78" w14:textId="77777777" w:rsidR="007E1F91" w:rsidRPr="00067A32" w:rsidRDefault="007E1F91" w:rsidP="007E1F91">
      <w:pPr>
        <w:autoSpaceDE w:val="0"/>
        <w:autoSpaceDN w:val="0"/>
        <w:adjustRightInd w:val="0"/>
        <w:spacing w:after="0" w:line="240" w:lineRule="auto"/>
        <w:ind w:left="284" w:right="181"/>
        <w:rPr>
          <w:b/>
          <w:bCs/>
          <w:sz w:val="28"/>
          <w:szCs w:val="28"/>
        </w:rPr>
      </w:pPr>
    </w:p>
    <w:p w14:paraId="4EB438E9" w14:textId="77777777" w:rsidR="007E1F91" w:rsidRPr="00067A32" w:rsidRDefault="007E1F91" w:rsidP="007E1F91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72F82878" w14:textId="77777777" w:rsidR="00285AFD" w:rsidRPr="00067A32" w:rsidRDefault="00285AFD" w:rsidP="00285AFD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8"/>
          <w:szCs w:val="28"/>
        </w:rPr>
      </w:pPr>
    </w:p>
    <w:p w14:paraId="35357E07" w14:textId="77777777" w:rsidR="00285AFD" w:rsidRPr="00067A32" w:rsidRDefault="00192BC6" w:rsidP="00DB7273">
      <w:pPr>
        <w:jc w:val="center"/>
        <w:rPr>
          <w:sz w:val="40"/>
          <w:szCs w:val="40"/>
        </w:rPr>
      </w:pPr>
      <w:r w:rsidRPr="00067A32">
        <w:rPr>
          <w:b/>
          <w:sz w:val="40"/>
          <w:szCs w:val="40"/>
        </w:rPr>
        <w:t>Edificações históricas, museus e instituições culturais com acervos museológicos</w:t>
      </w:r>
    </w:p>
    <w:p w14:paraId="6030A4E3" w14:textId="77777777" w:rsidR="00CB33BB" w:rsidRPr="00067A32" w:rsidRDefault="00CB33BB" w:rsidP="00285AFD"/>
    <w:p w14:paraId="45328A35" w14:textId="77777777" w:rsidR="00192BC6" w:rsidRDefault="00192BC6" w:rsidP="00C132CB">
      <w:pPr>
        <w:jc w:val="both"/>
        <w:rPr>
          <w:rFonts w:eastAsia="Arial"/>
          <w:b/>
          <w:szCs w:val="20"/>
        </w:rPr>
      </w:pPr>
      <w:r w:rsidRPr="00E5508F">
        <w:rPr>
          <w:rFonts w:eastAsia="Arial"/>
          <w:b/>
          <w:szCs w:val="20"/>
        </w:rPr>
        <w:t>SUMÁRIO</w:t>
      </w:r>
    </w:p>
    <w:p w14:paraId="3EECE2C1" w14:textId="77777777" w:rsidR="00C132CB" w:rsidRPr="00E5508F" w:rsidRDefault="00C132CB" w:rsidP="00C132CB">
      <w:pPr>
        <w:jc w:val="both"/>
        <w:rPr>
          <w:rFonts w:eastAsia="Arial"/>
          <w:b/>
          <w:szCs w:val="20"/>
        </w:rPr>
      </w:pPr>
    </w:p>
    <w:p w14:paraId="20C3D53D" w14:textId="77777777" w:rsidR="00192BC6" w:rsidRPr="00E5508F" w:rsidRDefault="00192BC6" w:rsidP="00464837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rFonts w:eastAsia="Arial"/>
          <w:szCs w:val="20"/>
        </w:rPr>
      </w:pPr>
      <w:r w:rsidRPr="00E5508F">
        <w:rPr>
          <w:rFonts w:eastAsia="Arial"/>
          <w:szCs w:val="20"/>
        </w:rPr>
        <w:t>Objetivo</w:t>
      </w:r>
    </w:p>
    <w:p w14:paraId="13D857CF" w14:textId="77777777" w:rsidR="00192BC6" w:rsidRPr="00E5508F" w:rsidRDefault="00192BC6" w:rsidP="00464837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rFonts w:eastAsia="Arial"/>
          <w:szCs w:val="20"/>
        </w:rPr>
      </w:pPr>
      <w:r w:rsidRPr="00E5508F">
        <w:rPr>
          <w:rFonts w:eastAsia="Arial"/>
          <w:szCs w:val="20"/>
        </w:rPr>
        <w:t>Aplicação</w:t>
      </w:r>
    </w:p>
    <w:p w14:paraId="6DAD6116" w14:textId="77777777" w:rsidR="00192BC6" w:rsidRPr="00E5508F" w:rsidRDefault="00192BC6" w:rsidP="00464837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rFonts w:eastAsia="Arial"/>
          <w:szCs w:val="20"/>
        </w:rPr>
      </w:pPr>
      <w:r w:rsidRPr="00E5508F">
        <w:rPr>
          <w:rFonts w:eastAsia="Arial"/>
          <w:szCs w:val="20"/>
        </w:rPr>
        <w:t xml:space="preserve">Referências normativas </w:t>
      </w:r>
      <w:proofErr w:type="gramStart"/>
      <w:r w:rsidRPr="00E5508F">
        <w:rPr>
          <w:rFonts w:eastAsia="Arial"/>
          <w:szCs w:val="20"/>
        </w:rPr>
        <w:t xml:space="preserve">e </w:t>
      </w:r>
      <w:r w:rsidR="007E1F91" w:rsidRPr="00E5508F">
        <w:rPr>
          <w:rFonts w:eastAsia="Arial"/>
          <w:szCs w:val="20"/>
        </w:rPr>
        <w:t xml:space="preserve"> b</w:t>
      </w:r>
      <w:r w:rsidRPr="00E5508F">
        <w:rPr>
          <w:rFonts w:eastAsia="Arial"/>
          <w:szCs w:val="20"/>
        </w:rPr>
        <w:t>ibliográficas</w:t>
      </w:r>
      <w:proofErr w:type="gramEnd"/>
    </w:p>
    <w:p w14:paraId="2F726E5F" w14:textId="77777777" w:rsidR="00192BC6" w:rsidRPr="00E5508F" w:rsidRDefault="00192BC6" w:rsidP="00464837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rFonts w:eastAsia="Arial"/>
          <w:szCs w:val="20"/>
        </w:rPr>
      </w:pPr>
      <w:r w:rsidRPr="00E5508F">
        <w:rPr>
          <w:rFonts w:eastAsia="Arial"/>
          <w:szCs w:val="20"/>
        </w:rPr>
        <w:t>Definições</w:t>
      </w:r>
    </w:p>
    <w:p w14:paraId="54010335" w14:textId="77777777" w:rsidR="00192BC6" w:rsidRPr="00E5508F" w:rsidRDefault="00192BC6" w:rsidP="00464837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rFonts w:eastAsia="Arial"/>
          <w:szCs w:val="20"/>
        </w:rPr>
      </w:pPr>
      <w:r w:rsidRPr="00E5508F">
        <w:rPr>
          <w:rFonts w:eastAsia="Arial"/>
          <w:szCs w:val="20"/>
        </w:rPr>
        <w:t>Procedimentos</w:t>
      </w:r>
    </w:p>
    <w:p w14:paraId="45E4FA25" w14:textId="77777777" w:rsidR="00192BC6" w:rsidRPr="00E5508F" w:rsidRDefault="00192BC6" w:rsidP="00464837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rFonts w:eastAsia="Arial"/>
          <w:szCs w:val="20"/>
        </w:rPr>
      </w:pPr>
      <w:r w:rsidRPr="00E5508F">
        <w:rPr>
          <w:rFonts w:eastAsia="Arial"/>
          <w:szCs w:val="20"/>
        </w:rPr>
        <w:t>Prescrições diversas</w:t>
      </w:r>
    </w:p>
    <w:p w14:paraId="7C5D3AE0" w14:textId="77777777" w:rsidR="008E6078" w:rsidRPr="00E5508F" w:rsidRDefault="008E6078" w:rsidP="00E5508F">
      <w:pPr>
        <w:spacing w:line="240" w:lineRule="auto"/>
        <w:jc w:val="both"/>
        <w:rPr>
          <w:rFonts w:eastAsia="Arial"/>
          <w:szCs w:val="20"/>
        </w:rPr>
      </w:pPr>
    </w:p>
    <w:p w14:paraId="1FA8909F" w14:textId="77777777" w:rsidR="008E6078" w:rsidRDefault="008E6078" w:rsidP="00E5508F">
      <w:pPr>
        <w:spacing w:line="240" w:lineRule="auto"/>
        <w:jc w:val="both"/>
        <w:rPr>
          <w:rFonts w:eastAsia="Arial"/>
          <w:szCs w:val="20"/>
        </w:rPr>
      </w:pPr>
    </w:p>
    <w:p w14:paraId="20C0F74F" w14:textId="77777777" w:rsidR="0099028B" w:rsidRDefault="0099028B" w:rsidP="00E5508F">
      <w:pPr>
        <w:spacing w:line="240" w:lineRule="auto"/>
        <w:jc w:val="both"/>
        <w:rPr>
          <w:rFonts w:eastAsia="Arial"/>
          <w:szCs w:val="20"/>
        </w:rPr>
      </w:pPr>
    </w:p>
    <w:p w14:paraId="25DC597C" w14:textId="77777777" w:rsidR="0099028B" w:rsidRDefault="0099028B" w:rsidP="00E5508F">
      <w:pPr>
        <w:spacing w:line="240" w:lineRule="auto"/>
        <w:jc w:val="both"/>
        <w:rPr>
          <w:rFonts w:eastAsia="Arial"/>
          <w:szCs w:val="20"/>
        </w:rPr>
      </w:pPr>
    </w:p>
    <w:p w14:paraId="11619DFA" w14:textId="77777777" w:rsidR="0099028B" w:rsidRDefault="0099028B" w:rsidP="00E5508F">
      <w:pPr>
        <w:spacing w:line="240" w:lineRule="auto"/>
        <w:jc w:val="both"/>
        <w:rPr>
          <w:rFonts w:eastAsia="Arial"/>
          <w:szCs w:val="20"/>
        </w:rPr>
      </w:pPr>
    </w:p>
    <w:p w14:paraId="68F62E93" w14:textId="77777777" w:rsidR="0099028B" w:rsidRDefault="0099028B" w:rsidP="00E5508F">
      <w:pPr>
        <w:spacing w:line="240" w:lineRule="auto"/>
        <w:jc w:val="both"/>
        <w:rPr>
          <w:rFonts w:eastAsia="Arial"/>
          <w:szCs w:val="20"/>
        </w:rPr>
      </w:pPr>
    </w:p>
    <w:p w14:paraId="4765A46E" w14:textId="77777777" w:rsidR="0099028B" w:rsidRDefault="0099028B" w:rsidP="00E5508F">
      <w:pPr>
        <w:spacing w:line="240" w:lineRule="auto"/>
        <w:jc w:val="both"/>
        <w:rPr>
          <w:rFonts w:eastAsia="Arial"/>
          <w:szCs w:val="20"/>
        </w:rPr>
      </w:pPr>
    </w:p>
    <w:p w14:paraId="2161E070" w14:textId="77777777" w:rsidR="0099028B" w:rsidRPr="00E5508F" w:rsidRDefault="0099028B" w:rsidP="00E5508F">
      <w:pPr>
        <w:spacing w:line="240" w:lineRule="auto"/>
        <w:jc w:val="both"/>
        <w:rPr>
          <w:rFonts w:eastAsia="Arial"/>
          <w:szCs w:val="20"/>
        </w:rPr>
      </w:pPr>
    </w:p>
    <w:p w14:paraId="42EBDF4F" w14:textId="77777777" w:rsidR="00192BC6" w:rsidRPr="00E5508F" w:rsidRDefault="00192BC6" w:rsidP="00C132CB">
      <w:pPr>
        <w:pStyle w:val="ITTTULO1"/>
      </w:pPr>
      <w:r w:rsidRPr="00E5508F">
        <w:lastRenderedPageBreak/>
        <w:t>OBJETIVO</w:t>
      </w:r>
    </w:p>
    <w:p w14:paraId="6DE2C37F" w14:textId="77777777" w:rsidR="00192BC6" w:rsidRPr="00E5508F" w:rsidRDefault="00192BC6" w:rsidP="0099028B">
      <w:pPr>
        <w:pStyle w:val="itcorpo"/>
      </w:pPr>
      <w:r w:rsidRPr="00E5508F">
        <w:t>Estabelecer requisitos complementares de segurança contra</w:t>
      </w:r>
      <w:r w:rsidR="008E6078" w:rsidRPr="00E5508F">
        <w:t xml:space="preserve"> </w:t>
      </w:r>
      <w:r w:rsidRPr="00E5508F">
        <w:t>incêndio, peculiares às edificações históricas e de interesse</w:t>
      </w:r>
      <w:r w:rsidR="008E6078" w:rsidRPr="00E5508F">
        <w:t xml:space="preserve"> </w:t>
      </w:r>
      <w:r w:rsidRPr="00E5508F">
        <w:t>do patrimônio histórico-cultural, bem como àquelas que</w:t>
      </w:r>
      <w:r w:rsidR="008E6078" w:rsidRPr="00E5508F">
        <w:t xml:space="preserve"> </w:t>
      </w:r>
      <w:r w:rsidRPr="00E5508F">
        <w:t>abrigam bens culturais e/ou artísticos.</w:t>
      </w:r>
    </w:p>
    <w:p w14:paraId="2F72CB42" w14:textId="77777777" w:rsidR="00192BC6" w:rsidRPr="00E5508F" w:rsidRDefault="00192BC6" w:rsidP="00C132CB">
      <w:pPr>
        <w:pStyle w:val="ITTTULO1"/>
      </w:pPr>
      <w:r w:rsidRPr="00E5508F">
        <w:t>APLICAÇÃO</w:t>
      </w:r>
    </w:p>
    <w:p w14:paraId="61EC8103" w14:textId="77777777" w:rsidR="00564316" w:rsidRPr="00E5508F" w:rsidRDefault="00564316" w:rsidP="0099028B">
      <w:pPr>
        <w:pStyle w:val="itcorpo"/>
      </w:pPr>
      <w:r w:rsidRPr="00E5508F">
        <w:t>Esta Instrução Técnica (IT) aplica-se às edificações históricas, museus e instituições culturais com acervos museológicos, devidamente certificadas pelos órgãos legalmente habilitados, atendendo ao previsto no Decreto Estadual n° 55.175 de 15 de setembro de 2017 - Institui o Código de Segurança Contra Incêndio Emergência no Estado de Alagoas – COSCIE.</w:t>
      </w:r>
    </w:p>
    <w:p w14:paraId="491E285B" w14:textId="77777777" w:rsidR="00192BC6" w:rsidRPr="00E5508F" w:rsidRDefault="00192BC6" w:rsidP="00C132CB">
      <w:pPr>
        <w:pStyle w:val="ITTTULO1"/>
      </w:pPr>
      <w:r w:rsidRPr="00E5508F">
        <w:t>REFERÊNCIAS NORMATIVAS E BIBLIOGRÁFICAS</w:t>
      </w:r>
    </w:p>
    <w:p w14:paraId="24FF03DA" w14:textId="77777777" w:rsidR="00192BC6" w:rsidRPr="00E5508F" w:rsidRDefault="00192BC6" w:rsidP="0099028B">
      <w:pPr>
        <w:pStyle w:val="itcorpo"/>
      </w:pPr>
      <w:r w:rsidRPr="00E5508F">
        <w:t>Para maiores esclarecimento</w:t>
      </w:r>
      <w:r w:rsidR="008E6078" w:rsidRPr="00E5508F">
        <w:t>s consultar as seguintes biblio</w:t>
      </w:r>
      <w:r w:rsidRPr="00E5508F">
        <w:t>grafias:</w:t>
      </w:r>
    </w:p>
    <w:p w14:paraId="66437F09" w14:textId="77777777" w:rsidR="008E6078" w:rsidRPr="00E5508F" w:rsidRDefault="00564316" w:rsidP="0099028B">
      <w:pPr>
        <w:pStyle w:val="itcorpo"/>
      </w:pPr>
      <w:r w:rsidRPr="00E5508F">
        <w:t>Instrução Técnica nº 40</w:t>
      </w:r>
      <w:r w:rsidR="008E6078" w:rsidRPr="00E5508F">
        <w:t xml:space="preserve"> do Corpo de Bombeiros da Polícia Militar do Estado de São Paulo.</w:t>
      </w:r>
    </w:p>
    <w:p w14:paraId="466D68FE" w14:textId="77777777" w:rsidR="00192BC6" w:rsidRPr="00E5508F" w:rsidRDefault="00192BC6" w:rsidP="0099028B">
      <w:pPr>
        <w:pStyle w:val="itcorpo"/>
      </w:pPr>
      <w:r w:rsidRPr="00E5508F">
        <w:t>NBR 5410 – Instalações elétricas de baixa tensão.</w:t>
      </w:r>
    </w:p>
    <w:p w14:paraId="6E61A140" w14:textId="77777777" w:rsidR="00192BC6" w:rsidRPr="00E5508F" w:rsidRDefault="00192BC6" w:rsidP="0099028B">
      <w:pPr>
        <w:pStyle w:val="itcorpo"/>
      </w:pPr>
      <w:r w:rsidRPr="00E5508F">
        <w:t>NBR 5667 – Hidrantes urbanos de incêndio.</w:t>
      </w:r>
    </w:p>
    <w:p w14:paraId="3274114E" w14:textId="77777777" w:rsidR="00192BC6" w:rsidRPr="00E5508F" w:rsidRDefault="00192BC6" w:rsidP="0099028B">
      <w:pPr>
        <w:pStyle w:val="itcorpo"/>
      </w:pPr>
      <w:r w:rsidRPr="00E5508F">
        <w:t>NBR 9050 – Acessibilidade de pessoas portadoras de</w:t>
      </w:r>
      <w:r w:rsidR="008E6078" w:rsidRPr="00E5508F">
        <w:t xml:space="preserve"> </w:t>
      </w:r>
      <w:r w:rsidRPr="00E5508F">
        <w:t>deficiências a edificações,</w:t>
      </w:r>
      <w:r w:rsidR="008E6078" w:rsidRPr="00E5508F">
        <w:t xml:space="preserve"> espaço, mobilidade e equipamen</w:t>
      </w:r>
      <w:r w:rsidRPr="00E5508F">
        <w:t>tos urbanos.</w:t>
      </w:r>
    </w:p>
    <w:p w14:paraId="29C8BD52" w14:textId="77777777" w:rsidR="00192BC6" w:rsidRPr="00E5508F" w:rsidRDefault="00192BC6" w:rsidP="0099028B">
      <w:pPr>
        <w:pStyle w:val="itcorpo"/>
      </w:pPr>
      <w:r w:rsidRPr="00E5508F">
        <w:t>NBR 10898 – Sistema de iluminação de emergência.</w:t>
      </w:r>
    </w:p>
    <w:p w14:paraId="1513C06B" w14:textId="77777777" w:rsidR="00192BC6" w:rsidRPr="00E5508F" w:rsidRDefault="00192BC6" w:rsidP="0099028B">
      <w:pPr>
        <w:pStyle w:val="itcorpo"/>
      </w:pPr>
      <w:r w:rsidRPr="00E5508F">
        <w:t>NBR 12218 – Projeto de rede de distribuição de água para</w:t>
      </w:r>
      <w:r w:rsidR="008E6078" w:rsidRPr="00E5508F">
        <w:t xml:space="preserve"> </w:t>
      </w:r>
      <w:r w:rsidRPr="00E5508F">
        <w:t>abastecimento público.</w:t>
      </w:r>
    </w:p>
    <w:p w14:paraId="31C9833E" w14:textId="77777777" w:rsidR="00192BC6" w:rsidRPr="00E5508F" w:rsidRDefault="00192BC6" w:rsidP="0099028B">
      <w:pPr>
        <w:pStyle w:val="itcorpo"/>
      </w:pPr>
      <w:r w:rsidRPr="00E5508F">
        <w:t>NBR 13523 – Central predial de gás liquefeito de petróleo.</w:t>
      </w:r>
    </w:p>
    <w:p w14:paraId="1ABCA81C" w14:textId="77777777" w:rsidR="00192BC6" w:rsidRPr="00E5508F" w:rsidRDefault="00192BC6" w:rsidP="0099028B">
      <w:pPr>
        <w:pStyle w:val="itcorpo"/>
      </w:pPr>
      <w:r w:rsidRPr="00E5508F">
        <w:t>NBR 13932 – Instalações internas de gás liquefeito de</w:t>
      </w:r>
      <w:r w:rsidR="008E6078" w:rsidRPr="00E5508F">
        <w:t xml:space="preserve"> </w:t>
      </w:r>
      <w:r w:rsidRPr="00E5508F">
        <w:t>petróleo (GLP) – Projeto e execução.</w:t>
      </w:r>
    </w:p>
    <w:p w14:paraId="5289F1B1" w14:textId="77777777" w:rsidR="00192BC6" w:rsidRPr="00E5508F" w:rsidRDefault="00192BC6" w:rsidP="0099028B">
      <w:pPr>
        <w:pStyle w:val="itcorpo"/>
      </w:pPr>
      <w:r w:rsidRPr="00E5508F">
        <w:t>NBR 17240 – Sistema de detecção e alarme de incêndio –</w:t>
      </w:r>
      <w:r w:rsidR="008E6078" w:rsidRPr="00E5508F">
        <w:t xml:space="preserve"> </w:t>
      </w:r>
      <w:r w:rsidRPr="00E5508F">
        <w:t>Projeto, instalações, comissionamento e manutenção de</w:t>
      </w:r>
      <w:r w:rsidR="008E6078" w:rsidRPr="00E5508F">
        <w:t xml:space="preserve"> </w:t>
      </w:r>
      <w:r w:rsidRPr="00E5508F">
        <w:t xml:space="preserve">sistemas de detecção e alarme de incêndio </w:t>
      </w:r>
      <w:r w:rsidR="008E6078" w:rsidRPr="00E5508F">
        <w:t>–</w:t>
      </w:r>
      <w:r w:rsidRPr="00E5508F">
        <w:t xml:space="preserve"> Requisitos.</w:t>
      </w:r>
    </w:p>
    <w:p w14:paraId="110A03FF" w14:textId="77777777" w:rsidR="00192BC6" w:rsidRPr="00E5508F" w:rsidRDefault="00192BC6" w:rsidP="0099028B">
      <w:pPr>
        <w:pStyle w:val="itcorpo"/>
      </w:pPr>
      <w:r w:rsidRPr="00E5508F">
        <w:t xml:space="preserve">NR 23 – Proteção contra incêndios </w:t>
      </w:r>
      <w:r w:rsidR="008E6078" w:rsidRPr="00E5508F">
        <w:t>–</w:t>
      </w:r>
      <w:r w:rsidRPr="00E5508F">
        <w:t xml:space="preserve"> Portaria 3214/78 do</w:t>
      </w:r>
      <w:r w:rsidR="008E6078" w:rsidRPr="00E5508F">
        <w:t xml:space="preserve"> </w:t>
      </w:r>
      <w:r w:rsidRPr="00E5508F">
        <w:t>Ministério do Trabalho</w:t>
      </w:r>
    </w:p>
    <w:p w14:paraId="4848084E" w14:textId="77777777" w:rsidR="00192BC6" w:rsidRPr="00E5508F" w:rsidRDefault="00192BC6" w:rsidP="0099028B">
      <w:pPr>
        <w:pStyle w:val="itcorpo"/>
        <w:rPr>
          <w:lang w:val="en-US"/>
        </w:rPr>
      </w:pPr>
      <w:r w:rsidRPr="00E5508F">
        <w:rPr>
          <w:lang w:val="en-US"/>
        </w:rPr>
        <w:t xml:space="preserve">NFPA 909 – </w:t>
      </w:r>
      <w:r w:rsidRPr="00E5508F">
        <w:rPr>
          <w:i/>
          <w:lang w:val="en-US"/>
        </w:rPr>
        <w:t xml:space="preserve">Standard for the </w:t>
      </w:r>
      <w:proofErr w:type="spellStart"/>
      <w:r w:rsidRPr="00E5508F">
        <w:rPr>
          <w:i/>
          <w:lang w:val="en-US"/>
        </w:rPr>
        <w:t>proctecion</w:t>
      </w:r>
      <w:proofErr w:type="spellEnd"/>
      <w:r w:rsidRPr="00E5508F">
        <w:rPr>
          <w:i/>
          <w:lang w:val="en-US"/>
        </w:rPr>
        <w:t xml:space="preserve"> of cultural resources.</w:t>
      </w:r>
    </w:p>
    <w:p w14:paraId="0E737ACC" w14:textId="77777777" w:rsidR="00192BC6" w:rsidRPr="00E5508F" w:rsidRDefault="00192BC6" w:rsidP="0099028B">
      <w:pPr>
        <w:pStyle w:val="itcorpo"/>
        <w:rPr>
          <w:lang w:val="en-US"/>
        </w:rPr>
      </w:pPr>
      <w:r w:rsidRPr="00E5508F">
        <w:rPr>
          <w:lang w:val="en-US"/>
        </w:rPr>
        <w:t>NFPA 914 – Fire safety requirements for the protection of historic</w:t>
      </w:r>
      <w:r w:rsidR="008E6078" w:rsidRPr="00E5508F">
        <w:rPr>
          <w:lang w:val="en-US"/>
        </w:rPr>
        <w:t xml:space="preserve"> </w:t>
      </w:r>
      <w:r w:rsidRPr="00E5508F">
        <w:rPr>
          <w:lang w:val="en-US"/>
        </w:rPr>
        <w:t>structures and for those who operate, use, or visit them.</w:t>
      </w:r>
    </w:p>
    <w:p w14:paraId="7F3A8B25" w14:textId="77777777" w:rsidR="00192BC6" w:rsidRPr="00E5508F" w:rsidRDefault="00192BC6" w:rsidP="0099028B">
      <w:pPr>
        <w:pStyle w:val="itcorpo"/>
        <w:rPr>
          <w:lang w:val="en-US"/>
        </w:rPr>
      </w:pPr>
      <w:r w:rsidRPr="00E5508F">
        <w:rPr>
          <w:lang w:val="en-US"/>
        </w:rPr>
        <w:t>NFPA 2001 –</w:t>
      </w:r>
      <w:r w:rsidR="008E6078" w:rsidRPr="00E5508F">
        <w:rPr>
          <w:lang w:val="en-US"/>
        </w:rPr>
        <w:t xml:space="preserve"> </w:t>
      </w:r>
      <w:r w:rsidRPr="00E5508F">
        <w:rPr>
          <w:lang w:val="en-US"/>
        </w:rPr>
        <w:t>Standard on clean agent fire extinguishing</w:t>
      </w:r>
      <w:r w:rsidR="008E6078" w:rsidRPr="00E5508F">
        <w:rPr>
          <w:lang w:val="en-US"/>
        </w:rPr>
        <w:t xml:space="preserve"> </w:t>
      </w:r>
      <w:r w:rsidRPr="00E5508F">
        <w:rPr>
          <w:lang w:val="en-US"/>
        </w:rPr>
        <w:t>systems.</w:t>
      </w:r>
    </w:p>
    <w:p w14:paraId="03F8FCA3" w14:textId="77777777" w:rsidR="00192BC6" w:rsidRPr="00E5508F" w:rsidRDefault="00192BC6" w:rsidP="00C132CB">
      <w:pPr>
        <w:pStyle w:val="ITTTULO1"/>
      </w:pPr>
      <w:r w:rsidRPr="00E5508F">
        <w:t>DEFINIÇÕES</w:t>
      </w:r>
    </w:p>
    <w:p w14:paraId="0200A5CD" w14:textId="77777777" w:rsidR="00192BC6" w:rsidRPr="00E5508F" w:rsidRDefault="00192BC6" w:rsidP="0099028B">
      <w:pPr>
        <w:pStyle w:val="itcorpo"/>
      </w:pPr>
      <w:r w:rsidRPr="00E5508F">
        <w:t xml:space="preserve">Além das definições constantes da </w:t>
      </w:r>
      <w:r w:rsidR="008871F4">
        <w:t>IT 04 – Terminologia de segurança contra incêndio e símbolos gráficos</w:t>
      </w:r>
      <w:r w:rsidRPr="00E5508F">
        <w:t>, aplicam-se as definições específicas abaixo:</w:t>
      </w:r>
    </w:p>
    <w:p w14:paraId="6DE55FDE" w14:textId="77777777" w:rsidR="00192BC6" w:rsidRPr="00C132CB" w:rsidRDefault="008E6078" w:rsidP="00C132CB">
      <w:pPr>
        <w:pStyle w:val="ITTEXTO2"/>
      </w:pPr>
      <w:r w:rsidRPr="00E5508F">
        <w:t xml:space="preserve"> </w:t>
      </w:r>
      <w:r w:rsidR="00192BC6" w:rsidRPr="00C132CB">
        <w:rPr>
          <w:b/>
        </w:rPr>
        <w:t>Edificação histórica:</w:t>
      </w:r>
      <w:r w:rsidRPr="00E5508F">
        <w:t xml:space="preserve"> </w:t>
      </w:r>
      <w:r w:rsidR="00553DE1" w:rsidRPr="00C132CB">
        <w:t>E</w:t>
      </w:r>
      <w:r w:rsidR="00192BC6" w:rsidRPr="00C132CB">
        <w:t>dificação de interesse do</w:t>
      </w:r>
      <w:r w:rsidRPr="00C132CB">
        <w:t xml:space="preserve"> </w:t>
      </w:r>
      <w:r w:rsidR="00192BC6" w:rsidRPr="00C132CB">
        <w:t>Patrimônio Histórico-Cultural que, comprovadamente,</w:t>
      </w:r>
      <w:r w:rsidRPr="00C132CB">
        <w:t xml:space="preserve"> </w:t>
      </w:r>
      <w:r w:rsidR="00192BC6" w:rsidRPr="00C132CB">
        <w:t>possui certidão de preservação do imóvel ou documento</w:t>
      </w:r>
      <w:r w:rsidRPr="00C132CB">
        <w:t xml:space="preserve"> </w:t>
      </w:r>
      <w:r w:rsidR="00192BC6" w:rsidRPr="00C132CB">
        <w:t>equivalente, fornecido pelos órgãos oficiais competentes e</w:t>
      </w:r>
      <w:r w:rsidRPr="00C132CB">
        <w:t xml:space="preserve"> </w:t>
      </w:r>
      <w:r w:rsidR="00192BC6" w:rsidRPr="00C132CB">
        <w:t>legalmente habilitados para a certificação;</w:t>
      </w:r>
    </w:p>
    <w:p w14:paraId="139BC2E9" w14:textId="77777777" w:rsidR="00393627" w:rsidRPr="0099028B" w:rsidRDefault="00E5508F" w:rsidP="0099028B">
      <w:pPr>
        <w:pStyle w:val="ITTEXTO2"/>
      </w:pPr>
      <w:r>
        <w:t xml:space="preserve"> </w:t>
      </w:r>
      <w:r w:rsidR="00192BC6" w:rsidRPr="00E5508F">
        <w:rPr>
          <w:b/>
        </w:rPr>
        <w:t>Museus e instituições culturais com acervos</w:t>
      </w:r>
      <w:r w:rsidR="008E6078" w:rsidRPr="00E5508F">
        <w:rPr>
          <w:b/>
        </w:rPr>
        <w:t xml:space="preserve"> </w:t>
      </w:r>
      <w:r w:rsidR="00192BC6" w:rsidRPr="00E5508F">
        <w:rPr>
          <w:b/>
        </w:rPr>
        <w:t>museológicos:</w:t>
      </w:r>
      <w:r w:rsidR="00553DE1" w:rsidRPr="00E5508F">
        <w:t xml:space="preserve"> E</w:t>
      </w:r>
      <w:r w:rsidR="00192BC6" w:rsidRPr="00E5508F">
        <w:t>dificações que abrigam bens culturais e/ou</w:t>
      </w:r>
      <w:r w:rsidR="008E6078" w:rsidRPr="00E5508F">
        <w:t xml:space="preserve"> </w:t>
      </w:r>
      <w:r w:rsidR="00192BC6" w:rsidRPr="00E5508F">
        <w:t>artísticos de naturezas e tipologias distintas, instalados ou</w:t>
      </w:r>
      <w:r w:rsidR="008E6078" w:rsidRPr="00E5508F">
        <w:t xml:space="preserve"> </w:t>
      </w:r>
      <w:r w:rsidR="00192BC6" w:rsidRPr="00E5508F">
        <w:t>não em edificações consideradas como históricas.</w:t>
      </w:r>
    </w:p>
    <w:p w14:paraId="59912768" w14:textId="77777777" w:rsidR="008E6078" w:rsidRDefault="00192BC6" w:rsidP="00C132CB">
      <w:pPr>
        <w:pStyle w:val="ITTTULO1"/>
      </w:pPr>
      <w:r w:rsidRPr="00E5508F">
        <w:t>PROCEDIMENTOS</w:t>
      </w:r>
    </w:p>
    <w:p w14:paraId="30A1948D" w14:textId="77777777" w:rsidR="00AC4861" w:rsidRPr="00E5508F" w:rsidRDefault="00E5508F" w:rsidP="00C132CB">
      <w:pPr>
        <w:pStyle w:val="ITTEXTO2"/>
        <w:rPr>
          <w:b/>
        </w:rPr>
      </w:pPr>
      <w:r>
        <w:rPr>
          <w:b/>
        </w:rPr>
        <w:t xml:space="preserve"> </w:t>
      </w:r>
      <w:r w:rsidR="00192BC6" w:rsidRPr="00E5508F">
        <w:t>As edificações históricas, museus e instituições culturais</w:t>
      </w:r>
      <w:r w:rsidR="008E6078" w:rsidRPr="00E5508F">
        <w:t xml:space="preserve"> </w:t>
      </w:r>
      <w:r w:rsidR="00192BC6" w:rsidRPr="00E5508F">
        <w:t>com acervos museológicos devem possuir, além das medidas</w:t>
      </w:r>
      <w:r w:rsidR="008E6078" w:rsidRPr="00E5508F">
        <w:t xml:space="preserve"> </w:t>
      </w:r>
      <w:r w:rsidR="00192BC6" w:rsidRPr="00E5508F">
        <w:t>de segurança contra incêndio previstas na Tabela 6F.1 d</w:t>
      </w:r>
      <w:r w:rsidR="008E6078" w:rsidRPr="00E5508F">
        <w:t xml:space="preserve">a </w:t>
      </w:r>
      <w:r w:rsidR="0014000F" w:rsidRPr="00E5508F">
        <w:rPr>
          <w:color w:val="000000"/>
        </w:rPr>
        <w:t xml:space="preserve"> Instrução Técnica 01</w:t>
      </w:r>
      <w:r w:rsidR="00C132CB">
        <w:rPr>
          <w:color w:val="000000"/>
        </w:rPr>
        <w:t xml:space="preserve"> – Parte 2</w:t>
      </w:r>
      <w:r w:rsidR="00C132CB">
        <w:t xml:space="preserve"> d</w:t>
      </w:r>
      <w:r w:rsidR="00192BC6" w:rsidRPr="00E5508F">
        <w:t>as exigências específicas</w:t>
      </w:r>
      <w:r w:rsidR="008E6078" w:rsidRPr="00E5508F">
        <w:t xml:space="preserve"> </w:t>
      </w:r>
      <w:r w:rsidR="00192BC6" w:rsidRPr="00E5508F">
        <w:t>abaixo, aceitando-se, nos casos de edificações existentes, as</w:t>
      </w:r>
      <w:r w:rsidR="008E6078" w:rsidRPr="00E5508F">
        <w:t xml:space="preserve"> </w:t>
      </w:r>
      <w:r w:rsidR="00192BC6" w:rsidRPr="00E5508F">
        <w:t>adaptações constantes na IT</w:t>
      </w:r>
      <w:r w:rsidR="0014000F" w:rsidRPr="00E5508F">
        <w:t xml:space="preserve"> 43</w:t>
      </w:r>
      <w:r w:rsidR="008E6078" w:rsidRPr="00E5508F">
        <w:t xml:space="preserve"> – Ad</w:t>
      </w:r>
      <w:r w:rsidR="00192BC6" w:rsidRPr="00E5508F">
        <w:t>aptação às normas de</w:t>
      </w:r>
      <w:r w:rsidR="008E6078" w:rsidRPr="00E5508F">
        <w:t xml:space="preserve"> </w:t>
      </w:r>
      <w:r w:rsidR="00192BC6" w:rsidRPr="00E5508F">
        <w:t>segurança contra incêndio – edificações existentes</w:t>
      </w:r>
      <w:r w:rsidR="00AC4861" w:rsidRPr="00E5508F">
        <w:t xml:space="preserve"> bem como na IT 40 – Edificações históricas, museus e instituições culturais com acervos museológicos.</w:t>
      </w:r>
    </w:p>
    <w:p w14:paraId="41CCC1E9" w14:textId="77777777" w:rsidR="00192BC6" w:rsidRPr="00E5508F" w:rsidRDefault="00E5508F" w:rsidP="00C132CB">
      <w:pPr>
        <w:pStyle w:val="ittexto3"/>
        <w:rPr>
          <w:b/>
        </w:rPr>
      </w:pPr>
      <w:r>
        <w:rPr>
          <w:b/>
        </w:rPr>
        <w:lastRenderedPageBreak/>
        <w:t xml:space="preserve"> </w:t>
      </w:r>
      <w:r w:rsidR="00AC4861" w:rsidRPr="00E5508F">
        <w:t>Não sendo possível atender as alternativas anteriores, ainda nos casos de edificações existentes, sendo ou não tombadas, fica a cargo do responsável técnico propor, via Comissão Técnica, soluções com base em metodologias e tecnologias nacionais e/ou internacionais.</w:t>
      </w:r>
    </w:p>
    <w:p w14:paraId="6737D591" w14:textId="77777777" w:rsidR="00AC4861" w:rsidRPr="00E5508F" w:rsidRDefault="00E5508F" w:rsidP="00C132CB">
      <w:pPr>
        <w:pStyle w:val="ITTEXTO2"/>
        <w:rPr>
          <w:b/>
        </w:rPr>
      </w:pPr>
      <w:r>
        <w:rPr>
          <w:b/>
        </w:rPr>
        <w:t xml:space="preserve"> </w:t>
      </w:r>
      <w:r w:rsidR="00AC4861" w:rsidRPr="00E5508F">
        <w:t xml:space="preserve">As edificações de interesse histórico devem necessariamente ter um Plano de Emergência, seguindo a NBR 15219, a IT 16 e considerando também essa Instrução Técnica. Esse plano deve ser revalidado a cada exposição e/ou evento, visando a sua atualização de acordo com as características de cada evento. Em caso de instituições com acervo, recomenda-se também a elaboração de um Plano de Salvaguarda e </w:t>
      </w:r>
      <w:proofErr w:type="gramStart"/>
      <w:r w:rsidR="00AC4861" w:rsidRPr="00E5508F">
        <w:t>Contingência..</w:t>
      </w:r>
      <w:proofErr w:type="gramEnd"/>
    </w:p>
    <w:p w14:paraId="64091848" w14:textId="77777777" w:rsidR="00192BC6" w:rsidRPr="00E5508F" w:rsidRDefault="00192BC6" w:rsidP="00C132CB">
      <w:pPr>
        <w:pStyle w:val="ittexto3"/>
        <w:rPr>
          <w:b/>
        </w:rPr>
      </w:pPr>
      <w:r w:rsidRPr="00E5508F">
        <w:t xml:space="preserve"> Incluir no Plano de emergência contra incêndio da</w:t>
      </w:r>
      <w:r w:rsidR="008E6078" w:rsidRPr="00E5508F">
        <w:t xml:space="preserve"> </w:t>
      </w:r>
      <w:r w:rsidRPr="00E5508F">
        <w:t>edificação, além das disposições constantes na IT</w:t>
      </w:r>
      <w:r w:rsidR="00AC4861" w:rsidRPr="00E5508F">
        <w:t xml:space="preserve"> 16</w:t>
      </w:r>
      <w:r w:rsidRPr="00E5508F">
        <w:t>,</w:t>
      </w:r>
      <w:r w:rsidR="008E6078" w:rsidRPr="00E5508F">
        <w:t xml:space="preserve"> </w:t>
      </w:r>
      <w:r w:rsidRPr="00E5508F">
        <w:t>as informações complementares abaixo:</w:t>
      </w:r>
    </w:p>
    <w:p w14:paraId="4BF55E9E" w14:textId="77777777" w:rsidR="00192BC6" w:rsidRPr="00E5508F" w:rsidRDefault="00E5508F" w:rsidP="00C132CB">
      <w:pPr>
        <w:pStyle w:val="ittexto4"/>
        <w:rPr>
          <w:b/>
        </w:rPr>
      </w:pPr>
      <w:r>
        <w:rPr>
          <w:b/>
        </w:rPr>
        <w:t xml:space="preserve"> </w:t>
      </w:r>
      <w:r w:rsidR="00192BC6" w:rsidRPr="00E5508F">
        <w:t>As ações dos brigadistas no que se refere aos</w:t>
      </w:r>
      <w:r w:rsidR="008E6078" w:rsidRPr="00E5508F">
        <w:t xml:space="preserve"> </w:t>
      </w:r>
      <w:r w:rsidR="00192BC6" w:rsidRPr="00E5508F">
        <w:t>seguintes procedimentos de emergência:</w:t>
      </w:r>
    </w:p>
    <w:p w14:paraId="1F3BB2C9" w14:textId="77777777" w:rsidR="00192BC6" w:rsidRPr="00E5508F" w:rsidRDefault="00803318" w:rsidP="0099028B">
      <w:pPr>
        <w:pStyle w:val="LETRAS"/>
      </w:pPr>
      <w:r w:rsidRPr="00E5508F">
        <w:t>R</w:t>
      </w:r>
      <w:r w:rsidR="00192BC6" w:rsidRPr="00E5508F">
        <w:t>etirada dos ocupantes;</w:t>
      </w:r>
    </w:p>
    <w:p w14:paraId="50468543" w14:textId="77777777" w:rsidR="00192BC6" w:rsidRPr="00E5508F" w:rsidRDefault="00803318" w:rsidP="0099028B">
      <w:pPr>
        <w:pStyle w:val="LETRAS"/>
      </w:pPr>
      <w:r w:rsidRPr="00E5508F">
        <w:t>R</w:t>
      </w:r>
      <w:r w:rsidR="00192BC6" w:rsidRPr="00E5508F">
        <w:t>emoção do acervo;</w:t>
      </w:r>
    </w:p>
    <w:p w14:paraId="3C7336AE" w14:textId="77777777" w:rsidR="00192BC6" w:rsidRPr="00E5508F" w:rsidRDefault="00803318" w:rsidP="0099028B">
      <w:pPr>
        <w:pStyle w:val="LETRAS"/>
      </w:pPr>
      <w:r w:rsidRPr="00E5508F">
        <w:t>P</w:t>
      </w:r>
      <w:r w:rsidR="00192BC6" w:rsidRPr="00E5508F">
        <w:t>roteção de salvados, para os itens do acervo que não</w:t>
      </w:r>
      <w:r w:rsidRPr="00E5508F">
        <w:t xml:space="preserve"> </w:t>
      </w:r>
      <w:r w:rsidR="00192BC6" w:rsidRPr="00E5508F">
        <w:t>puderem ser removidos.</w:t>
      </w:r>
    </w:p>
    <w:p w14:paraId="2B0574CC" w14:textId="77777777" w:rsidR="00192BC6" w:rsidRDefault="00192BC6" w:rsidP="00C132CB">
      <w:pPr>
        <w:pStyle w:val="ittexto5"/>
      </w:pPr>
      <w:r w:rsidRPr="00E5508F">
        <w:t>Listagem dos funcionários e da brigada do museu</w:t>
      </w:r>
      <w:r w:rsidR="00803318" w:rsidRPr="00E5508F">
        <w:t xml:space="preserve"> </w:t>
      </w:r>
      <w:r w:rsidRPr="00E5508F">
        <w:t>ou estabelecimento similar, divididos por pavimento, com</w:t>
      </w:r>
      <w:r w:rsidR="00803318" w:rsidRPr="00E5508F">
        <w:t xml:space="preserve"> </w:t>
      </w:r>
      <w:r w:rsidRPr="00E5508F">
        <w:t>respectivos telefones para contato;</w:t>
      </w:r>
    </w:p>
    <w:p w14:paraId="0B5E89CF" w14:textId="77777777" w:rsidR="00AC4861" w:rsidRDefault="00E5508F" w:rsidP="00C132CB">
      <w:pPr>
        <w:pStyle w:val="ittexto5"/>
      </w:pPr>
      <w:r>
        <w:t xml:space="preserve"> </w:t>
      </w:r>
      <w:r w:rsidR="00AC4861" w:rsidRPr="00E5508F">
        <w:t>Listagem dos integrantes do Comitê Brasileiro do Escudo Azul (CBEA), caso haja representação local e integração com esse programa da UNESCO;</w:t>
      </w:r>
    </w:p>
    <w:p w14:paraId="44D9798E" w14:textId="77777777" w:rsidR="00192BC6" w:rsidRDefault="00E5508F" w:rsidP="00C132CB">
      <w:pPr>
        <w:pStyle w:val="ittexto5"/>
      </w:pPr>
      <w:r>
        <w:t xml:space="preserve"> </w:t>
      </w:r>
      <w:r w:rsidR="00192BC6" w:rsidRPr="00E5508F">
        <w:t>Listagem das peç</w:t>
      </w:r>
      <w:r w:rsidR="00803318" w:rsidRPr="00E5508F">
        <w:t>as do acervo e respectiva infor</w:t>
      </w:r>
      <w:r w:rsidR="00192BC6" w:rsidRPr="00E5508F">
        <w:t>mação sobre a priorização da retirada e proteção;</w:t>
      </w:r>
    </w:p>
    <w:p w14:paraId="66190EA1" w14:textId="77777777" w:rsidR="00192BC6" w:rsidRDefault="008E6078" w:rsidP="00C132CB">
      <w:pPr>
        <w:pStyle w:val="ittexto5"/>
      </w:pPr>
      <w:r w:rsidRPr="00E5508F">
        <w:t xml:space="preserve"> </w:t>
      </w:r>
      <w:r w:rsidR="00192BC6" w:rsidRPr="00E5508F">
        <w:t>Listagem e identificação em planta de risco das</w:t>
      </w:r>
      <w:r w:rsidR="00803318" w:rsidRPr="00E5508F">
        <w:t xml:space="preserve"> </w:t>
      </w:r>
      <w:r w:rsidR="00192BC6" w:rsidRPr="00E5508F">
        <w:t>portas, janelas e vias de acesso adequadas para serem</w:t>
      </w:r>
      <w:r w:rsidR="00803318" w:rsidRPr="00E5508F">
        <w:t xml:space="preserve"> </w:t>
      </w:r>
      <w:r w:rsidR="00192BC6" w:rsidRPr="00E5508F">
        <w:t>utilizadas como “rota de retirada” do acervo, por pavimento.</w:t>
      </w:r>
    </w:p>
    <w:p w14:paraId="6A5332B8" w14:textId="77777777" w:rsidR="00192BC6" w:rsidRPr="00E5508F" w:rsidRDefault="00192BC6" w:rsidP="00C132CB">
      <w:pPr>
        <w:pStyle w:val="itttulo3"/>
      </w:pPr>
      <w:r w:rsidRPr="00E5508F">
        <w:t>Brigada de incêndio</w:t>
      </w:r>
    </w:p>
    <w:p w14:paraId="14CD9CD4" w14:textId="77777777" w:rsidR="00192BC6" w:rsidRDefault="00E5508F" w:rsidP="00C132CB">
      <w:pPr>
        <w:pStyle w:val="ittexto4"/>
      </w:pPr>
      <w:r>
        <w:t xml:space="preserve"> </w:t>
      </w:r>
      <w:r w:rsidR="00192BC6" w:rsidRPr="00E5508F">
        <w:t>Além das prescrições</w:t>
      </w:r>
      <w:r w:rsidR="00926216" w:rsidRPr="00E5508F">
        <w:t xml:space="preserve"> da IT 17</w:t>
      </w:r>
      <w:r w:rsidR="00803318" w:rsidRPr="00E5508F">
        <w:t xml:space="preserve"> – Brigada de incên</w:t>
      </w:r>
      <w:r w:rsidR="00192BC6" w:rsidRPr="00E5508F">
        <w:t>dio, recomenda-se que o treinamento dos brigadistas das</w:t>
      </w:r>
      <w:r w:rsidR="00803318" w:rsidRPr="00E5508F">
        <w:t xml:space="preserve"> </w:t>
      </w:r>
      <w:r w:rsidR="00192BC6" w:rsidRPr="00E5508F">
        <w:t>edificações que abrigarem obras ou peças de interesse do</w:t>
      </w:r>
      <w:r w:rsidR="00803318" w:rsidRPr="00E5508F">
        <w:t xml:space="preserve"> </w:t>
      </w:r>
      <w:r w:rsidR="00192BC6" w:rsidRPr="00E5508F">
        <w:t>patrimônio histórico seja complementado com treinamento</w:t>
      </w:r>
      <w:r w:rsidR="00803318" w:rsidRPr="00E5508F">
        <w:t xml:space="preserve"> </w:t>
      </w:r>
      <w:r w:rsidR="00192BC6" w:rsidRPr="00E5508F">
        <w:t>para ações de “proteção de salvados”.</w:t>
      </w:r>
    </w:p>
    <w:p w14:paraId="2F063EA5" w14:textId="77777777" w:rsidR="00926216" w:rsidRDefault="00926216" w:rsidP="0099028B">
      <w:pPr>
        <w:pStyle w:val="ittexto4"/>
      </w:pPr>
      <w:r w:rsidRPr="00E5508F">
        <w:rPr>
          <w:b/>
        </w:rPr>
        <w:t xml:space="preserve"> </w:t>
      </w:r>
      <w:r w:rsidRPr="00E5508F">
        <w:t xml:space="preserve">Manter bombeiro civil nos edifícios de interesse histórico conforme a IT 17, devendo ser capacitado para atuar em edificações com essas especificidades. </w:t>
      </w:r>
    </w:p>
    <w:p w14:paraId="1D9DFA50" w14:textId="77777777" w:rsidR="00926216" w:rsidRDefault="00926216" w:rsidP="00EF3855">
      <w:pPr>
        <w:pStyle w:val="ittexto4"/>
      </w:pPr>
      <w:r w:rsidRPr="00E5508F">
        <w:t>Manter atualizado e dentro do prazo de validade o treinamento da Brigada de Incêndio da instituição, conforme IT 17.</w:t>
      </w:r>
    </w:p>
    <w:p w14:paraId="509895A5" w14:textId="77777777" w:rsidR="00803318" w:rsidRPr="00E5508F" w:rsidRDefault="00192BC6" w:rsidP="00EF3855">
      <w:pPr>
        <w:pStyle w:val="itttulo3"/>
      </w:pPr>
      <w:r w:rsidRPr="00E5508F">
        <w:t xml:space="preserve">Sistema de </w:t>
      </w:r>
      <w:r w:rsidR="00926216" w:rsidRPr="00E5508F">
        <w:t>Proteção contra incêndio</w:t>
      </w:r>
    </w:p>
    <w:p w14:paraId="08B1B8D5" w14:textId="77777777" w:rsidR="00192BC6" w:rsidRDefault="00192BC6" w:rsidP="00EF3855">
      <w:pPr>
        <w:pStyle w:val="ittexto4"/>
      </w:pPr>
      <w:r w:rsidRPr="00E5508F">
        <w:t>Recomenda-se o sistema de gases limpos em</w:t>
      </w:r>
      <w:r w:rsidR="00803318" w:rsidRPr="00E5508F">
        <w:t xml:space="preserve"> </w:t>
      </w:r>
      <w:r w:rsidRPr="00E5508F">
        <w:t>acervos de grande importância histórica, devendo ser</w:t>
      </w:r>
      <w:r w:rsidR="00803318" w:rsidRPr="00E5508F">
        <w:t xml:space="preserve"> </w:t>
      </w:r>
      <w:r w:rsidRPr="00E5508F">
        <w:t>instalado conforme prescrições da IT</w:t>
      </w:r>
      <w:r w:rsidR="00803318" w:rsidRPr="00E5508F">
        <w:t xml:space="preserve"> 26</w:t>
      </w:r>
      <w:r w:rsidR="009D3A64" w:rsidRPr="00E5508F">
        <w:t>/18</w:t>
      </w:r>
      <w:r w:rsidRPr="00E5508F">
        <w:t xml:space="preserve"> </w:t>
      </w:r>
      <w:r w:rsidR="00803318" w:rsidRPr="00E5508F">
        <w:t>–</w:t>
      </w:r>
      <w:r w:rsidRPr="00E5508F">
        <w:t xml:space="preserve"> Sistema fixo de</w:t>
      </w:r>
      <w:r w:rsidR="00803318" w:rsidRPr="00E5508F">
        <w:t xml:space="preserve"> </w:t>
      </w:r>
      <w:r w:rsidRPr="00E5508F">
        <w:t>gases para combate a incêndio.</w:t>
      </w:r>
    </w:p>
    <w:p w14:paraId="250C6759" w14:textId="77777777" w:rsidR="00192BC6" w:rsidRDefault="00192BC6" w:rsidP="00EF3855">
      <w:pPr>
        <w:pStyle w:val="ittexto4"/>
      </w:pPr>
      <w:r w:rsidRPr="00E5508F">
        <w:t>Para as edificações que possuam compartimentos</w:t>
      </w:r>
      <w:r w:rsidR="00803318" w:rsidRPr="00E5508F">
        <w:t xml:space="preserve"> </w:t>
      </w:r>
      <w:r w:rsidRPr="00E5508F">
        <w:t>onde não seja admissível a utilização de água como meio</w:t>
      </w:r>
      <w:r w:rsidR="00803318" w:rsidRPr="00E5508F">
        <w:t xml:space="preserve"> </w:t>
      </w:r>
      <w:r w:rsidRPr="00E5508F">
        <w:t>de combate ao incêndio, a fim de não danificar irreparavelmente</w:t>
      </w:r>
      <w:r w:rsidR="00803318" w:rsidRPr="00E5508F">
        <w:t xml:space="preserve"> </w:t>
      </w:r>
      <w:r w:rsidRPr="00E5508F">
        <w:t>o acervo existente, pode ser utilizado sistema de gases</w:t>
      </w:r>
      <w:r w:rsidR="00803318" w:rsidRPr="00E5508F">
        <w:t xml:space="preserve"> </w:t>
      </w:r>
      <w:r w:rsidRPr="00E5508F">
        <w:t>limpos nesses compartimentos, bem como, nas áreas restritas</w:t>
      </w:r>
      <w:r w:rsidR="00803318" w:rsidRPr="00E5508F">
        <w:t xml:space="preserve"> </w:t>
      </w:r>
      <w:r w:rsidRPr="00E5508F">
        <w:t>onde haja guarda de peças ou obras de arte (reservas</w:t>
      </w:r>
      <w:r w:rsidR="00803318" w:rsidRPr="00E5508F">
        <w:t xml:space="preserve"> </w:t>
      </w:r>
      <w:r w:rsidRPr="00E5508F">
        <w:t>técnicas).</w:t>
      </w:r>
    </w:p>
    <w:p w14:paraId="67E57C00" w14:textId="77777777" w:rsidR="00192BC6" w:rsidRDefault="00192BC6" w:rsidP="00EF3855">
      <w:pPr>
        <w:pStyle w:val="ittexto4"/>
      </w:pPr>
      <w:r w:rsidRPr="00E5508F">
        <w:t xml:space="preserve"> Aceita-se o uso de painéis corta-fogo e de cortinas</w:t>
      </w:r>
      <w:r w:rsidR="00D611C1" w:rsidRPr="00E5508F">
        <w:t xml:space="preserve"> </w:t>
      </w:r>
      <w:r w:rsidRPr="00E5508F">
        <w:t xml:space="preserve">corta-fogo, devidamente certificados, em substituição </w:t>
      </w:r>
      <w:proofErr w:type="gramStart"/>
      <w:r w:rsidRPr="00E5508F">
        <w:t>às</w:t>
      </w:r>
      <w:r w:rsidR="00D611C1" w:rsidRPr="00E5508F">
        <w:t xml:space="preserve"> </w:t>
      </w:r>
      <w:r w:rsidRPr="00E5508F">
        <w:t>alvenaria</w:t>
      </w:r>
      <w:proofErr w:type="gramEnd"/>
      <w:r w:rsidRPr="00E5508F">
        <w:t xml:space="preserve"> de compartimentação, nos termos da IT</w:t>
      </w:r>
      <w:r w:rsidR="00D611C1" w:rsidRPr="00E5508F">
        <w:t xml:space="preserve"> 09</w:t>
      </w:r>
      <w:r w:rsidRPr="00E5508F">
        <w:t xml:space="preserve"> –</w:t>
      </w:r>
      <w:r w:rsidR="00D611C1" w:rsidRPr="00E5508F">
        <w:t xml:space="preserve"> </w:t>
      </w:r>
      <w:r w:rsidRPr="00E5508F">
        <w:t>Compartimentação horizontal e compartimentação vertical.</w:t>
      </w:r>
    </w:p>
    <w:p w14:paraId="69D2EE74" w14:textId="77777777" w:rsidR="00192BC6" w:rsidRDefault="00192BC6" w:rsidP="00EF3855">
      <w:pPr>
        <w:pStyle w:val="ittexto4"/>
      </w:pPr>
      <w:r w:rsidRPr="00E5508F">
        <w:t>Os depósitos no interior das edificações históricas,</w:t>
      </w:r>
      <w:r w:rsidR="00D611C1" w:rsidRPr="00E5508F">
        <w:t xml:space="preserve"> </w:t>
      </w:r>
      <w:r w:rsidRPr="00E5508F">
        <w:t>museus e similares devem ser compartimentados nos termos</w:t>
      </w:r>
      <w:r w:rsidR="00E5508F">
        <w:t xml:space="preserve"> </w:t>
      </w:r>
      <w:r w:rsidRPr="00E5508F">
        <w:t>da IT</w:t>
      </w:r>
      <w:r w:rsidR="00D611C1" w:rsidRPr="00E5508F">
        <w:t xml:space="preserve"> 09</w:t>
      </w:r>
      <w:r w:rsidRPr="00E5508F">
        <w:t>.</w:t>
      </w:r>
    </w:p>
    <w:p w14:paraId="5C12CBE7" w14:textId="77777777" w:rsidR="0099028B" w:rsidRDefault="0099028B" w:rsidP="0099028B">
      <w:pPr>
        <w:pStyle w:val="ITTTULO1"/>
        <w:numPr>
          <w:ilvl w:val="0"/>
          <w:numId w:val="0"/>
        </w:numPr>
        <w:ind w:left="357" w:hanging="357"/>
      </w:pPr>
    </w:p>
    <w:p w14:paraId="58254F1C" w14:textId="77777777" w:rsidR="0099028B" w:rsidRDefault="0099028B" w:rsidP="0099028B">
      <w:pPr>
        <w:pStyle w:val="ITTTULO1"/>
        <w:numPr>
          <w:ilvl w:val="0"/>
          <w:numId w:val="0"/>
        </w:numPr>
        <w:ind w:left="357" w:hanging="357"/>
      </w:pPr>
    </w:p>
    <w:p w14:paraId="2A58B81F" w14:textId="77777777" w:rsidR="00192BC6" w:rsidRPr="00E5508F" w:rsidRDefault="008E6078" w:rsidP="00EF3855">
      <w:pPr>
        <w:pStyle w:val="ITTTULO1"/>
      </w:pPr>
      <w:r w:rsidRPr="00E5508F">
        <w:lastRenderedPageBreak/>
        <w:t xml:space="preserve"> </w:t>
      </w:r>
      <w:r w:rsidR="00192BC6" w:rsidRPr="00E5508F">
        <w:t>PRESCRIÇÕES DIVERSAS</w:t>
      </w:r>
    </w:p>
    <w:p w14:paraId="289C33A9" w14:textId="77777777" w:rsidR="00192BC6" w:rsidRDefault="00192BC6" w:rsidP="00EF3855">
      <w:pPr>
        <w:pStyle w:val="ITTEXTO2"/>
      </w:pPr>
      <w:r w:rsidRPr="00E5508F">
        <w:t>Nas edificações históricas fica vedado o armazenamento</w:t>
      </w:r>
      <w:r w:rsidR="00D611C1" w:rsidRPr="00E5508F">
        <w:t xml:space="preserve"> </w:t>
      </w:r>
      <w:r w:rsidRPr="00E5508F">
        <w:t>e a comercialização de líquidos inflamáveis e combustíveis em</w:t>
      </w:r>
      <w:r w:rsidR="00D611C1" w:rsidRPr="00E5508F">
        <w:t xml:space="preserve"> </w:t>
      </w:r>
      <w:r w:rsidRPr="00E5508F">
        <w:t>seu interior, bem como a comercialização de fogos de artifício.</w:t>
      </w:r>
    </w:p>
    <w:p w14:paraId="0B76AF4B" w14:textId="77777777" w:rsidR="00192BC6" w:rsidRDefault="00192BC6" w:rsidP="00EF3855">
      <w:pPr>
        <w:pStyle w:val="ITTEXTO2"/>
      </w:pPr>
      <w:r w:rsidRPr="00E5508F">
        <w:t xml:space="preserve">Nos casos de haver </w:t>
      </w:r>
      <w:r w:rsidR="00D611C1" w:rsidRPr="00E5508F">
        <w:t>armazenamento de produtos desti</w:t>
      </w:r>
      <w:r w:rsidRPr="00E5508F">
        <w:t>nados especificamente para</w:t>
      </w:r>
      <w:r w:rsidR="001B5EFD" w:rsidRPr="00E5508F">
        <w:t xml:space="preserve"> restauro, os quais possuam pro</w:t>
      </w:r>
      <w:r w:rsidRPr="00E5508F">
        <w:t>priedades de inflamabilidade, estes devem ser armazenados</w:t>
      </w:r>
      <w:r w:rsidR="001B5EFD" w:rsidRPr="00E5508F">
        <w:t xml:space="preserve"> </w:t>
      </w:r>
      <w:r w:rsidRPr="00E5508F">
        <w:t>em armários metálicos, no interior de salas compartimentadas.</w:t>
      </w:r>
    </w:p>
    <w:p w14:paraId="632F7C01" w14:textId="77777777" w:rsidR="00192BC6" w:rsidRDefault="00192BC6" w:rsidP="00EF3855">
      <w:pPr>
        <w:pStyle w:val="ITTEXTO2"/>
      </w:pPr>
      <w:r w:rsidRPr="00E5508F">
        <w:t>Na impossibilidade de preservação da</w:t>
      </w:r>
      <w:r w:rsidR="008E6078" w:rsidRPr="00E5508F">
        <w:t xml:space="preserve"> </w:t>
      </w:r>
      <w:r w:rsidRPr="00E5508F">
        <w:t>reserva de</w:t>
      </w:r>
      <w:r w:rsidR="001B5EFD" w:rsidRPr="00E5508F">
        <w:t xml:space="preserve"> </w:t>
      </w:r>
      <w:r w:rsidRPr="00E5508F">
        <w:t>incêndio na edificação, em razão da resistência estrutural</w:t>
      </w:r>
      <w:r w:rsidR="001B5EFD" w:rsidRPr="00E5508F">
        <w:t xml:space="preserve"> </w:t>
      </w:r>
      <w:r w:rsidRPr="00E5508F">
        <w:t>do imóvel ou inviabilida</w:t>
      </w:r>
      <w:r w:rsidR="001B5EFD" w:rsidRPr="00E5508F">
        <w:t>de técnica devidamente comprova</w:t>
      </w:r>
      <w:r w:rsidRPr="00E5508F">
        <w:t>da, pode ser aceita a instalação de rede ligada à caixa</w:t>
      </w:r>
      <w:r w:rsidR="001B5EFD" w:rsidRPr="00E5508F">
        <w:t xml:space="preserve"> </w:t>
      </w:r>
      <w:r w:rsidRPr="00E5508F">
        <w:t>d’água existente.</w:t>
      </w:r>
    </w:p>
    <w:p w14:paraId="2FB50F33" w14:textId="77777777" w:rsidR="00192BC6" w:rsidRDefault="00192BC6" w:rsidP="00EF3855">
      <w:pPr>
        <w:pStyle w:val="ITTEXTO2"/>
      </w:pPr>
      <w:r w:rsidRPr="00E5508F">
        <w:t>Recomenda-se ao inte</w:t>
      </w:r>
      <w:r w:rsidR="001B5EFD" w:rsidRPr="00E5508F">
        <w:t>ressado, proprietário, responsá</w:t>
      </w:r>
      <w:r w:rsidRPr="00E5508F">
        <w:t>vel pelo uso ou responsável técnico, a adoção de medidas</w:t>
      </w:r>
      <w:r w:rsidR="001B5EFD" w:rsidRPr="00E5508F">
        <w:t xml:space="preserve"> </w:t>
      </w:r>
      <w:r w:rsidRPr="00E5508F">
        <w:t>visando à instalação, junto da edificação, de hidrante urbano</w:t>
      </w:r>
      <w:r w:rsidR="001B5EFD" w:rsidRPr="00E5508F">
        <w:t xml:space="preserve"> </w:t>
      </w:r>
      <w:r w:rsidRPr="00E5508F">
        <w:t>para uso do Corpo de Bombeiros, conforme a IT</w:t>
      </w:r>
      <w:r w:rsidR="001B5EFD" w:rsidRPr="00E5508F">
        <w:t xml:space="preserve"> 34</w:t>
      </w:r>
      <w:r w:rsidRPr="00E5508F">
        <w:t xml:space="preserve"> –</w:t>
      </w:r>
      <w:r w:rsidR="001B5EFD" w:rsidRPr="00E5508F">
        <w:t xml:space="preserve"> </w:t>
      </w:r>
      <w:r w:rsidRPr="00E5508F">
        <w:t>Hidrante urbano.</w:t>
      </w:r>
    </w:p>
    <w:p w14:paraId="5014F364" w14:textId="77777777" w:rsidR="00192BC6" w:rsidRDefault="00192BC6" w:rsidP="00EF3855">
      <w:pPr>
        <w:pStyle w:val="ITTEXTO2"/>
      </w:pPr>
      <w:r w:rsidRPr="00E5508F">
        <w:t>As instalações elétricas devem atender a norma</w:t>
      </w:r>
      <w:r w:rsidR="001B5EFD" w:rsidRPr="00E5508F">
        <w:t xml:space="preserve"> </w:t>
      </w:r>
      <w:r w:rsidRPr="00E5508F">
        <w:t>NBR 5410 e IT</w:t>
      </w:r>
      <w:r w:rsidR="001B5EFD" w:rsidRPr="00E5508F">
        <w:t xml:space="preserve"> 41</w:t>
      </w:r>
      <w:r w:rsidRPr="00E5508F">
        <w:t xml:space="preserve"> </w:t>
      </w:r>
      <w:r w:rsidR="001B5EFD" w:rsidRPr="00E5508F">
        <w:t>–</w:t>
      </w:r>
      <w:r w:rsidRPr="00E5508F">
        <w:t xml:space="preserve"> Inspeção visual em instalações</w:t>
      </w:r>
      <w:r w:rsidR="001B5EFD" w:rsidRPr="00E5508F">
        <w:t xml:space="preserve"> </w:t>
      </w:r>
      <w:r w:rsidRPr="00E5508F">
        <w:t>elétricas de baixa tensão.</w:t>
      </w:r>
    </w:p>
    <w:p w14:paraId="4ECA1154" w14:textId="77777777" w:rsidR="00192BC6" w:rsidRDefault="00E5508F" w:rsidP="00EF3855">
      <w:pPr>
        <w:pStyle w:val="ITTEXTO2"/>
      </w:pPr>
      <w:r w:rsidRPr="00E5508F">
        <w:t xml:space="preserve"> </w:t>
      </w:r>
      <w:r w:rsidR="00192BC6" w:rsidRPr="00E5508F">
        <w:t>Nos museus e instituições culturais com acervos</w:t>
      </w:r>
      <w:r w:rsidR="001B5EFD" w:rsidRPr="00E5508F">
        <w:t xml:space="preserve"> </w:t>
      </w:r>
      <w:r w:rsidR="00192BC6" w:rsidRPr="00E5508F">
        <w:t>museológicos e similares, devem ser deixadas cópias das</w:t>
      </w:r>
      <w:r w:rsidR="001B5EFD" w:rsidRPr="00E5508F">
        <w:t xml:space="preserve"> </w:t>
      </w:r>
      <w:r w:rsidR="00192BC6" w:rsidRPr="00E5508F">
        <w:t>chaves dos compartimentos no serviço de vigilância ou</w:t>
      </w:r>
      <w:r>
        <w:t xml:space="preserve"> </w:t>
      </w:r>
      <w:r w:rsidR="00192BC6" w:rsidRPr="00E5508F">
        <w:t>guarda (local de fácil acesso), para que se evite arrombamento</w:t>
      </w:r>
      <w:r w:rsidR="001B5EFD" w:rsidRPr="00E5508F">
        <w:t xml:space="preserve"> </w:t>
      </w:r>
      <w:r w:rsidR="00192BC6" w:rsidRPr="00E5508F">
        <w:t>de portas e janelas, bem como facilite o acesso rápido aos</w:t>
      </w:r>
      <w:r w:rsidR="001B5EFD" w:rsidRPr="00E5508F">
        <w:t xml:space="preserve"> </w:t>
      </w:r>
      <w:r w:rsidR="00192BC6" w:rsidRPr="00E5508F">
        <w:t>bens a serem protegidos.</w:t>
      </w:r>
    </w:p>
    <w:p w14:paraId="3907A0BA" w14:textId="77777777" w:rsidR="00192BC6" w:rsidRPr="00E5508F" w:rsidRDefault="00192BC6" w:rsidP="00EF3855">
      <w:pPr>
        <w:pStyle w:val="ittexto3"/>
      </w:pPr>
      <w:r w:rsidRPr="00E5508F">
        <w:t xml:space="preserve"> No mesmo local destinado às cópias das chaves dos</w:t>
      </w:r>
      <w:r w:rsidR="001B5EFD" w:rsidRPr="00E5508F">
        <w:t xml:space="preserve"> </w:t>
      </w:r>
      <w:r w:rsidRPr="00E5508F">
        <w:t>compartimentos, deve-se também prever:</w:t>
      </w:r>
    </w:p>
    <w:p w14:paraId="74ADD7E8" w14:textId="77777777" w:rsidR="00192BC6" w:rsidRPr="00E5508F" w:rsidRDefault="003D0821" w:rsidP="00464837">
      <w:pPr>
        <w:numPr>
          <w:ilvl w:val="0"/>
          <w:numId w:val="4"/>
        </w:numPr>
        <w:spacing w:line="240" w:lineRule="auto"/>
        <w:jc w:val="both"/>
        <w:rPr>
          <w:rFonts w:eastAsia="Arial"/>
          <w:szCs w:val="20"/>
        </w:rPr>
      </w:pPr>
      <w:r w:rsidRPr="00E5508F">
        <w:rPr>
          <w:rFonts w:eastAsia="Arial"/>
          <w:szCs w:val="20"/>
        </w:rPr>
        <w:t>C</w:t>
      </w:r>
      <w:r w:rsidR="00192BC6" w:rsidRPr="00E5508F">
        <w:rPr>
          <w:rFonts w:eastAsia="Arial"/>
          <w:szCs w:val="20"/>
        </w:rPr>
        <w:t>ópia do plano de emergência;</w:t>
      </w:r>
    </w:p>
    <w:p w14:paraId="4C40E567" w14:textId="77777777" w:rsidR="00192BC6" w:rsidRPr="00E5508F" w:rsidRDefault="00885EC5" w:rsidP="00464837">
      <w:pPr>
        <w:numPr>
          <w:ilvl w:val="0"/>
          <w:numId w:val="4"/>
        </w:numPr>
        <w:spacing w:line="240" w:lineRule="auto"/>
        <w:jc w:val="both"/>
        <w:rPr>
          <w:rFonts w:eastAsia="Arial"/>
          <w:szCs w:val="20"/>
        </w:rPr>
      </w:pPr>
      <w:r w:rsidRPr="00E5508F">
        <w:rPr>
          <w:rFonts w:eastAsia="Arial"/>
          <w:szCs w:val="20"/>
        </w:rPr>
        <w:t>Q</w:t>
      </w:r>
      <w:r w:rsidR="00192BC6" w:rsidRPr="00E5508F">
        <w:rPr>
          <w:rFonts w:eastAsia="Arial"/>
          <w:szCs w:val="20"/>
        </w:rPr>
        <w:t>uadro com a relação nominal dos brigadistas e suas</w:t>
      </w:r>
      <w:r w:rsidRPr="00E5508F">
        <w:rPr>
          <w:rFonts w:eastAsia="Arial"/>
          <w:szCs w:val="20"/>
        </w:rPr>
        <w:t xml:space="preserve"> </w:t>
      </w:r>
      <w:r w:rsidR="00192BC6" w:rsidRPr="00E5508F">
        <w:rPr>
          <w:rFonts w:eastAsia="Arial"/>
          <w:szCs w:val="20"/>
        </w:rPr>
        <w:t>respectivas funções (combater incêndio, proteção de</w:t>
      </w:r>
      <w:r w:rsidRPr="00E5508F">
        <w:rPr>
          <w:rFonts w:eastAsia="Arial"/>
          <w:szCs w:val="20"/>
        </w:rPr>
        <w:t xml:space="preserve"> </w:t>
      </w:r>
      <w:r w:rsidR="00192BC6" w:rsidRPr="00E5508F">
        <w:rPr>
          <w:rFonts w:eastAsia="Arial"/>
          <w:szCs w:val="20"/>
        </w:rPr>
        <w:t>salvados etc.) e com os nomes e contatos do(s)</w:t>
      </w:r>
      <w:r w:rsidRPr="00E5508F">
        <w:rPr>
          <w:rFonts w:eastAsia="Arial"/>
          <w:szCs w:val="20"/>
        </w:rPr>
        <w:t xml:space="preserve"> </w:t>
      </w:r>
      <w:r w:rsidR="00192BC6" w:rsidRPr="00E5508F">
        <w:rPr>
          <w:rFonts w:eastAsia="Arial"/>
          <w:szCs w:val="20"/>
        </w:rPr>
        <w:t>diretor(es) e do(s) responsável(is) pelo acervo.</w:t>
      </w:r>
    </w:p>
    <w:p w14:paraId="70AD7FA6" w14:textId="77777777" w:rsidR="00192BC6" w:rsidRPr="00E5508F" w:rsidRDefault="00E5508F" w:rsidP="00EF3855">
      <w:pPr>
        <w:pStyle w:val="ITTEXTO2"/>
      </w:pPr>
      <w:r>
        <w:t xml:space="preserve"> </w:t>
      </w:r>
      <w:r w:rsidR="008E6078" w:rsidRPr="00E5508F">
        <w:t xml:space="preserve"> </w:t>
      </w:r>
      <w:r w:rsidR="00192BC6" w:rsidRPr="00E5508F">
        <w:t>Os seguintes documentos devem ser apresentados ao</w:t>
      </w:r>
      <w:r w:rsidR="00885EC5" w:rsidRPr="00E5508F">
        <w:t xml:space="preserve"> </w:t>
      </w:r>
      <w:r w:rsidR="00192BC6" w:rsidRPr="00E5508F">
        <w:t>Corpo de Bombeiros, além das exigidas pela IT</w:t>
      </w:r>
      <w:r w:rsidR="00885EC5" w:rsidRPr="00E5508F">
        <w:t xml:space="preserve"> 01</w:t>
      </w:r>
      <w:r w:rsidR="00192BC6" w:rsidRPr="00E5508F">
        <w:t xml:space="preserve"> –</w:t>
      </w:r>
      <w:r w:rsidR="00885EC5" w:rsidRPr="00E5508F">
        <w:t xml:space="preserve"> </w:t>
      </w:r>
      <w:r w:rsidR="00192BC6" w:rsidRPr="00E5508F">
        <w:t>Procedimentos administrativos, por ocasião de regularização</w:t>
      </w:r>
      <w:r w:rsidR="00885EC5" w:rsidRPr="00E5508F">
        <w:t xml:space="preserve"> </w:t>
      </w:r>
      <w:r w:rsidR="00192BC6" w:rsidRPr="00E5508F">
        <w:t>da edificação:</w:t>
      </w:r>
    </w:p>
    <w:p w14:paraId="4B06FE56" w14:textId="77777777" w:rsidR="00192BC6" w:rsidRPr="00E5508F" w:rsidRDefault="00885EC5" w:rsidP="00464837">
      <w:pPr>
        <w:numPr>
          <w:ilvl w:val="0"/>
          <w:numId w:val="5"/>
        </w:numPr>
        <w:spacing w:line="240" w:lineRule="auto"/>
        <w:jc w:val="both"/>
        <w:rPr>
          <w:rFonts w:eastAsia="Arial"/>
          <w:szCs w:val="20"/>
        </w:rPr>
      </w:pPr>
      <w:r w:rsidRPr="00E5508F">
        <w:rPr>
          <w:rFonts w:eastAsia="Arial"/>
          <w:szCs w:val="20"/>
        </w:rPr>
        <w:t>C</w:t>
      </w:r>
      <w:r w:rsidR="00192BC6" w:rsidRPr="00E5508F">
        <w:rPr>
          <w:rFonts w:eastAsia="Arial"/>
          <w:szCs w:val="20"/>
        </w:rPr>
        <w:t>ertidão de preservação do imóvel ou documento</w:t>
      </w:r>
      <w:r w:rsidRPr="00E5508F">
        <w:rPr>
          <w:rFonts w:eastAsia="Arial"/>
          <w:szCs w:val="20"/>
        </w:rPr>
        <w:t xml:space="preserve"> </w:t>
      </w:r>
      <w:r w:rsidR="00192BC6" w:rsidRPr="00E5508F">
        <w:rPr>
          <w:rFonts w:eastAsia="Arial"/>
          <w:szCs w:val="20"/>
        </w:rPr>
        <w:t>equivalente;</w:t>
      </w:r>
    </w:p>
    <w:p w14:paraId="66580CF8" w14:textId="77777777" w:rsidR="00192BC6" w:rsidRPr="00E5508F" w:rsidRDefault="00885EC5" w:rsidP="00464837">
      <w:pPr>
        <w:numPr>
          <w:ilvl w:val="0"/>
          <w:numId w:val="5"/>
        </w:numPr>
        <w:spacing w:line="240" w:lineRule="auto"/>
        <w:jc w:val="both"/>
        <w:rPr>
          <w:rFonts w:eastAsia="Arial"/>
          <w:szCs w:val="20"/>
        </w:rPr>
      </w:pPr>
      <w:r w:rsidRPr="00E5508F">
        <w:rPr>
          <w:rFonts w:eastAsia="Arial"/>
          <w:szCs w:val="20"/>
        </w:rPr>
        <w:t>C</w:t>
      </w:r>
      <w:r w:rsidR="00192BC6" w:rsidRPr="00E5508F">
        <w:rPr>
          <w:rFonts w:eastAsia="Arial"/>
          <w:szCs w:val="20"/>
        </w:rPr>
        <w:t>ertidão, lei ou documento oficial onde conste o nível</w:t>
      </w:r>
      <w:r w:rsidRPr="00E5508F">
        <w:rPr>
          <w:rFonts w:eastAsia="Arial"/>
          <w:szCs w:val="20"/>
        </w:rPr>
        <w:t xml:space="preserve"> </w:t>
      </w:r>
      <w:r w:rsidR="00192BC6" w:rsidRPr="00E5508F">
        <w:rPr>
          <w:rFonts w:eastAsia="Arial"/>
          <w:szCs w:val="20"/>
        </w:rPr>
        <w:t>de preservação da edificação, caso esta informação</w:t>
      </w:r>
      <w:r w:rsidRPr="00E5508F">
        <w:rPr>
          <w:rFonts w:eastAsia="Arial"/>
          <w:szCs w:val="20"/>
        </w:rPr>
        <w:t xml:space="preserve"> </w:t>
      </w:r>
      <w:r w:rsidR="00192BC6" w:rsidRPr="00E5508F">
        <w:rPr>
          <w:rFonts w:eastAsia="Arial"/>
          <w:szCs w:val="20"/>
        </w:rPr>
        <w:t>não esteja presente no documento anterior.</w:t>
      </w:r>
    </w:p>
    <w:p w14:paraId="5AF67D3A" w14:textId="77777777" w:rsidR="00192BC6" w:rsidRPr="00E5508F" w:rsidRDefault="008E6078" w:rsidP="00EF3855">
      <w:pPr>
        <w:pStyle w:val="ITTEXTO2"/>
      </w:pPr>
      <w:r w:rsidRPr="00E5508F">
        <w:t xml:space="preserve"> </w:t>
      </w:r>
      <w:r w:rsidR="00192BC6" w:rsidRPr="00E5508F">
        <w:t>Quando o projeto técnico a ser analisado referir-se a</w:t>
      </w:r>
      <w:r w:rsidR="00885EC5" w:rsidRPr="00E5508F">
        <w:t xml:space="preserve"> </w:t>
      </w:r>
      <w:r w:rsidR="00192BC6" w:rsidRPr="00E5508F">
        <w:t>uma edificação que esteja com processo de tombamento em</w:t>
      </w:r>
      <w:r w:rsidR="00885EC5" w:rsidRPr="00E5508F">
        <w:t xml:space="preserve"> </w:t>
      </w:r>
      <w:r w:rsidR="00192BC6" w:rsidRPr="00E5508F">
        <w:t>transcurso, poderá ser analisado através de C</w:t>
      </w:r>
      <w:r w:rsidR="00EF3855">
        <w:t>omissão</w:t>
      </w:r>
      <w:r w:rsidR="00885EC5" w:rsidRPr="00E5508F">
        <w:t xml:space="preserve"> </w:t>
      </w:r>
      <w:r w:rsidR="00192BC6" w:rsidRPr="00E5508F">
        <w:t>T</w:t>
      </w:r>
      <w:r w:rsidR="00885EC5" w:rsidRPr="00E5508F">
        <w:t>écnica</w:t>
      </w:r>
      <w:r w:rsidR="00192BC6" w:rsidRPr="00E5508F">
        <w:t>,</w:t>
      </w:r>
      <w:r w:rsidR="00885EC5" w:rsidRPr="00E5508F">
        <w:t xml:space="preserve"> </w:t>
      </w:r>
      <w:r w:rsidR="00192BC6" w:rsidRPr="00E5508F">
        <w:t>encartando-se os seguintes documentos:</w:t>
      </w:r>
    </w:p>
    <w:p w14:paraId="3D2F12EE" w14:textId="77777777" w:rsidR="00192BC6" w:rsidRPr="00E5508F" w:rsidRDefault="00885EC5" w:rsidP="00464837">
      <w:pPr>
        <w:numPr>
          <w:ilvl w:val="0"/>
          <w:numId w:val="6"/>
        </w:numPr>
        <w:spacing w:line="240" w:lineRule="auto"/>
        <w:jc w:val="both"/>
        <w:rPr>
          <w:rFonts w:eastAsia="Arial"/>
          <w:szCs w:val="20"/>
        </w:rPr>
      </w:pPr>
      <w:r w:rsidRPr="00E5508F">
        <w:rPr>
          <w:rFonts w:eastAsia="Arial"/>
          <w:szCs w:val="20"/>
        </w:rPr>
        <w:t>C</w:t>
      </w:r>
      <w:r w:rsidR="00192BC6" w:rsidRPr="00E5508F">
        <w:rPr>
          <w:rFonts w:eastAsia="Arial"/>
          <w:szCs w:val="20"/>
        </w:rPr>
        <w:t>ertidão ou documento oficial fornecido pelos órgãos</w:t>
      </w:r>
      <w:r w:rsidRPr="00E5508F">
        <w:rPr>
          <w:rFonts w:eastAsia="Arial"/>
          <w:szCs w:val="20"/>
        </w:rPr>
        <w:t xml:space="preserve"> </w:t>
      </w:r>
      <w:r w:rsidR="00192BC6" w:rsidRPr="00E5508F">
        <w:rPr>
          <w:rFonts w:eastAsia="Arial"/>
          <w:szCs w:val="20"/>
        </w:rPr>
        <w:t>técnicos competentes dando conta de ter-se iniciado o</w:t>
      </w:r>
      <w:r w:rsidRPr="00E5508F">
        <w:rPr>
          <w:rFonts w:eastAsia="Arial"/>
          <w:szCs w:val="20"/>
        </w:rPr>
        <w:t xml:space="preserve"> </w:t>
      </w:r>
      <w:r w:rsidR="00192BC6" w:rsidRPr="00E5508F">
        <w:rPr>
          <w:rFonts w:eastAsia="Arial"/>
          <w:szCs w:val="20"/>
        </w:rPr>
        <w:t>processo de tombamento;</w:t>
      </w:r>
    </w:p>
    <w:p w14:paraId="51F60DC6" w14:textId="77777777" w:rsidR="00685752" w:rsidRPr="00E5508F" w:rsidRDefault="00885EC5" w:rsidP="00464837">
      <w:pPr>
        <w:numPr>
          <w:ilvl w:val="0"/>
          <w:numId w:val="6"/>
        </w:numPr>
        <w:spacing w:line="240" w:lineRule="auto"/>
        <w:jc w:val="both"/>
        <w:rPr>
          <w:rFonts w:eastAsia="Arial"/>
          <w:szCs w:val="20"/>
        </w:rPr>
      </w:pPr>
      <w:r w:rsidRPr="00E5508F">
        <w:rPr>
          <w:rFonts w:eastAsia="Arial"/>
          <w:szCs w:val="20"/>
        </w:rPr>
        <w:t>C</w:t>
      </w:r>
      <w:r w:rsidR="00192BC6" w:rsidRPr="00E5508F">
        <w:rPr>
          <w:rFonts w:eastAsia="Arial"/>
          <w:szCs w:val="20"/>
        </w:rPr>
        <w:t>ertidão ou documento oficial emitido pelo órgão</w:t>
      </w:r>
      <w:r w:rsidRPr="00E5508F">
        <w:rPr>
          <w:rFonts w:eastAsia="Arial"/>
          <w:szCs w:val="20"/>
        </w:rPr>
        <w:t xml:space="preserve"> </w:t>
      </w:r>
      <w:r w:rsidR="00192BC6" w:rsidRPr="00E5508F">
        <w:rPr>
          <w:rFonts w:eastAsia="Arial"/>
          <w:szCs w:val="20"/>
        </w:rPr>
        <w:t>técnico que contenha</w:t>
      </w:r>
      <w:r w:rsidRPr="00E5508F">
        <w:rPr>
          <w:rFonts w:eastAsia="Arial"/>
          <w:szCs w:val="20"/>
        </w:rPr>
        <w:t xml:space="preserve"> aprovação e autorização expres</w:t>
      </w:r>
      <w:r w:rsidR="00192BC6" w:rsidRPr="00E5508F">
        <w:rPr>
          <w:rFonts w:eastAsia="Arial"/>
          <w:szCs w:val="20"/>
        </w:rPr>
        <w:t>sa para execução das obras de restauro ou reparo.</w:t>
      </w:r>
    </w:p>
    <w:p w14:paraId="677B528C" w14:textId="77777777" w:rsidR="0019448F" w:rsidRDefault="0019448F" w:rsidP="00EF3855">
      <w:pPr>
        <w:pStyle w:val="ITTEXTO2"/>
      </w:pPr>
      <w:r w:rsidRPr="00E5508F">
        <w:rPr>
          <w:b/>
        </w:rPr>
        <w:t xml:space="preserve"> </w:t>
      </w:r>
      <w:r w:rsidRPr="00E5508F">
        <w:t xml:space="preserve">A cada evento ou exposição temporários exigir-se-á a apresentação de um Projeto Técnico Temporário, em conformidade com o Código de segurança contra incêndio vigente, conforme IT 01 – Procedimentos Administrativos. </w:t>
      </w:r>
    </w:p>
    <w:p w14:paraId="011ABB1A" w14:textId="77777777" w:rsidR="0019448F" w:rsidRPr="00393627" w:rsidRDefault="0019448F" w:rsidP="00EF3855">
      <w:pPr>
        <w:pStyle w:val="ittexto3"/>
      </w:pPr>
      <w:r w:rsidRPr="00393627">
        <w:t>Deverá ainda, se necessário, considerar a adequação do Plano de Emergência já existente.</w:t>
      </w:r>
    </w:p>
    <w:sectPr w:rsidR="0019448F" w:rsidRPr="00393627" w:rsidSect="0099028B">
      <w:headerReference w:type="default" r:id="rId9"/>
      <w:footerReference w:type="default" r:id="rId10"/>
      <w:type w:val="continuous"/>
      <w:pgSz w:w="11906" w:h="16838"/>
      <w:pgMar w:top="1134" w:right="1133" w:bottom="85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CC1838" w14:textId="77777777" w:rsidR="002E5A34" w:rsidRDefault="002E5A34" w:rsidP="005B55F9">
      <w:pPr>
        <w:spacing w:after="0" w:line="240" w:lineRule="auto"/>
      </w:pPr>
      <w:r>
        <w:separator/>
      </w:r>
    </w:p>
  </w:endnote>
  <w:endnote w:type="continuationSeparator" w:id="0">
    <w:p w14:paraId="33E78460" w14:textId="77777777" w:rsidR="002E5A34" w:rsidRDefault="002E5A34" w:rsidP="005B5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10A40" w14:textId="77777777" w:rsidR="00B1186D" w:rsidRPr="007E1F91" w:rsidRDefault="00B1186D" w:rsidP="0099028B">
    <w:pPr>
      <w:pStyle w:val="Rodap"/>
      <w:pBdr>
        <w:top w:val="thinThickSmallGap" w:sz="24" w:space="1" w:color="622423"/>
      </w:pBdr>
      <w:tabs>
        <w:tab w:val="clear" w:pos="4252"/>
        <w:tab w:val="clear" w:pos="8504"/>
        <w:tab w:val="right" w:pos="9356"/>
      </w:tabs>
      <w:rPr>
        <w:rFonts w:ascii="Cambria" w:eastAsia="Times New Roman" w:hAnsi="Cambria"/>
      </w:rPr>
    </w:pPr>
    <w:r>
      <w:rPr>
        <w:rFonts w:ascii="Cambria" w:eastAsia="Times New Roman" w:hAnsi="Cambria"/>
      </w:rPr>
      <w:t xml:space="preserve">Corpo de Bombeiros Militar de </w:t>
    </w:r>
    <w:r w:rsidR="0099028B">
      <w:rPr>
        <w:rFonts w:ascii="Cambria" w:eastAsia="Times New Roman" w:hAnsi="Cambria"/>
      </w:rPr>
      <w:t>A</w:t>
    </w:r>
    <w:r>
      <w:rPr>
        <w:rFonts w:ascii="Cambria" w:eastAsia="Times New Roman" w:hAnsi="Cambria"/>
      </w:rPr>
      <w:t>lagoas</w:t>
    </w:r>
    <w:r w:rsidR="0099028B">
      <w:rPr>
        <w:rFonts w:ascii="Cambria" w:eastAsia="Times New Roman" w:hAnsi="Cambria"/>
      </w:rPr>
      <w:t xml:space="preserve">     </w:t>
    </w:r>
    <w:r w:rsidRPr="007E1F91">
      <w:rPr>
        <w:rFonts w:ascii="Cambria" w:eastAsia="Times New Roman" w:hAnsi="Cambria"/>
      </w:rPr>
      <w:tab/>
      <w:t xml:space="preserve">Página </w:t>
    </w:r>
    <w:r w:rsidRPr="007E1F91">
      <w:rPr>
        <w:rFonts w:eastAsia="Times New Roman"/>
      </w:rPr>
      <w:fldChar w:fldCharType="begin"/>
    </w:r>
    <w:r>
      <w:instrText>PAGE   \* MERGEFORMAT</w:instrText>
    </w:r>
    <w:r w:rsidRPr="007E1F91">
      <w:rPr>
        <w:rFonts w:eastAsia="Times New Roman"/>
      </w:rPr>
      <w:fldChar w:fldCharType="separate"/>
    </w:r>
    <w:r w:rsidR="00F13808" w:rsidRPr="00F13808">
      <w:rPr>
        <w:rFonts w:ascii="Cambria" w:eastAsia="Times New Roman" w:hAnsi="Cambria"/>
        <w:noProof/>
      </w:rPr>
      <w:t>4</w:t>
    </w:r>
    <w:r w:rsidRPr="007E1F91">
      <w:rPr>
        <w:rFonts w:ascii="Cambria" w:eastAsia="Times New Roman" w:hAnsi="Cambria"/>
      </w:rPr>
      <w:fldChar w:fldCharType="end"/>
    </w:r>
  </w:p>
  <w:p w14:paraId="2A530B4C" w14:textId="77777777" w:rsidR="00B1186D" w:rsidRDefault="0099028B" w:rsidP="0099028B">
    <w:pPr>
      <w:pStyle w:val="Rodap"/>
      <w:tabs>
        <w:tab w:val="clear" w:pos="8504"/>
      </w:tabs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F4F93A" w14:textId="77777777" w:rsidR="002E5A34" w:rsidRDefault="002E5A34" w:rsidP="005B55F9">
      <w:pPr>
        <w:spacing w:after="0" w:line="240" w:lineRule="auto"/>
      </w:pPr>
      <w:r>
        <w:separator/>
      </w:r>
    </w:p>
  </w:footnote>
  <w:footnote w:type="continuationSeparator" w:id="0">
    <w:p w14:paraId="44F33C15" w14:textId="77777777" w:rsidR="002E5A34" w:rsidRDefault="002E5A34" w:rsidP="005B5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E3C55" w14:textId="77777777" w:rsidR="006A5EE0" w:rsidRDefault="006A5EE0">
    <w:pPr>
      <w:pStyle w:val="Cabealho"/>
    </w:pPr>
    <w:r>
      <w:rPr>
        <w:noProof/>
      </w:rPr>
      <w:pict w14:anchorId="09AAFDF7">
        <v:group id="Grupo 196" o:spid="_x0000_s1025" style="position:absolute;margin-left:15.65pt;margin-top:10.15pt;width:563.95pt;height:41.75pt;z-index:1;mso-width-percent:950;mso-position-horizontal-relative:page;mso-position-vertical-relative:page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" o:allowincell="f">
          <v:rect id="Rectangle 197" o:spid="_x0000_s1026" style="position:absolute;left:377;top:360;width:9346;height:7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NB5MQA&#10;AADcAAAADwAAAGRycy9kb3ducmV2LnhtbESP0WqDQBRE3wv5h+UG8tasFWKDcQ0lEJDQh5r4ATfu&#10;rUrdu+Juovn7bKHQx2FmzjDZfja9uNPoOssK3tYRCOLa6o4bBdXl+LoF4Tyyxt4yKXiQg32+eMkw&#10;1Xbiku5n34gAYZeigtb7IZXS1S0ZdGs7EAfv244GfZBjI/WIU4CbXsZRlEiDHYeFFgc6tFT/nG9G&#10;wXBKNsVx+17I66e5lV8VxtWMSq2W88cOhKfZ/4f/2oVWEMcJ/J4JR0Dm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DQeTEAAAA3AAAAA8AAAAAAAAAAAAAAAAAmAIAAGRycy9k&#10;b3ducmV2LnhtbFBLBQYAAAAABAAEAPUAAACJAwAAAAA=&#10;" fillcolor="#e46c0a" stroked="f" strokecolor="white" strokeweight="1.5pt">
            <v:textbox>
              <w:txbxContent>
                <w:p w14:paraId="7FDDA719" w14:textId="77777777" w:rsidR="006A5EE0" w:rsidRPr="006A5EE0" w:rsidRDefault="006A5EE0">
                  <w:pPr>
                    <w:pStyle w:val="Cabealho"/>
                    <w:rPr>
                      <w:color w:val="FFFFFF"/>
                      <w:sz w:val="28"/>
                      <w:szCs w:val="28"/>
                    </w:rPr>
                  </w:pPr>
                  <w:r w:rsidRPr="006A5EE0">
                    <w:rPr>
                      <w:color w:val="FFFFFF"/>
                      <w:sz w:val="28"/>
                      <w:szCs w:val="28"/>
                    </w:rPr>
                    <w:t xml:space="preserve">IT 40 CBMAL </w:t>
                  </w:r>
                </w:p>
              </w:txbxContent>
            </v:textbox>
          </v:rect>
          <v:rect id="Rectangle 198" o:spid="_x0000_s1027" style="position:absolute;left:9763;top:360;width:2102;height:7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eL3MQA&#10;AADcAAAADwAAAGRycy9kb3ducmV2LnhtbESPQWvCQBSE7wX/w/IEL0U3jVAluooIgogemnrx9sg+&#10;k2D2bbq7avTXu4VCj8PMfMPMl51pxI2cry0r+BglIIgLq2suFRy/N8MpCB+QNTaWScGDPCwXvbc5&#10;Ztre+YtueShFhLDPUEEVQptJ6YuKDPqRbYmjd7bOYIjSlVI7vEe4aWSaJJ/SYM1xocKW1hUVl/xq&#10;FIT3Kee8/qnpsCuke572Y0l7pQb9bjUDEagL/+G/9lYrSNMJ/J6JR0A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3i9zEAAAA3AAAAA8AAAAAAAAAAAAAAAAAmAIAAGRycy9k&#10;b3ducmV2LnhtbFBLBQYAAAAABAAEAPUAAACJAwAAAAA=&#10;" fillcolor="#9bbb59" stroked="f" strokecolor="white" strokeweight="2pt">
            <v:textbox>
              <w:txbxContent>
                <w:p w14:paraId="0BF78595" w14:textId="77777777" w:rsidR="006A5EE0" w:rsidRPr="006A5EE0" w:rsidRDefault="006A5EE0" w:rsidP="006A5EE0">
                  <w:pPr>
                    <w:pStyle w:val="Cabealho"/>
                    <w:jc w:val="center"/>
                    <w:rPr>
                      <w:color w:val="FFFFFF"/>
                      <w:sz w:val="36"/>
                      <w:szCs w:val="36"/>
                    </w:rPr>
                  </w:pPr>
                  <w:r w:rsidRPr="006A5EE0">
                    <w:rPr>
                      <w:color w:val="FFFFFF"/>
                      <w:sz w:val="36"/>
                      <w:szCs w:val="36"/>
                    </w:rPr>
                    <w:t>202</w:t>
                  </w:r>
                  <w:r w:rsidR="00D25383">
                    <w:rPr>
                      <w:color w:val="FFFFFF"/>
                      <w:sz w:val="36"/>
                      <w:szCs w:val="36"/>
                    </w:rPr>
                    <w:t>1</w:t>
                  </w:r>
                </w:p>
              </w:txbxContent>
            </v:textbox>
          </v:rect>
          <v:rect id="Rectangle 199" o:spid="_x0000_s1028" style="position:absolute;left:330;top:308;width:11586;height:8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VCecEA&#10;AADcAAAADwAAAGRycy9kb3ducmV2LnhtbERPTYvCMBC9L/gfwgheFk2tu6LVKCII4mFhVcTj0Ixt&#10;sZmUJGr99+YgeHy87/myNbW4k/OVZQXDQQKCOLe64kLB8bDpT0D4gKyxtkwKnuRhueh8zTHT9sH/&#10;dN+HQsQQ9hkqKENoMil9XpJBP7ANceQu1hkMEbpCaoePGG5qmSbJWBqsODaU2NC6pPy6vxkFu5/f&#10;5BxOQ3uYXEfTP1d/n8a7m1K9bruagQjUho/47d5qBWka18Yz8Qj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lQnnBAAAA3AAAAA8AAAAAAAAAAAAAAAAAmAIAAGRycy9kb3du&#10;cmV2LnhtbFBLBQYAAAAABAAEAPUAAACGAwAAAAA=&#10;" filled="f" strokeweight="1pt"/>
          <w10:wrap anchorx="page" anchory="margin"/>
        </v:group>
      </w:pict>
    </w:r>
  </w:p>
  <w:p w14:paraId="59AD6377" w14:textId="77777777" w:rsidR="006A5EE0" w:rsidRDefault="006A5EE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C56B5"/>
    <w:multiLevelType w:val="hybridMultilevel"/>
    <w:tmpl w:val="7FE011E4"/>
    <w:lvl w:ilvl="0" w:tplc="C7FEEA62">
      <w:start w:val="1"/>
      <w:numFmt w:val="lowerLetter"/>
      <w:pStyle w:val="LETRAS"/>
      <w:lvlText w:val="%1)"/>
      <w:lvlJc w:val="left"/>
      <w:pPr>
        <w:ind w:left="567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E8B1F5F"/>
    <w:multiLevelType w:val="hybridMultilevel"/>
    <w:tmpl w:val="506CC216"/>
    <w:lvl w:ilvl="0" w:tplc="04160017">
      <w:start w:val="1"/>
      <w:numFmt w:val="lowerLetter"/>
      <w:lvlText w:val="%1)"/>
      <w:lvlJc w:val="left"/>
      <w:pPr>
        <w:ind w:left="567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9073928"/>
    <w:multiLevelType w:val="hybridMultilevel"/>
    <w:tmpl w:val="506CC216"/>
    <w:lvl w:ilvl="0" w:tplc="04160017">
      <w:start w:val="1"/>
      <w:numFmt w:val="lowerLetter"/>
      <w:lvlText w:val="%1)"/>
      <w:lvlJc w:val="left"/>
      <w:pPr>
        <w:ind w:left="567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E8B36A9"/>
    <w:multiLevelType w:val="hybridMultilevel"/>
    <w:tmpl w:val="506CC216"/>
    <w:lvl w:ilvl="0" w:tplc="04160017">
      <w:start w:val="1"/>
      <w:numFmt w:val="lowerLetter"/>
      <w:lvlText w:val="%1)"/>
      <w:lvlJc w:val="left"/>
      <w:pPr>
        <w:ind w:left="567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319A204F"/>
    <w:multiLevelType w:val="hybridMultilevel"/>
    <w:tmpl w:val="66C61628"/>
    <w:lvl w:ilvl="0" w:tplc="19DEC69C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color w:val="00000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D13CE2"/>
    <w:multiLevelType w:val="multilevel"/>
    <w:tmpl w:val="34286C80"/>
    <w:lvl w:ilvl="0">
      <w:start w:val="1"/>
      <w:numFmt w:val="decimal"/>
      <w:pStyle w:val="ITTTULO1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ITTEXTO2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pStyle w:val="itttulo3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pStyle w:val="ittexto4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pStyle w:val="ittexto5"/>
      <w:lvlText w:val="%1.%2.%3.%4.%5."/>
      <w:lvlJc w:val="left"/>
      <w:pPr>
        <w:ind w:left="2232" w:hanging="792"/>
      </w:pPr>
      <w:rPr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10393322">
    <w:abstractNumId w:val="5"/>
  </w:num>
  <w:num w:numId="2" w16cid:durableId="875700182">
    <w:abstractNumId w:val="0"/>
  </w:num>
  <w:num w:numId="3" w16cid:durableId="170949156">
    <w:abstractNumId w:val="4"/>
  </w:num>
  <w:num w:numId="4" w16cid:durableId="2045979719">
    <w:abstractNumId w:val="2"/>
  </w:num>
  <w:num w:numId="5" w16cid:durableId="1514614786">
    <w:abstractNumId w:val="1"/>
  </w:num>
  <w:num w:numId="6" w16cid:durableId="2075426309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GrammaticalErrors/>
  <w:proofState w:spelling="clean" w:grammar="clean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5AFD"/>
    <w:rsid w:val="0000158A"/>
    <w:rsid w:val="00004113"/>
    <w:rsid w:val="00022572"/>
    <w:rsid w:val="000256C7"/>
    <w:rsid w:val="00025774"/>
    <w:rsid w:val="00037E82"/>
    <w:rsid w:val="000647D1"/>
    <w:rsid w:val="00067A32"/>
    <w:rsid w:val="000801FA"/>
    <w:rsid w:val="00083210"/>
    <w:rsid w:val="000A33E8"/>
    <w:rsid w:val="000B219F"/>
    <w:rsid w:val="000C0B76"/>
    <w:rsid w:val="000C74B9"/>
    <w:rsid w:val="000E744C"/>
    <w:rsid w:val="001040E4"/>
    <w:rsid w:val="0010648A"/>
    <w:rsid w:val="001100F7"/>
    <w:rsid w:val="00126D04"/>
    <w:rsid w:val="00136DF3"/>
    <w:rsid w:val="0014000F"/>
    <w:rsid w:val="001425A8"/>
    <w:rsid w:val="00143680"/>
    <w:rsid w:val="00143DC3"/>
    <w:rsid w:val="0018466D"/>
    <w:rsid w:val="00192BC6"/>
    <w:rsid w:val="00192CD0"/>
    <w:rsid w:val="0019307C"/>
    <w:rsid w:val="001941BE"/>
    <w:rsid w:val="0019448F"/>
    <w:rsid w:val="00196FD4"/>
    <w:rsid w:val="001B5EFD"/>
    <w:rsid w:val="001B7DFD"/>
    <w:rsid w:val="001C2EF3"/>
    <w:rsid w:val="001D5FFD"/>
    <w:rsid w:val="001D70ED"/>
    <w:rsid w:val="001F4947"/>
    <w:rsid w:val="001F6A77"/>
    <w:rsid w:val="00211756"/>
    <w:rsid w:val="0021397C"/>
    <w:rsid w:val="00215BB9"/>
    <w:rsid w:val="00230F92"/>
    <w:rsid w:val="0023738C"/>
    <w:rsid w:val="00244660"/>
    <w:rsid w:val="002531F3"/>
    <w:rsid w:val="00255AD3"/>
    <w:rsid w:val="002753FC"/>
    <w:rsid w:val="00285AFD"/>
    <w:rsid w:val="0028666F"/>
    <w:rsid w:val="00287BE2"/>
    <w:rsid w:val="0029402C"/>
    <w:rsid w:val="0029439B"/>
    <w:rsid w:val="002A7344"/>
    <w:rsid w:val="002A7C0B"/>
    <w:rsid w:val="002E5A34"/>
    <w:rsid w:val="002F0BC2"/>
    <w:rsid w:val="002F7CFC"/>
    <w:rsid w:val="003032DE"/>
    <w:rsid w:val="00304019"/>
    <w:rsid w:val="003069BF"/>
    <w:rsid w:val="00316EDA"/>
    <w:rsid w:val="0032286E"/>
    <w:rsid w:val="003247BA"/>
    <w:rsid w:val="00327F72"/>
    <w:rsid w:val="003378A5"/>
    <w:rsid w:val="00350FB9"/>
    <w:rsid w:val="0035611B"/>
    <w:rsid w:val="00360453"/>
    <w:rsid w:val="00362557"/>
    <w:rsid w:val="0036701F"/>
    <w:rsid w:val="0037584D"/>
    <w:rsid w:val="00386F61"/>
    <w:rsid w:val="00391060"/>
    <w:rsid w:val="00391D66"/>
    <w:rsid w:val="00393627"/>
    <w:rsid w:val="00394891"/>
    <w:rsid w:val="003A20DD"/>
    <w:rsid w:val="003B21F8"/>
    <w:rsid w:val="003B34CD"/>
    <w:rsid w:val="003B7D04"/>
    <w:rsid w:val="003C2340"/>
    <w:rsid w:val="003C25FA"/>
    <w:rsid w:val="003C5B71"/>
    <w:rsid w:val="003D0821"/>
    <w:rsid w:val="003D3091"/>
    <w:rsid w:val="003E7CA1"/>
    <w:rsid w:val="003E7EBA"/>
    <w:rsid w:val="003F5E05"/>
    <w:rsid w:val="00404BB0"/>
    <w:rsid w:val="0044022B"/>
    <w:rsid w:val="00441F2D"/>
    <w:rsid w:val="00450E48"/>
    <w:rsid w:val="00452F26"/>
    <w:rsid w:val="00463AB7"/>
    <w:rsid w:val="00464837"/>
    <w:rsid w:val="00465FFE"/>
    <w:rsid w:val="00470BBD"/>
    <w:rsid w:val="00481BA1"/>
    <w:rsid w:val="00487A72"/>
    <w:rsid w:val="004B09B4"/>
    <w:rsid w:val="004B57A1"/>
    <w:rsid w:val="004C014D"/>
    <w:rsid w:val="004D646E"/>
    <w:rsid w:val="004E3A10"/>
    <w:rsid w:val="004E6715"/>
    <w:rsid w:val="004F5AFD"/>
    <w:rsid w:val="00503D84"/>
    <w:rsid w:val="0051196D"/>
    <w:rsid w:val="00522743"/>
    <w:rsid w:val="005271A7"/>
    <w:rsid w:val="0053244F"/>
    <w:rsid w:val="00534612"/>
    <w:rsid w:val="005347DF"/>
    <w:rsid w:val="00553DE1"/>
    <w:rsid w:val="00564316"/>
    <w:rsid w:val="005654E6"/>
    <w:rsid w:val="005758FB"/>
    <w:rsid w:val="00577122"/>
    <w:rsid w:val="00582B50"/>
    <w:rsid w:val="005939EB"/>
    <w:rsid w:val="0059776F"/>
    <w:rsid w:val="005A5383"/>
    <w:rsid w:val="005B55F9"/>
    <w:rsid w:val="005C2807"/>
    <w:rsid w:val="005D488B"/>
    <w:rsid w:val="005D495A"/>
    <w:rsid w:val="005E1F5F"/>
    <w:rsid w:val="005E2E88"/>
    <w:rsid w:val="005E6E3C"/>
    <w:rsid w:val="005E7901"/>
    <w:rsid w:val="00603F08"/>
    <w:rsid w:val="006040A2"/>
    <w:rsid w:val="00606964"/>
    <w:rsid w:val="00606C2E"/>
    <w:rsid w:val="006141D3"/>
    <w:rsid w:val="00626D98"/>
    <w:rsid w:val="006435EB"/>
    <w:rsid w:val="006540A5"/>
    <w:rsid w:val="0066333E"/>
    <w:rsid w:val="00663E5A"/>
    <w:rsid w:val="006735F6"/>
    <w:rsid w:val="006759CF"/>
    <w:rsid w:val="00677A01"/>
    <w:rsid w:val="00685313"/>
    <w:rsid w:val="00685752"/>
    <w:rsid w:val="00691AB5"/>
    <w:rsid w:val="006A0BA7"/>
    <w:rsid w:val="006A16AE"/>
    <w:rsid w:val="006A4B28"/>
    <w:rsid w:val="006A5EE0"/>
    <w:rsid w:val="006A6B27"/>
    <w:rsid w:val="006B1193"/>
    <w:rsid w:val="006B7F99"/>
    <w:rsid w:val="006C4D38"/>
    <w:rsid w:val="006C5F1E"/>
    <w:rsid w:val="006C62C2"/>
    <w:rsid w:val="00704AEC"/>
    <w:rsid w:val="00705452"/>
    <w:rsid w:val="00705F6A"/>
    <w:rsid w:val="00712409"/>
    <w:rsid w:val="00717147"/>
    <w:rsid w:val="007261AD"/>
    <w:rsid w:val="00736C8D"/>
    <w:rsid w:val="007468A6"/>
    <w:rsid w:val="00750883"/>
    <w:rsid w:val="0076791F"/>
    <w:rsid w:val="00782523"/>
    <w:rsid w:val="0078394C"/>
    <w:rsid w:val="00785852"/>
    <w:rsid w:val="00786010"/>
    <w:rsid w:val="00796B8D"/>
    <w:rsid w:val="007A4B90"/>
    <w:rsid w:val="007B26C7"/>
    <w:rsid w:val="007C3563"/>
    <w:rsid w:val="007D5547"/>
    <w:rsid w:val="007E1F91"/>
    <w:rsid w:val="00803318"/>
    <w:rsid w:val="00806387"/>
    <w:rsid w:val="00807AE0"/>
    <w:rsid w:val="00826925"/>
    <w:rsid w:val="00827358"/>
    <w:rsid w:val="00832C07"/>
    <w:rsid w:val="00842C8B"/>
    <w:rsid w:val="008439C3"/>
    <w:rsid w:val="00843A0B"/>
    <w:rsid w:val="00851E9D"/>
    <w:rsid w:val="00853F23"/>
    <w:rsid w:val="00861DEF"/>
    <w:rsid w:val="00862940"/>
    <w:rsid w:val="008728AD"/>
    <w:rsid w:val="00875656"/>
    <w:rsid w:val="0088547A"/>
    <w:rsid w:val="00885EC5"/>
    <w:rsid w:val="008871F4"/>
    <w:rsid w:val="00890365"/>
    <w:rsid w:val="008E049E"/>
    <w:rsid w:val="008E0BC4"/>
    <w:rsid w:val="008E20D3"/>
    <w:rsid w:val="008E6078"/>
    <w:rsid w:val="008E7D16"/>
    <w:rsid w:val="008F2D6D"/>
    <w:rsid w:val="009065DE"/>
    <w:rsid w:val="00926216"/>
    <w:rsid w:val="009263D8"/>
    <w:rsid w:val="00945112"/>
    <w:rsid w:val="00945BC6"/>
    <w:rsid w:val="00952498"/>
    <w:rsid w:val="00960D50"/>
    <w:rsid w:val="009720EF"/>
    <w:rsid w:val="00982CF5"/>
    <w:rsid w:val="00983374"/>
    <w:rsid w:val="0099028B"/>
    <w:rsid w:val="009A1690"/>
    <w:rsid w:val="009A253F"/>
    <w:rsid w:val="009A4C2D"/>
    <w:rsid w:val="009C243D"/>
    <w:rsid w:val="009C76DF"/>
    <w:rsid w:val="009D3A64"/>
    <w:rsid w:val="009F2E8C"/>
    <w:rsid w:val="00A010F2"/>
    <w:rsid w:val="00A01FC6"/>
    <w:rsid w:val="00A0334C"/>
    <w:rsid w:val="00A068C6"/>
    <w:rsid w:val="00A25C2C"/>
    <w:rsid w:val="00A35761"/>
    <w:rsid w:val="00A43B78"/>
    <w:rsid w:val="00A45564"/>
    <w:rsid w:val="00A46E0E"/>
    <w:rsid w:val="00A663F1"/>
    <w:rsid w:val="00AA3C3C"/>
    <w:rsid w:val="00AB554B"/>
    <w:rsid w:val="00AC4861"/>
    <w:rsid w:val="00B05F16"/>
    <w:rsid w:val="00B1186D"/>
    <w:rsid w:val="00B12A96"/>
    <w:rsid w:val="00B1484B"/>
    <w:rsid w:val="00B20DF0"/>
    <w:rsid w:val="00B33B43"/>
    <w:rsid w:val="00B35FAA"/>
    <w:rsid w:val="00B53EE9"/>
    <w:rsid w:val="00B62313"/>
    <w:rsid w:val="00B71A6B"/>
    <w:rsid w:val="00B71E19"/>
    <w:rsid w:val="00B8624C"/>
    <w:rsid w:val="00BA79C5"/>
    <w:rsid w:val="00BB7B8D"/>
    <w:rsid w:val="00BC3134"/>
    <w:rsid w:val="00BD5464"/>
    <w:rsid w:val="00BE46C1"/>
    <w:rsid w:val="00BF0ACA"/>
    <w:rsid w:val="00BF467F"/>
    <w:rsid w:val="00C030D3"/>
    <w:rsid w:val="00C132CB"/>
    <w:rsid w:val="00C1792C"/>
    <w:rsid w:val="00C22984"/>
    <w:rsid w:val="00C33E04"/>
    <w:rsid w:val="00C34A93"/>
    <w:rsid w:val="00C4030E"/>
    <w:rsid w:val="00C44769"/>
    <w:rsid w:val="00C50AFE"/>
    <w:rsid w:val="00C52BF5"/>
    <w:rsid w:val="00C53AC3"/>
    <w:rsid w:val="00C5594B"/>
    <w:rsid w:val="00C55B7C"/>
    <w:rsid w:val="00C56DFB"/>
    <w:rsid w:val="00C72FE8"/>
    <w:rsid w:val="00C77743"/>
    <w:rsid w:val="00C77B26"/>
    <w:rsid w:val="00C8565C"/>
    <w:rsid w:val="00C85B8E"/>
    <w:rsid w:val="00C97FAB"/>
    <w:rsid w:val="00CA37C3"/>
    <w:rsid w:val="00CA39BC"/>
    <w:rsid w:val="00CA655E"/>
    <w:rsid w:val="00CB1826"/>
    <w:rsid w:val="00CB33BB"/>
    <w:rsid w:val="00CC36C4"/>
    <w:rsid w:val="00CC6338"/>
    <w:rsid w:val="00CD3912"/>
    <w:rsid w:val="00CD5B3D"/>
    <w:rsid w:val="00CE0CF3"/>
    <w:rsid w:val="00CE75F4"/>
    <w:rsid w:val="00CF3514"/>
    <w:rsid w:val="00CF59F9"/>
    <w:rsid w:val="00CF69FA"/>
    <w:rsid w:val="00D058EA"/>
    <w:rsid w:val="00D129C5"/>
    <w:rsid w:val="00D25383"/>
    <w:rsid w:val="00D25A41"/>
    <w:rsid w:val="00D32D71"/>
    <w:rsid w:val="00D40E4F"/>
    <w:rsid w:val="00D611C1"/>
    <w:rsid w:val="00D61465"/>
    <w:rsid w:val="00D6389D"/>
    <w:rsid w:val="00D65B9D"/>
    <w:rsid w:val="00D7220E"/>
    <w:rsid w:val="00D779A4"/>
    <w:rsid w:val="00D77AD3"/>
    <w:rsid w:val="00D953B6"/>
    <w:rsid w:val="00D97167"/>
    <w:rsid w:val="00DA16BE"/>
    <w:rsid w:val="00DB53F9"/>
    <w:rsid w:val="00DB7273"/>
    <w:rsid w:val="00DC62A5"/>
    <w:rsid w:val="00DC7BF1"/>
    <w:rsid w:val="00DD0AC3"/>
    <w:rsid w:val="00DD13E2"/>
    <w:rsid w:val="00DD6257"/>
    <w:rsid w:val="00DE6579"/>
    <w:rsid w:val="00E019C4"/>
    <w:rsid w:val="00E02B2D"/>
    <w:rsid w:val="00E0727E"/>
    <w:rsid w:val="00E11905"/>
    <w:rsid w:val="00E13252"/>
    <w:rsid w:val="00E175EA"/>
    <w:rsid w:val="00E249BD"/>
    <w:rsid w:val="00E2605F"/>
    <w:rsid w:val="00E43FDB"/>
    <w:rsid w:val="00E44B57"/>
    <w:rsid w:val="00E5508F"/>
    <w:rsid w:val="00E5750C"/>
    <w:rsid w:val="00E65AC9"/>
    <w:rsid w:val="00E67389"/>
    <w:rsid w:val="00E84823"/>
    <w:rsid w:val="00E9091F"/>
    <w:rsid w:val="00E9182D"/>
    <w:rsid w:val="00EB2E5A"/>
    <w:rsid w:val="00ED2421"/>
    <w:rsid w:val="00ED61C8"/>
    <w:rsid w:val="00EE570B"/>
    <w:rsid w:val="00EF3855"/>
    <w:rsid w:val="00F06147"/>
    <w:rsid w:val="00F13808"/>
    <w:rsid w:val="00F155FD"/>
    <w:rsid w:val="00F17433"/>
    <w:rsid w:val="00F20034"/>
    <w:rsid w:val="00F33640"/>
    <w:rsid w:val="00F43AC9"/>
    <w:rsid w:val="00F479A6"/>
    <w:rsid w:val="00F479F1"/>
    <w:rsid w:val="00F63E2E"/>
    <w:rsid w:val="00F67EA3"/>
    <w:rsid w:val="00F95FC7"/>
    <w:rsid w:val="00FA0F12"/>
    <w:rsid w:val="00FB4B03"/>
    <w:rsid w:val="00FC5A25"/>
    <w:rsid w:val="00FD6860"/>
    <w:rsid w:val="00FD78AF"/>
    <w:rsid w:val="00FE3EC3"/>
    <w:rsid w:val="00FE6F03"/>
    <w:rsid w:val="00FF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2ECA92"/>
  <w15:chartTrackingRefBased/>
  <w15:docId w15:val="{877CA9C7-2EE8-4C09-82B5-EAF742BC5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2CB"/>
    <w:pPr>
      <w:spacing w:before="120" w:after="120" w:line="276" w:lineRule="auto"/>
    </w:pPr>
    <w:rPr>
      <w:rFonts w:ascii="Times New Roman" w:hAnsi="Times New Roman"/>
      <w:szCs w:val="22"/>
      <w:lang w:eastAsia="en-US"/>
    </w:rPr>
  </w:style>
  <w:style w:type="paragraph" w:styleId="Ttulo1">
    <w:name w:val="heading 1"/>
    <w:basedOn w:val="Normal"/>
    <w:link w:val="Ttulo1Char"/>
    <w:uiPriority w:val="1"/>
    <w:qFormat/>
    <w:rsid w:val="00E5750C"/>
    <w:pPr>
      <w:widowControl w:val="0"/>
      <w:spacing w:before="69" w:after="0" w:line="240" w:lineRule="auto"/>
      <w:ind w:left="4644"/>
      <w:outlineLvl w:val="0"/>
    </w:pPr>
    <w:rPr>
      <w:rFonts w:ascii="Arial" w:eastAsia="Arial" w:hAnsi="Arial"/>
      <w:b/>
      <w:bCs/>
      <w:sz w:val="24"/>
      <w:szCs w:val="24"/>
      <w:lang w:val="en-US" w:eastAsia="x-none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132CB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32C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32CB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32CB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85AFD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285AFD"/>
    <w:rPr>
      <w:rFonts w:ascii="Tahoma" w:hAnsi="Tahoma" w:cs="Tahoma"/>
      <w:sz w:val="16"/>
      <w:szCs w:val="16"/>
    </w:rPr>
  </w:style>
  <w:style w:type="character" w:styleId="TextodoEspaoReservado">
    <w:name w:val="Placeholder Text"/>
    <w:uiPriority w:val="99"/>
    <w:semiHidden/>
    <w:rsid w:val="00E9091F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5B55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55F9"/>
  </w:style>
  <w:style w:type="paragraph" w:styleId="Rodap">
    <w:name w:val="footer"/>
    <w:basedOn w:val="Normal"/>
    <w:link w:val="RodapChar"/>
    <w:uiPriority w:val="99"/>
    <w:unhideWhenUsed/>
    <w:rsid w:val="005B55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55F9"/>
  </w:style>
  <w:style w:type="paragraph" w:styleId="PargrafodaLista">
    <w:name w:val="List Paragraph"/>
    <w:basedOn w:val="Normal"/>
    <w:uiPriority w:val="1"/>
    <w:qFormat/>
    <w:rsid w:val="004C014D"/>
    <w:pPr>
      <w:ind w:left="720"/>
      <w:contextualSpacing/>
    </w:pPr>
  </w:style>
  <w:style w:type="character" w:styleId="Refdecomentrio">
    <w:name w:val="annotation reference"/>
    <w:uiPriority w:val="99"/>
    <w:semiHidden/>
    <w:unhideWhenUsed/>
    <w:rsid w:val="005758F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758FB"/>
    <w:pPr>
      <w:spacing w:line="240" w:lineRule="auto"/>
    </w:pPr>
    <w:rPr>
      <w:szCs w:val="20"/>
      <w:lang w:val="x-none" w:eastAsia="x-none"/>
    </w:rPr>
  </w:style>
  <w:style w:type="character" w:customStyle="1" w:styleId="TextodecomentrioChar">
    <w:name w:val="Texto de comentário Char"/>
    <w:link w:val="Textodecomentrio"/>
    <w:uiPriority w:val="99"/>
    <w:semiHidden/>
    <w:rsid w:val="005758F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58FB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5758FB"/>
    <w:rPr>
      <w:b/>
      <w:bCs/>
      <w:sz w:val="20"/>
      <w:szCs w:val="20"/>
    </w:rPr>
  </w:style>
  <w:style w:type="paragraph" w:styleId="Corpodetexto">
    <w:name w:val="Body Text"/>
    <w:basedOn w:val="Normal"/>
    <w:link w:val="CorpodetextoChar"/>
    <w:uiPriority w:val="1"/>
    <w:qFormat/>
    <w:rsid w:val="00D058EA"/>
    <w:pPr>
      <w:widowControl w:val="0"/>
      <w:spacing w:after="0" w:line="240" w:lineRule="auto"/>
      <w:ind w:left="116"/>
    </w:pPr>
    <w:rPr>
      <w:rFonts w:ascii="Arial" w:eastAsia="Arial" w:hAnsi="Arial"/>
      <w:i/>
      <w:sz w:val="18"/>
      <w:szCs w:val="18"/>
      <w:lang w:val="en-US" w:eastAsia="x-none"/>
    </w:rPr>
  </w:style>
  <w:style w:type="character" w:customStyle="1" w:styleId="CorpodetextoChar">
    <w:name w:val="Corpo de texto Char"/>
    <w:link w:val="Corpodetexto"/>
    <w:uiPriority w:val="1"/>
    <w:rsid w:val="00D058EA"/>
    <w:rPr>
      <w:rFonts w:ascii="Arial" w:eastAsia="Arial" w:hAnsi="Arial"/>
      <w:i/>
      <w:sz w:val="18"/>
      <w:szCs w:val="18"/>
      <w:lang w:val="en-US"/>
    </w:rPr>
  </w:style>
  <w:style w:type="table" w:customStyle="1" w:styleId="TableNormal">
    <w:name w:val="Table Normal"/>
    <w:uiPriority w:val="2"/>
    <w:semiHidden/>
    <w:unhideWhenUsed/>
    <w:qFormat/>
    <w:rsid w:val="00E5750C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5750C"/>
    <w:pPr>
      <w:widowControl w:val="0"/>
      <w:spacing w:after="0" w:line="240" w:lineRule="auto"/>
    </w:pPr>
    <w:rPr>
      <w:lang w:val="en-US"/>
    </w:rPr>
  </w:style>
  <w:style w:type="character" w:customStyle="1" w:styleId="Ttulo1Char">
    <w:name w:val="Título 1 Char"/>
    <w:link w:val="Ttulo1"/>
    <w:uiPriority w:val="1"/>
    <w:rsid w:val="00E5750C"/>
    <w:rPr>
      <w:rFonts w:ascii="Arial" w:eastAsia="Arial" w:hAnsi="Arial"/>
      <w:b/>
      <w:bCs/>
      <w:sz w:val="24"/>
      <w:szCs w:val="24"/>
      <w:lang w:val="en-US"/>
    </w:rPr>
  </w:style>
  <w:style w:type="paragraph" w:customStyle="1" w:styleId="Default">
    <w:name w:val="Default"/>
    <w:rsid w:val="0092621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ITTTULO1">
    <w:name w:val="IT TÍTULO 1"/>
    <w:basedOn w:val="Ttulo1"/>
    <w:qFormat/>
    <w:rsid w:val="001F4947"/>
    <w:pPr>
      <w:keepNext/>
      <w:numPr>
        <w:numId w:val="1"/>
      </w:numPr>
      <w:spacing w:before="240" w:after="120" w:line="276" w:lineRule="auto"/>
      <w:ind w:left="357" w:hanging="357"/>
      <w:jc w:val="both"/>
    </w:pPr>
    <w:rPr>
      <w:rFonts w:ascii="Times New Roman" w:hAnsi="Times New Roman"/>
      <w:sz w:val="20"/>
      <w:szCs w:val="20"/>
    </w:rPr>
  </w:style>
  <w:style w:type="paragraph" w:customStyle="1" w:styleId="ITTEXTO2">
    <w:name w:val="IT TEXTO 2"/>
    <w:basedOn w:val="Ttulo2"/>
    <w:qFormat/>
    <w:rsid w:val="001F4947"/>
    <w:pPr>
      <w:numPr>
        <w:ilvl w:val="1"/>
        <w:numId w:val="1"/>
      </w:numPr>
      <w:spacing w:before="120" w:after="120"/>
      <w:ind w:left="0" w:firstLine="0"/>
      <w:jc w:val="both"/>
    </w:pPr>
    <w:rPr>
      <w:rFonts w:ascii="Times New Roman" w:eastAsia="Arial" w:hAnsi="Times New Roman"/>
      <w:b w:val="0"/>
      <w:i w:val="0"/>
      <w:sz w:val="20"/>
      <w:szCs w:val="20"/>
    </w:rPr>
  </w:style>
  <w:style w:type="paragraph" w:customStyle="1" w:styleId="ittexto3">
    <w:name w:val="it texto 3"/>
    <w:basedOn w:val="Ttulo3"/>
    <w:qFormat/>
    <w:rsid w:val="00C132CB"/>
    <w:pPr>
      <w:numPr>
        <w:ilvl w:val="2"/>
        <w:numId w:val="1"/>
      </w:numPr>
      <w:spacing w:before="120" w:after="120"/>
      <w:ind w:left="0" w:firstLine="0"/>
      <w:jc w:val="both"/>
    </w:pPr>
    <w:rPr>
      <w:rFonts w:ascii="Times New Roman" w:eastAsia="Arial" w:hAnsi="Times New Roman"/>
      <w:b w:val="0"/>
      <w:sz w:val="20"/>
      <w:szCs w:val="20"/>
    </w:rPr>
  </w:style>
  <w:style w:type="character" w:customStyle="1" w:styleId="Ttulo2Char">
    <w:name w:val="Título 2 Char"/>
    <w:link w:val="Ttulo2"/>
    <w:uiPriority w:val="9"/>
    <w:semiHidden/>
    <w:rsid w:val="00C132CB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ittexto4">
    <w:name w:val="it texto 4"/>
    <w:basedOn w:val="Ttulo4"/>
    <w:qFormat/>
    <w:rsid w:val="0099028B"/>
    <w:pPr>
      <w:numPr>
        <w:ilvl w:val="3"/>
        <w:numId w:val="1"/>
      </w:numPr>
      <w:spacing w:before="120" w:after="120"/>
      <w:ind w:left="0" w:firstLine="0"/>
      <w:jc w:val="both"/>
    </w:pPr>
    <w:rPr>
      <w:rFonts w:ascii="Times New Roman" w:eastAsia="Arial" w:hAnsi="Times New Roman"/>
      <w:b w:val="0"/>
      <w:sz w:val="20"/>
      <w:szCs w:val="20"/>
    </w:rPr>
  </w:style>
  <w:style w:type="character" w:customStyle="1" w:styleId="Ttulo3Char">
    <w:name w:val="Título 3 Char"/>
    <w:link w:val="Ttulo3"/>
    <w:uiPriority w:val="9"/>
    <w:semiHidden/>
    <w:rsid w:val="00C132C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customStyle="1" w:styleId="ittexto5">
    <w:name w:val="it texto 5"/>
    <w:basedOn w:val="Ttulo5"/>
    <w:qFormat/>
    <w:rsid w:val="0099028B"/>
    <w:pPr>
      <w:keepNext/>
      <w:numPr>
        <w:ilvl w:val="4"/>
        <w:numId w:val="1"/>
      </w:numPr>
      <w:tabs>
        <w:tab w:val="left" w:pos="993"/>
      </w:tabs>
      <w:spacing w:before="120" w:after="120"/>
      <w:ind w:left="0" w:firstLine="0"/>
      <w:jc w:val="both"/>
    </w:pPr>
    <w:rPr>
      <w:rFonts w:ascii="Times New Roman" w:eastAsia="Arial" w:hAnsi="Times New Roman"/>
      <w:b w:val="0"/>
      <w:i w:val="0"/>
      <w:sz w:val="20"/>
      <w:szCs w:val="20"/>
    </w:rPr>
  </w:style>
  <w:style w:type="character" w:customStyle="1" w:styleId="Ttulo4Char">
    <w:name w:val="Título 4 Char"/>
    <w:link w:val="Ttulo4"/>
    <w:uiPriority w:val="9"/>
    <w:semiHidden/>
    <w:rsid w:val="00C132CB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customStyle="1" w:styleId="itttulo3">
    <w:name w:val="it título 3"/>
    <w:basedOn w:val="Ttulo3"/>
    <w:qFormat/>
    <w:rsid w:val="001F4947"/>
    <w:pPr>
      <w:numPr>
        <w:ilvl w:val="2"/>
        <w:numId w:val="1"/>
      </w:numPr>
      <w:spacing w:after="120"/>
      <w:ind w:left="0" w:firstLine="0"/>
      <w:jc w:val="both"/>
    </w:pPr>
    <w:rPr>
      <w:rFonts w:ascii="Times New Roman" w:eastAsia="Arial" w:hAnsi="Times New Roman"/>
      <w:sz w:val="20"/>
      <w:szCs w:val="20"/>
    </w:rPr>
  </w:style>
  <w:style w:type="character" w:customStyle="1" w:styleId="Ttulo5Char">
    <w:name w:val="Título 5 Char"/>
    <w:link w:val="Ttulo5"/>
    <w:uiPriority w:val="9"/>
    <w:semiHidden/>
    <w:rsid w:val="00C132CB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customStyle="1" w:styleId="itcorpo">
    <w:name w:val="it corpo"/>
    <w:basedOn w:val="Normal"/>
    <w:qFormat/>
    <w:rsid w:val="0099028B"/>
    <w:pPr>
      <w:keepNext/>
      <w:keepLines/>
      <w:jc w:val="both"/>
    </w:pPr>
    <w:rPr>
      <w:rFonts w:eastAsia="Arial"/>
      <w:szCs w:val="20"/>
    </w:rPr>
  </w:style>
  <w:style w:type="paragraph" w:customStyle="1" w:styleId="LETRAS">
    <w:name w:val="LETRAS"/>
    <w:basedOn w:val="Normal"/>
    <w:qFormat/>
    <w:rsid w:val="0099028B"/>
    <w:pPr>
      <w:keepNext/>
      <w:numPr>
        <w:numId w:val="2"/>
      </w:numPr>
      <w:jc w:val="both"/>
    </w:pPr>
    <w:rPr>
      <w:rFonts w:eastAsia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3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7775D-C622-4052-B40E-D017A0CDB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1418</Words>
  <Characters>7663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IT 40 CBMAL – Verão 1 – Vigência: Janeiro de 2020</vt:lpstr>
    </vt:vector>
  </TitlesOfParts>
  <Company>Microsoft</Company>
  <LinksUpToDate>false</LinksUpToDate>
  <CharactersWithSpaces>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40 CBMAL – Verão 1 – Vigência: Janeiro de 2020</dc:title>
  <dc:subject/>
  <dc:creator>Rafael Barreto</dc:creator>
  <cp:keywords/>
  <cp:lastModifiedBy>EA - Eliza Castro Lopes Da Silva</cp:lastModifiedBy>
  <cp:revision>2</cp:revision>
  <cp:lastPrinted>2021-04-11T16:38:00Z</cp:lastPrinted>
  <dcterms:created xsi:type="dcterms:W3CDTF">2025-08-22T21:04:00Z</dcterms:created>
  <dcterms:modified xsi:type="dcterms:W3CDTF">2025-08-22T21:04:00Z</dcterms:modified>
</cp:coreProperties>
</file>