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E28C0" w14:textId="77777777" w:rsidR="00783F75" w:rsidRPr="00352664" w:rsidRDefault="00783F75" w:rsidP="0077769A"/>
    <w:p w14:paraId="2AFE0905" w14:textId="77777777" w:rsidR="00783F75" w:rsidRPr="00352664" w:rsidRDefault="00783F75" w:rsidP="0077769A">
      <w:pPr>
        <w:jc w:val="center"/>
      </w:pPr>
      <w:r w:rsidRPr="00783F75">
        <w:rPr>
          <w:noProof/>
          <w:lang w:eastAsia="pt-BR"/>
        </w:rPr>
        <w:pict w14:anchorId="56E06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78.75pt;height:87pt;visibility:visible">
            <v:imagedata r:id="rId9" o:title=""/>
          </v:shape>
        </w:pict>
      </w:r>
    </w:p>
    <w:p w14:paraId="6EACD24A" w14:textId="77777777" w:rsidR="00783F75" w:rsidRPr="00352664" w:rsidRDefault="00783F75" w:rsidP="0077769A"/>
    <w:p w14:paraId="770C5A0A" w14:textId="77777777" w:rsidR="00783F75" w:rsidRPr="0077769A" w:rsidRDefault="00783F75" w:rsidP="0077769A">
      <w:pPr>
        <w:jc w:val="center"/>
        <w:rPr>
          <w:b/>
          <w:sz w:val="32"/>
          <w:szCs w:val="32"/>
        </w:rPr>
      </w:pPr>
      <w:r w:rsidRPr="0077769A">
        <w:rPr>
          <w:b/>
          <w:sz w:val="32"/>
          <w:szCs w:val="32"/>
        </w:rPr>
        <w:t>Corpo de Bombeiros Militar de Alagoas</w:t>
      </w:r>
    </w:p>
    <w:p w14:paraId="2FE726E6" w14:textId="77777777" w:rsidR="00783F75" w:rsidRPr="00783F75" w:rsidRDefault="00783F75" w:rsidP="0077769A"/>
    <w:p w14:paraId="51CC035F" w14:textId="77777777" w:rsidR="00783F75" w:rsidRPr="00783F75" w:rsidRDefault="00783F75" w:rsidP="0077769A"/>
    <w:p w14:paraId="1AAA27BC" w14:textId="77777777" w:rsidR="00946D4D" w:rsidRDefault="00946D4D" w:rsidP="0077769A"/>
    <w:p w14:paraId="0CC31112" w14:textId="77777777" w:rsidR="00946D4D" w:rsidRPr="00783F75" w:rsidRDefault="00946D4D" w:rsidP="0077769A"/>
    <w:p w14:paraId="327294BD" w14:textId="77777777" w:rsidR="00783F75" w:rsidRPr="0077769A" w:rsidRDefault="006B1B59" w:rsidP="0077769A">
      <w:pPr>
        <w:jc w:val="center"/>
        <w:rPr>
          <w:bCs/>
          <w:sz w:val="40"/>
          <w:szCs w:val="40"/>
        </w:rPr>
      </w:pPr>
      <w:r w:rsidRPr="0077769A">
        <w:rPr>
          <w:sz w:val="40"/>
          <w:szCs w:val="40"/>
        </w:rPr>
        <w:t xml:space="preserve">INSTRUÇÃO TÉCNICA Nº </w:t>
      </w:r>
      <w:r w:rsidR="00783F75" w:rsidRPr="0077769A">
        <w:rPr>
          <w:sz w:val="40"/>
          <w:szCs w:val="40"/>
        </w:rPr>
        <w:t>4</w:t>
      </w:r>
      <w:r w:rsidR="00886156" w:rsidRPr="0077769A">
        <w:rPr>
          <w:sz w:val="40"/>
          <w:szCs w:val="40"/>
        </w:rPr>
        <w:t>1</w:t>
      </w:r>
      <w:r w:rsidR="00783F75" w:rsidRPr="0077769A">
        <w:rPr>
          <w:sz w:val="40"/>
          <w:szCs w:val="40"/>
        </w:rPr>
        <w:t>/20</w:t>
      </w:r>
      <w:r w:rsidR="00F930B8" w:rsidRPr="0077769A">
        <w:rPr>
          <w:sz w:val="40"/>
          <w:szCs w:val="40"/>
        </w:rPr>
        <w:t>2</w:t>
      </w:r>
      <w:r w:rsidR="007A3D02" w:rsidRPr="0077769A">
        <w:rPr>
          <w:sz w:val="40"/>
          <w:szCs w:val="40"/>
        </w:rPr>
        <w:t>1</w:t>
      </w:r>
    </w:p>
    <w:p w14:paraId="70C0EF26" w14:textId="77777777" w:rsidR="001D37C3" w:rsidRPr="0077769A" w:rsidRDefault="001D37C3" w:rsidP="0077769A">
      <w:pPr>
        <w:jc w:val="center"/>
        <w:rPr>
          <w:sz w:val="40"/>
          <w:szCs w:val="40"/>
        </w:rPr>
      </w:pPr>
    </w:p>
    <w:p w14:paraId="34A37280" w14:textId="77777777" w:rsidR="001D37C3" w:rsidRPr="0077769A" w:rsidRDefault="00886156" w:rsidP="0077769A">
      <w:pPr>
        <w:jc w:val="center"/>
        <w:rPr>
          <w:b/>
          <w:sz w:val="40"/>
          <w:szCs w:val="40"/>
        </w:rPr>
      </w:pPr>
      <w:r w:rsidRPr="0077769A">
        <w:rPr>
          <w:b/>
          <w:sz w:val="40"/>
          <w:szCs w:val="40"/>
        </w:rPr>
        <w:t>Inspeção visual em instalações elétricas de baixa tensão</w:t>
      </w:r>
    </w:p>
    <w:p w14:paraId="7D6C6F57" w14:textId="77777777" w:rsidR="00783F75" w:rsidRPr="00886156" w:rsidRDefault="00783F75" w:rsidP="0077769A"/>
    <w:p w14:paraId="43F84A73" w14:textId="77777777" w:rsidR="00886156" w:rsidRPr="00F24037" w:rsidRDefault="00886156" w:rsidP="0077769A">
      <w:pPr>
        <w:tabs>
          <w:tab w:val="left" w:pos="426"/>
        </w:tabs>
        <w:rPr>
          <w:b/>
        </w:rPr>
      </w:pPr>
      <w:r w:rsidRPr="00F24037">
        <w:rPr>
          <w:b/>
        </w:rPr>
        <w:t>SUMÁRIO</w:t>
      </w:r>
    </w:p>
    <w:p w14:paraId="274D02B5" w14:textId="77777777" w:rsidR="0077769A" w:rsidRDefault="0077769A" w:rsidP="0077769A">
      <w:pPr>
        <w:tabs>
          <w:tab w:val="left" w:pos="426"/>
        </w:tabs>
      </w:pPr>
    </w:p>
    <w:p w14:paraId="506DA6EE" w14:textId="77777777" w:rsidR="00886156" w:rsidRPr="006213C7" w:rsidRDefault="00886156" w:rsidP="0077769A">
      <w:pPr>
        <w:numPr>
          <w:ilvl w:val="0"/>
          <w:numId w:val="15"/>
        </w:numPr>
        <w:tabs>
          <w:tab w:val="left" w:pos="426"/>
        </w:tabs>
        <w:ind w:left="0" w:firstLine="0"/>
      </w:pPr>
      <w:r w:rsidRPr="006213C7">
        <w:t>Objetivo</w:t>
      </w:r>
    </w:p>
    <w:p w14:paraId="19A9D5C0" w14:textId="77777777" w:rsidR="00886156" w:rsidRPr="006213C7" w:rsidRDefault="00886156" w:rsidP="0077769A">
      <w:pPr>
        <w:numPr>
          <w:ilvl w:val="0"/>
          <w:numId w:val="15"/>
        </w:numPr>
        <w:tabs>
          <w:tab w:val="left" w:pos="426"/>
        </w:tabs>
        <w:ind w:left="0" w:firstLine="0"/>
      </w:pPr>
      <w:r w:rsidRPr="006213C7">
        <w:t>Premissas</w:t>
      </w:r>
    </w:p>
    <w:p w14:paraId="2379DFB3" w14:textId="77777777" w:rsidR="00886156" w:rsidRPr="006213C7" w:rsidRDefault="00886156" w:rsidP="0077769A">
      <w:pPr>
        <w:numPr>
          <w:ilvl w:val="0"/>
          <w:numId w:val="15"/>
        </w:numPr>
        <w:tabs>
          <w:tab w:val="left" w:pos="426"/>
        </w:tabs>
        <w:ind w:left="0" w:firstLine="0"/>
      </w:pPr>
      <w:r w:rsidRPr="006213C7">
        <w:t>Aplicação</w:t>
      </w:r>
    </w:p>
    <w:p w14:paraId="15878B4E" w14:textId="77777777" w:rsidR="00886156" w:rsidRPr="006213C7" w:rsidRDefault="00886156" w:rsidP="0077769A">
      <w:pPr>
        <w:numPr>
          <w:ilvl w:val="0"/>
          <w:numId w:val="15"/>
        </w:numPr>
        <w:tabs>
          <w:tab w:val="left" w:pos="426"/>
        </w:tabs>
        <w:ind w:left="0" w:firstLine="0"/>
      </w:pPr>
      <w:r w:rsidRPr="006213C7">
        <w:t>Referências bibliográficas</w:t>
      </w:r>
    </w:p>
    <w:p w14:paraId="0BF7E86F" w14:textId="77777777" w:rsidR="00886156" w:rsidRPr="006213C7" w:rsidRDefault="00886156" w:rsidP="0077769A">
      <w:pPr>
        <w:numPr>
          <w:ilvl w:val="0"/>
          <w:numId w:val="15"/>
        </w:numPr>
        <w:tabs>
          <w:tab w:val="left" w:pos="426"/>
        </w:tabs>
        <w:ind w:left="0" w:firstLine="0"/>
      </w:pPr>
      <w:r w:rsidRPr="006213C7">
        <w:t>Definições</w:t>
      </w:r>
    </w:p>
    <w:p w14:paraId="409CAD89" w14:textId="77777777" w:rsidR="00886156" w:rsidRPr="006213C7" w:rsidRDefault="00886156" w:rsidP="0077769A">
      <w:pPr>
        <w:numPr>
          <w:ilvl w:val="0"/>
          <w:numId w:val="15"/>
        </w:numPr>
        <w:tabs>
          <w:tab w:val="left" w:pos="426"/>
        </w:tabs>
        <w:ind w:left="0" w:firstLine="0"/>
      </w:pPr>
      <w:r w:rsidRPr="006213C7">
        <w:t>Inspeção visual nas instalações elétricas em geral</w:t>
      </w:r>
    </w:p>
    <w:p w14:paraId="55BA37FC" w14:textId="77777777" w:rsidR="00886156" w:rsidRPr="006213C7" w:rsidRDefault="00886156" w:rsidP="0077769A">
      <w:pPr>
        <w:numPr>
          <w:ilvl w:val="0"/>
          <w:numId w:val="15"/>
        </w:numPr>
        <w:tabs>
          <w:tab w:val="left" w:pos="426"/>
        </w:tabs>
        <w:ind w:left="0" w:firstLine="0"/>
      </w:pPr>
      <w:r w:rsidRPr="006213C7">
        <w:t>Instalações elétricas dos serviços de segurança contra incêndio</w:t>
      </w:r>
    </w:p>
    <w:p w14:paraId="6402A8DE" w14:textId="77777777" w:rsidR="00886156" w:rsidRPr="006213C7" w:rsidRDefault="00886156" w:rsidP="0077769A">
      <w:pPr>
        <w:numPr>
          <w:ilvl w:val="0"/>
          <w:numId w:val="15"/>
        </w:numPr>
        <w:tabs>
          <w:tab w:val="left" w:pos="426"/>
        </w:tabs>
        <w:ind w:left="0" w:firstLine="0"/>
      </w:pPr>
      <w:r w:rsidRPr="006213C7">
        <w:t>Documentação</w:t>
      </w:r>
    </w:p>
    <w:p w14:paraId="5515432F" w14:textId="77777777" w:rsidR="00886156" w:rsidRPr="006213C7" w:rsidRDefault="00886156" w:rsidP="0077769A">
      <w:pPr>
        <w:tabs>
          <w:tab w:val="left" w:pos="426"/>
        </w:tabs>
      </w:pPr>
    </w:p>
    <w:p w14:paraId="2BBF498D" w14:textId="77777777" w:rsidR="00886156" w:rsidRPr="00F24037" w:rsidRDefault="00886156" w:rsidP="0077769A">
      <w:pPr>
        <w:tabs>
          <w:tab w:val="left" w:pos="426"/>
        </w:tabs>
        <w:rPr>
          <w:b/>
        </w:rPr>
      </w:pPr>
      <w:r w:rsidRPr="00F24037">
        <w:rPr>
          <w:b/>
        </w:rPr>
        <w:t>ANEXO</w:t>
      </w:r>
    </w:p>
    <w:p w14:paraId="64757A24" w14:textId="77777777" w:rsidR="00886156" w:rsidRDefault="00886156" w:rsidP="0077769A">
      <w:pPr>
        <w:numPr>
          <w:ilvl w:val="0"/>
          <w:numId w:val="16"/>
        </w:numPr>
        <w:tabs>
          <w:tab w:val="left" w:pos="426"/>
        </w:tabs>
        <w:ind w:left="0" w:firstLine="0"/>
      </w:pPr>
      <w:r w:rsidRPr="006213C7">
        <w:t>Atestado de conformidade da instalação elétrica</w:t>
      </w:r>
    </w:p>
    <w:p w14:paraId="09DBA1B4" w14:textId="77777777" w:rsidR="00582DD8" w:rsidRDefault="00582DD8" w:rsidP="00582DD8">
      <w:pPr>
        <w:tabs>
          <w:tab w:val="left" w:pos="426"/>
        </w:tabs>
      </w:pPr>
    </w:p>
    <w:p w14:paraId="49D73C13" w14:textId="77777777" w:rsidR="00F24037" w:rsidRDefault="00F24037" w:rsidP="00582DD8">
      <w:pPr>
        <w:tabs>
          <w:tab w:val="left" w:pos="426"/>
        </w:tabs>
      </w:pPr>
    </w:p>
    <w:p w14:paraId="61287BE4" w14:textId="77777777" w:rsidR="000F3C57" w:rsidRDefault="000F3C57" w:rsidP="00582DD8">
      <w:pPr>
        <w:tabs>
          <w:tab w:val="left" w:pos="426"/>
        </w:tabs>
      </w:pPr>
    </w:p>
    <w:p w14:paraId="6925D59C" w14:textId="77777777" w:rsidR="000F3C57" w:rsidRPr="006213C7" w:rsidRDefault="000F3C57" w:rsidP="00582DD8">
      <w:pPr>
        <w:tabs>
          <w:tab w:val="left" w:pos="426"/>
        </w:tabs>
      </w:pPr>
    </w:p>
    <w:p w14:paraId="6B809E35" w14:textId="77777777" w:rsidR="00DD0C59" w:rsidRDefault="00DD0C59" w:rsidP="0077769A"/>
    <w:p w14:paraId="40423D9B" w14:textId="77777777" w:rsidR="00582DD8" w:rsidRPr="006213C7" w:rsidRDefault="00582DD8" w:rsidP="0077769A">
      <w:pPr>
        <w:sectPr w:rsidR="00582DD8" w:rsidRPr="006213C7" w:rsidSect="00F24037">
          <w:headerReference w:type="default" r:id="rId10"/>
          <w:footerReference w:type="default" r:id="rId11"/>
          <w:type w:val="continuous"/>
          <w:pgSz w:w="11906" w:h="16838"/>
          <w:pgMar w:top="1134" w:right="991" w:bottom="1134" w:left="1276" w:header="708" w:footer="708" w:gutter="0"/>
          <w:cols w:space="708"/>
          <w:titlePg/>
          <w:docGrid w:linePitch="360"/>
        </w:sectPr>
      </w:pPr>
    </w:p>
    <w:p w14:paraId="484241F1" w14:textId="77777777" w:rsidR="00886156" w:rsidRPr="006213C7" w:rsidRDefault="00886156" w:rsidP="000F3C57">
      <w:pPr>
        <w:pStyle w:val="ITTTULO1"/>
      </w:pPr>
      <w:r w:rsidRPr="006213C7">
        <w:lastRenderedPageBreak/>
        <w:t>OBJETIVO</w:t>
      </w:r>
    </w:p>
    <w:p w14:paraId="30E8A433" w14:textId="77777777" w:rsidR="0018404C" w:rsidRDefault="00886156" w:rsidP="0077769A">
      <w:r w:rsidRPr="006213C7">
        <w:t xml:space="preserve">Estabelecer parâmetros para a realização de inspeção visual (básica) das instalações elétricas de baixa tensão das edificações e áreas de risco, </w:t>
      </w:r>
      <w:r w:rsidR="0018404C" w:rsidRPr="006213C7">
        <w:t xml:space="preserve">atendendo às exigências previstas no Decreto </w:t>
      </w:r>
      <w:r w:rsidR="0018404C" w:rsidRPr="0077769A">
        <w:t>Estadual</w:t>
      </w:r>
      <w:r w:rsidR="0018404C" w:rsidRPr="006213C7">
        <w:t xml:space="preserve"> n° 55.175 de 15 de setembro de 2017 - Institui o Código de Segurança Contra Incêndio Emergência no Estado de Alagoas – COSCIE.</w:t>
      </w:r>
    </w:p>
    <w:p w14:paraId="67F016B6" w14:textId="77777777" w:rsidR="00886156" w:rsidRDefault="00886156" w:rsidP="000F3C57">
      <w:pPr>
        <w:pStyle w:val="ITTTULO1"/>
      </w:pPr>
      <w:r w:rsidRPr="006213C7">
        <w:t>PREMISSAS</w:t>
      </w:r>
    </w:p>
    <w:p w14:paraId="00A42A53" w14:textId="77777777" w:rsidR="00886156" w:rsidRPr="006213C7" w:rsidRDefault="00886156" w:rsidP="0077769A">
      <w:pPr>
        <w:pStyle w:val="ITYEXTO2"/>
        <w:rPr>
          <w:b/>
        </w:rPr>
      </w:pPr>
      <w:r w:rsidRPr="006213C7">
        <w:t>A instalação elétrica de baixa tensão a ser avaliada deve atender às prescrições da norma NBR 5410/04 e aos regulamentos das autoridades e das concessionárias de energia elétrica.</w:t>
      </w:r>
    </w:p>
    <w:p w14:paraId="34F85C57" w14:textId="77777777" w:rsidR="00886156" w:rsidRPr="006213C7" w:rsidRDefault="006213C7" w:rsidP="0077769A">
      <w:pPr>
        <w:pStyle w:val="ITYEXTO2"/>
        <w:rPr>
          <w:b/>
        </w:rPr>
      </w:pPr>
      <w:r>
        <w:rPr>
          <w:b/>
        </w:rPr>
        <w:t xml:space="preserve"> </w:t>
      </w:r>
      <w:r w:rsidR="00886156" w:rsidRPr="006213C7">
        <w:t>A inspeção visual exigida pelo Corpo de Bombeiros nas instalações elétricas prediais de baixa tensão visa verificar a existência de medidas e dispositivos essenciais à proteção das pessoas e das instalações elétricas contra possíveis situações de choques elétricos e de risco de incêndio.</w:t>
      </w:r>
    </w:p>
    <w:p w14:paraId="36FB3333" w14:textId="77777777" w:rsidR="00886156" w:rsidRPr="006213C7" w:rsidRDefault="006213C7" w:rsidP="0077769A">
      <w:pPr>
        <w:pStyle w:val="ITYEXTO2"/>
        <w:rPr>
          <w:b/>
        </w:rPr>
      </w:pPr>
      <w:r>
        <w:rPr>
          <w:b/>
        </w:rPr>
        <w:t xml:space="preserve"> </w:t>
      </w:r>
      <w:r w:rsidR="00886156" w:rsidRPr="006213C7">
        <w:t>A inspeçã</w:t>
      </w:r>
      <w:r w:rsidR="0018404C" w:rsidRPr="006213C7">
        <w:t>o visual nos termos desta Instrução Técnica (IT)</w:t>
      </w:r>
      <w:r w:rsidR="00886156" w:rsidRPr="006213C7">
        <w:t xml:space="preserve"> não significa que a instalação atende a todas prescrições normativas e legislações pertinentes, pelas próprias características dessa inspeção, que é parcial.</w:t>
      </w:r>
    </w:p>
    <w:p w14:paraId="5DE7F657" w14:textId="77777777" w:rsidR="00886156" w:rsidRPr="006213C7" w:rsidRDefault="00886156" w:rsidP="0077769A">
      <w:pPr>
        <w:pStyle w:val="ITYEXTO2"/>
        <w:rPr>
          <w:b/>
        </w:rPr>
      </w:pPr>
      <w:r w:rsidRPr="006213C7">
        <w:t>Cabe ao responsável técnico contratado, a respectiva responsabilidade quanto ao projeto, à execução e à manutenção da instalação, conforme prescrições normativas e legislações pertinentes.</w:t>
      </w:r>
    </w:p>
    <w:p w14:paraId="26E262CA" w14:textId="77777777" w:rsidR="00886156" w:rsidRPr="00636851" w:rsidRDefault="00886156" w:rsidP="0077769A">
      <w:pPr>
        <w:pStyle w:val="ITTEXTO3"/>
        <w:rPr>
          <w:rFonts w:eastAsia="Arial"/>
          <w:b/>
        </w:rPr>
      </w:pPr>
      <w:r w:rsidRPr="006213C7">
        <w:rPr>
          <w:rFonts w:eastAsia="Arial"/>
        </w:rPr>
        <w:t>Cabe ao proprietário ou ao responsável pelo uso do imóvel a manutenção e a utilização adequada das instalações elétricas.</w:t>
      </w:r>
    </w:p>
    <w:p w14:paraId="55F4AA89" w14:textId="77777777" w:rsidR="00886156" w:rsidRDefault="00886156" w:rsidP="000F3C57">
      <w:pPr>
        <w:pStyle w:val="ITTTULO1"/>
      </w:pPr>
      <w:r w:rsidRPr="0077769A">
        <w:t>APLICAÇÃO</w:t>
      </w:r>
    </w:p>
    <w:p w14:paraId="263F2ABB" w14:textId="77777777" w:rsidR="00886156" w:rsidRPr="006213C7" w:rsidRDefault="00886156" w:rsidP="0077769A">
      <w:pPr>
        <w:pStyle w:val="ITYEXTO2"/>
        <w:rPr>
          <w:b/>
        </w:rPr>
      </w:pPr>
      <w:r w:rsidRPr="006213C7">
        <w:t>Esta Instrução Técnica (IT) aplica-se às edificações e áreas de risco que possuam sistemas elétricos de baixa tensão instalados.</w:t>
      </w:r>
    </w:p>
    <w:p w14:paraId="6056FD0E" w14:textId="77777777" w:rsidR="00886156" w:rsidRPr="00636851" w:rsidRDefault="00886156" w:rsidP="0077769A">
      <w:pPr>
        <w:pStyle w:val="ITTEXTO3"/>
        <w:rPr>
          <w:rFonts w:eastAsia="Arial"/>
          <w:b/>
        </w:rPr>
      </w:pPr>
      <w:r w:rsidRPr="006213C7">
        <w:rPr>
          <w:rFonts w:eastAsia="Arial"/>
        </w:rPr>
        <w:t>Para as edificações e áreas de risco existentes, quando da renovação do A</w:t>
      </w:r>
      <w:r w:rsidR="00F05550" w:rsidRPr="006213C7">
        <w:rPr>
          <w:rFonts w:eastAsia="Arial"/>
        </w:rPr>
        <w:t>lvará</w:t>
      </w:r>
      <w:r w:rsidRPr="006213C7">
        <w:rPr>
          <w:rFonts w:eastAsia="Arial"/>
        </w:rPr>
        <w:t xml:space="preserve"> de Vistoria do Corpo de Bombeiros (AVCB), as exigências dos itens 6.1, 6.2, 6.3, 6.7, 6.8, 7.1 e 8 devem ser atendidas.</w:t>
      </w:r>
    </w:p>
    <w:p w14:paraId="0436F9FA" w14:textId="77777777" w:rsidR="00886156" w:rsidRPr="006213C7" w:rsidRDefault="00886156" w:rsidP="000F3C57">
      <w:pPr>
        <w:pStyle w:val="ITTTULO1"/>
      </w:pPr>
      <w:r w:rsidRPr="006213C7">
        <w:t>REFERÊNCIAS BIBLIOGRÁFICAS</w:t>
      </w:r>
    </w:p>
    <w:p w14:paraId="4C2090E9" w14:textId="77777777" w:rsidR="00886156" w:rsidRPr="006213C7" w:rsidRDefault="00886156" w:rsidP="0077769A">
      <w:r w:rsidRPr="006213C7">
        <w:t>Instrução Técnica nº 41 do Corpo de Bombeiros da Polícia Militar do Estado de São Paulo</w:t>
      </w:r>
      <w:r w:rsidR="00AF6D22" w:rsidRPr="006213C7">
        <w:t xml:space="preserve"> – Inspeção visual em instalações elétricas de baixa tensão</w:t>
      </w:r>
      <w:r w:rsidRPr="006213C7">
        <w:t>.</w:t>
      </w:r>
    </w:p>
    <w:p w14:paraId="1864111D" w14:textId="77777777" w:rsidR="00886156" w:rsidRPr="006213C7" w:rsidRDefault="00F05550" w:rsidP="0077769A">
      <w:r w:rsidRPr="006213C7">
        <w:t>Instrução Técnica nº 20</w:t>
      </w:r>
      <w:r w:rsidR="00886156" w:rsidRPr="006213C7">
        <w:t xml:space="preserve"> Corpo de Bombeiros do Estado de São Paulo</w:t>
      </w:r>
      <w:r w:rsidR="00AF6D22" w:rsidRPr="006213C7">
        <w:t xml:space="preserve"> – Sinalização de emergência</w:t>
      </w:r>
      <w:r w:rsidR="00886156" w:rsidRPr="006213C7">
        <w:t>.</w:t>
      </w:r>
    </w:p>
    <w:p w14:paraId="51F1508A" w14:textId="77777777" w:rsidR="00886156" w:rsidRPr="006213C7" w:rsidRDefault="00886156" w:rsidP="0077769A">
      <w:r w:rsidRPr="006213C7">
        <w:t>Lei Federal nº 11.337, de 26 de julho de 2006 – determina a obrigatoriedade de as edificações possuírem sistema de aterramento e instalações elétricas compatíveis com a utilização de condutor-terra de proteção, bem como torna obrigatória a existência de condutor-terra de proteção nos aparelhos elétricos que especifica.</w:t>
      </w:r>
    </w:p>
    <w:p w14:paraId="31AB9128" w14:textId="77777777" w:rsidR="00886156" w:rsidRPr="006213C7" w:rsidRDefault="00886156" w:rsidP="0077769A">
      <w:r w:rsidRPr="006213C7">
        <w:t>NBR 5410 – Instalações elétricas de baixa tensão.</w:t>
      </w:r>
    </w:p>
    <w:p w14:paraId="1DEC68E6" w14:textId="77777777" w:rsidR="00886156" w:rsidRPr="006213C7" w:rsidRDefault="00886156" w:rsidP="0077769A">
      <w:r w:rsidRPr="006213C7">
        <w:t>NBR 5419 – Proteção de estruturas contra descargas atmosféricas.</w:t>
      </w:r>
    </w:p>
    <w:p w14:paraId="11811055" w14:textId="77777777" w:rsidR="00886156" w:rsidRPr="006213C7" w:rsidRDefault="00886156" w:rsidP="0077769A">
      <w:r w:rsidRPr="006213C7">
        <w:t>NBR 13418 – Cabos resistentes ao fogo para instalações de segurança.</w:t>
      </w:r>
    </w:p>
    <w:p w14:paraId="1F5C3904" w14:textId="77777777" w:rsidR="00886156" w:rsidRPr="006213C7" w:rsidRDefault="00886156" w:rsidP="0077769A">
      <w:r w:rsidRPr="006213C7">
        <w:t>NBR 13534 – Instalações elétricas em de baixa tensão para instalações em estabelecimentos assistenciais e de saúde.</w:t>
      </w:r>
    </w:p>
    <w:p w14:paraId="30040168" w14:textId="77777777" w:rsidR="00886156" w:rsidRPr="006213C7" w:rsidRDefault="00886156" w:rsidP="0077769A">
      <w:r w:rsidRPr="006213C7">
        <w:t>NBR 13570 – Instalações elétricas em locais de afluência de público – requisitos específicos.</w:t>
      </w:r>
    </w:p>
    <w:p w14:paraId="24B6BA0A" w14:textId="77777777" w:rsidR="00886156" w:rsidRPr="006213C7" w:rsidRDefault="00886156" w:rsidP="0077769A">
      <w:r w:rsidRPr="006213C7">
        <w:t>NBR IEC 60050-826 – Vocabulário eletrotécnico internacional – instalações elétricas em edificações.</w:t>
      </w:r>
    </w:p>
    <w:p w14:paraId="110BE182" w14:textId="77777777" w:rsidR="00886156" w:rsidRDefault="00886156" w:rsidP="0077769A">
      <w:r w:rsidRPr="006213C7">
        <w:t>NBR IEC 60079-14 – Atmosferas explosivas – Parte 14: projeto, seleção e montagem de instalações elétricas.</w:t>
      </w:r>
    </w:p>
    <w:p w14:paraId="0FD703D5" w14:textId="77777777" w:rsidR="006213C7" w:rsidRDefault="00886156" w:rsidP="000F3C57">
      <w:pPr>
        <w:pStyle w:val="ITTTULO1"/>
      </w:pPr>
      <w:r w:rsidRPr="006213C7">
        <w:t>DEFINIÇÕES</w:t>
      </w:r>
    </w:p>
    <w:p w14:paraId="46BAC06B" w14:textId="77777777" w:rsidR="00886156" w:rsidRPr="006213C7" w:rsidRDefault="00886156" w:rsidP="0077769A">
      <w:pPr>
        <w:rPr>
          <w:b/>
        </w:rPr>
      </w:pPr>
      <w:r w:rsidRPr="006213C7">
        <w:t xml:space="preserve">Além das definições constantes da </w:t>
      </w:r>
      <w:r w:rsidR="002E4AD1" w:rsidRPr="002E4AD1">
        <w:t>IT 04 – Terminologia de segurança contra incêndio e símbolos gráficos</w:t>
      </w:r>
      <w:r w:rsidRPr="006213C7">
        <w:t>, aplicam-se as definições específicas abaixo:</w:t>
      </w:r>
    </w:p>
    <w:p w14:paraId="0574B200" w14:textId="77777777" w:rsidR="00886156" w:rsidRPr="006213C7" w:rsidRDefault="00886156" w:rsidP="0077769A">
      <w:pPr>
        <w:pStyle w:val="ITYEXTO2"/>
        <w:rPr>
          <w:b/>
        </w:rPr>
      </w:pPr>
      <w:r w:rsidRPr="006213C7">
        <w:rPr>
          <w:b/>
        </w:rPr>
        <w:t>Barreira:</w:t>
      </w:r>
      <w:r w:rsidRPr="006213C7">
        <w:t xml:space="preserve"> Elemento que assegura proteção contra contatos diretos, em todas as direções habituais de acesso. É </w:t>
      </w:r>
      <w:r w:rsidRPr="006213C7">
        <w:lastRenderedPageBreak/>
        <w:t>o caso, por exemplo, de uma tampa colocada sob a porta dos quadros elétricos que impede o contato das pessoas com os barramentos vivos no interior do quadro. A barreira deve ser confeccionada em material suficientemente robusto para evitar o contato acidental. Usualmente, as barreiras são fabricadas em chapas metálicas ou de policarbonato.</w:t>
      </w:r>
    </w:p>
    <w:p w14:paraId="68DD5768" w14:textId="77777777" w:rsidR="00886156" w:rsidRPr="006213C7" w:rsidRDefault="00886156" w:rsidP="0077769A">
      <w:pPr>
        <w:pStyle w:val="ITYEXTO2"/>
        <w:rPr>
          <w:b/>
        </w:rPr>
      </w:pPr>
      <w:r w:rsidRPr="006213C7">
        <w:rPr>
          <w:b/>
        </w:rPr>
        <w:t>Cabo multipolar:</w:t>
      </w:r>
      <w:r w:rsidRPr="006213C7">
        <w:t xml:space="preserve"> Cabo constituído por 2 ou mais condutores isolados e dotado, no mínimo, de cobertura.</w:t>
      </w:r>
    </w:p>
    <w:p w14:paraId="0E6F0D79" w14:textId="77777777" w:rsidR="00886156" w:rsidRPr="006213C7" w:rsidRDefault="00886156" w:rsidP="0077769A">
      <w:pPr>
        <w:pStyle w:val="ITYEXTO2"/>
        <w:rPr>
          <w:b/>
        </w:rPr>
      </w:pPr>
      <w:r w:rsidRPr="006213C7">
        <w:rPr>
          <w:b/>
        </w:rPr>
        <w:t xml:space="preserve"> Cabo unipolar:</w:t>
      </w:r>
      <w:r w:rsidRPr="006213C7">
        <w:t xml:space="preserve"> Cabo constituído por um único condutor isolado e dotado, no mínimo, de cobertura.</w:t>
      </w:r>
    </w:p>
    <w:p w14:paraId="55648285" w14:textId="77777777" w:rsidR="00886156" w:rsidRPr="006213C7" w:rsidRDefault="00886156" w:rsidP="0077769A">
      <w:pPr>
        <w:pStyle w:val="ITYEXTO2"/>
        <w:rPr>
          <w:b/>
        </w:rPr>
      </w:pPr>
      <w:r w:rsidRPr="006213C7">
        <w:rPr>
          <w:b/>
        </w:rPr>
        <w:t>Cobertura (de um cabo):</w:t>
      </w:r>
      <w:r w:rsidRPr="006213C7">
        <w:t xml:space="preserve"> Invólucro externo não metálico e contínuo, sem função de isolação (ver definição de invólucro).</w:t>
      </w:r>
    </w:p>
    <w:p w14:paraId="0BEFFE90" w14:textId="77777777" w:rsidR="00886156" w:rsidRPr="006213C7" w:rsidRDefault="00886156" w:rsidP="0077769A">
      <w:pPr>
        <w:pStyle w:val="ITYEXTO2"/>
        <w:rPr>
          <w:b/>
        </w:rPr>
      </w:pPr>
      <w:r w:rsidRPr="006213C7">
        <w:rPr>
          <w:b/>
        </w:rPr>
        <w:t xml:space="preserve"> Conduto:</w:t>
      </w:r>
      <w:r w:rsidRPr="006213C7">
        <w:t xml:space="preserve"> Elemento de linha elétrica destinado a conter condutores elétricos. São exemplos de condutos elétricos os eletrodutos, eletrocalhas, bandejas, canaletas, escadas para cabos etc.</w:t>
      </w:r>
    </w:p>
    <w:p w14:paraId="1105906A" w14:textId="77777777" w:rsidR="00886156" w:rsidRPr="006213C7" w:rsidRDefault="00886156" w:rsidP="0077769A">
      <w:pPr>
        <w:pStyle w:val="ITYEXTO2"/>
        <w:rPr>
          <w:b/>
        </w:rPr>
      </w:pPr>
      <w:r w:rsidRPr="006213C7">
        <w:rPr>
          <w:b/>
        </w:rPr>
        <w:t xml:space="preserve"> Condutor isolado:</w:t>
      </w:r>
      <w:r w:rsidRPr="006213C7">
        <w:t xml:space="preserve"> Fio ou cabo dotado apenas de isolação.</w:t>
      </w:r>
    </w:p>
    <w:p w14:paraId="1D81EB88" w14:textId="77777777" w:rsidR="00886156" w:rsidRPr="006213C7" w:rsidRDefault="00886156" w:rsidP="0077769A">
      <w:pPr>
        <w:pStyle w:val="ITYEXTO2"/>
        <w:rPr>
          <w:b/>
        </w:rPr>
      </w:pPr>
      <w:r w:rsidRPr="006213C7">
        <w:rPr>
          <w:b/>
        </w:rPr>
        <w:t>Condutor de proteção:</w:t>
      </w:r>
      <w:r w:rsidRPr="006213C7">
        <w:t xml:space="preserve"> (símbolo PE), Condutor prescrito em certas medidas de proteção contra choques elétricos e destinado a interligar eletricamente massas, elementos condutores estranhos à instalação, terminal (barra) de aterramento e/ou pontos de alimentação ligados à terra. O condutor de proteção é popularmente conhecido por “fio-terra”. Quando identificado por cor, o condutor de proteção deve ser verde-amarelo ou todo verde.</w:t>
      </w:r>
    </w:p>
    <w:p w14:paraId="1C357CA7" w14:textId="77777777" w:rsidR="00886156" w:rsidRPr="006213C7" w:rsidRDefault="00886156" w:rsidP="0077769A">
      <w:pPr>
        <w:pStyle w:val="ITYEXTO2"/>
        <w:rPr>
          <w:b/>
        </w:rPr>
      </w:pPr>
      <w:r w:rsidRPr="006213C7">
        <w:rPr>
          <w:b/>
        </w:rPr>
        <w:t>Equipotencialização:</w:t>
      </w:r>
      <w:r w:rsidRPr="006213C7">
        <w:t xml:space="preserve"> Procedimento que consiste na interligação de elementos especificados, visando obter a equipotencialidade necessária para os fins desejados. Por extensão, a própria rede de elementos interligados resultante. A equipotencialização é um recurso usado na proteção contra choques elétricos e na proteção contra sobretensões e perturbações eletromagnéticas. Uma determinada equipotencialização pode ser satisfatória para a proteção contra choques elétricos, mas insuficiente sob o ponto de vista da proteção contra perturbações eletromagnéticas.</w:t>
      </w:r>
    </w:p>
    <w:p w14:paraId="4AFBC7A4" w14:textId="77777777" w:rsidR="00886156" w:rsidRPr="006213C7" w:rsidRDefault="00886156" w:rsidP="0077769A">
      <w:pPr>
        <w:pStyle w:val="ITYEXTO2"/>
        <w:rPr>
          <w:b/>
        </w:rPr>
      </w:pPr>
      <w:r w:rsidRPr="006213C7">
        <w:rPr>
          <w:b/>
        </w:rPr>
        <w:t>Equipotencialização principal:</w:t>
      </w:r>
      <w:r w:rsidRPr="006213C7">
        <w:t xml:space="preserve"> Em cada edificação deve ser realizada uma equipotencialização principal, reunindo, no mínimo, os seguintes elementos:</w:t>
      </w:r>
    </w:p>
    <w:p w14:paraId="3826C887" w14:textId="77777777" w:rsidR="006213C7" w:rsidRPr="006213C7" w:rsidRDefault="006213C7" w:rsidP="0077769A">
      <w:pPr>
        <w:numPr>
          <w:ilvl w:val="0"/>
          <w:numId w:val="3"/>
        </w:numPr>
      </w:pPr>
      <w:r w:rsidRPr="006213C7">
        <w:t>Os condutores de interligação provenientes de outros eletrodos de aterramento porventura existentes ou previstos no entorno da edificação, tais como eletrodos dos sistemas de proteção contra descargas atmosféricas, de sistemas de telefonia, de sistemas de televisão a cabo etc;</w:t>
      </w:r>
    </w:p>
    <w:p w14:paraId="42E7B6BD" w14:textId="77777777" w:rsidR="006213C7" w:rsidRPr="006213C7" w:rsidRDefault="006213C7" w:rsidP="0077769A">
      <w:pPr>
        <w:numPr>
          <w:ilvl w:val="0"/>
          <w:numId w:val="3"/>
        </w:numPr>
      </w:pPr>
      <w:r w:rsidRPr="006213C7">
        <w:t>O condutor neutro da alimentação elétrica, salvo se não existente;</w:t>
      </w:r>
    </w:p>
    <w:p w14:paraId="4E5A4661" w14:textId="77777777" w:rsidR="006213C7" w:rsidRPr="006213C7" w:rsidRDefault="006213C7" w:rsidP="0077769A">
      <w:pPr>
        <w:numPr>
          <w:ilvl w:val="0"/>
          <w:numId w:val="3"/>
        </w:numPr>
      </w:pPr>
      <w:r w:rsidRPr="006213C7">
        <w:t>O(s) condutor(es) de proteção principal(is) da instalação elétrica (interna) da edificação, tais como aqueles que ligam canalizações metálicas de água, esgoto, gás, telefonia etc.</w:t>
      </w:r>
    </w:p>
    <w:p w14:paraId="784AC948" w14:textId="77777777" w:rsidR="00886156" w:rsidRPr="006213C7" w:rsidRDefault="00886156" w:rsidP="0077769A">
      <w:pPr>
        <w:pStyle w:val="ITYEXTO2"/>
        <w:rPr>
          <w:b/>
        </w:rPr>
      </w:pPr>
      <w:r w:rsidRPr="006213C7">
        <w:rPr>
          <w:b/>
        </w:rPr>
        <w:t xml:space="preserve"> Espaço de construção:</w:t>
      </w:r>
      <w:r w:rsidRPr="006213C7">
        <w:t xml:space="preserve"> Espaço existente na estrutura ou nos componentes de uma edificação, acessível apenas em determinados pontos. São exemplos de espaços de construção os poços verticais “</w:t>
      </w:r>
      <w:r w:rsidRPr="006213C7">
        <w:rPr>
          <w:i/>
        </w:rPr>
        <w:t>shafts</w:t>
      </w:r>
      <w:r w:rsidRPr="006213C7">
        <w:t>”, espaços entre forros e lajes, espaços entre pisos elevados e lajes, espaços no interior de divisórias etc.</w:t>
      </w:r>
    </w:p>
    <w:p w14:paraId="6818CB63" w14:textId="77777777" w:rsidR="00886156" w:rsidRPr="006213C7" w:rsidRDefault="006213C7" w:rsidP="0077769A">
      <w:pPr>
        <w:pStyle w:val="ITYEXTO2"/>
        <w:rPr>
          <w:b/>
        </w:rPr>
      </w:pPr>
      <w:r>
        <w:rPr>
          <w:b/>
        </w:rPr>
        <w:t xml:space="preserve"> </w:t>
      </w:r>
      <w:r w:rsidR="00886156" w:rsidRPr="006213C7">
        <w:rPr>
          <w:b/>
        </w:rPr>
        <w:t>Falta:</w:t>
      </w:r>
      <w:r w:rsidR="00886156" w:rsidRPr="006213C7">
        <w:t xml:space="preserve"> Ocorrência acidental e súbita, ou defeito, em um elemento de um sistema elétrico, que pode resultar em falha do próprio elemento e/ou de outros elementos associados. Pode ser também um contato acidental entre partes sob potenciais diferentes.</w:t>
      </w:r>
    </w:p>
    <w:p w14:paraId="1A3F751A" w14:textId="77777777" w:rsidR="006213C7" w:rsidRPr="006213C7" w:rsidRDefault="006213C7" w:rsidP="0077769A">
      <w:pPr>
        <w:pStyle w:val="ITYEXTO2"/>
        <w:rPr>
          <w:b/>
        </w:rPr>
      </w:pPr>
      <w:r>
        <w:rPr>
          <w:b/>
        </w:rPr>
        <w:t xml:space="preserve"> </w:t>
      </w:r>
      <w:r w:rsidR="00886156" w:rsidRPr="006213C7">
        <w:rPr>
          <w:b/>
        </w:rPr>
        <w:t>Grau de proteção:</w:t>
      </w:r>
      <w:r w:rsidR="00886156" w:rsidRPr="006213C7">
        <w:t xml:space="preserve"> Nível de proteção provido por um invólucro contra o acesso às partes perigosas, contra penetração de objetos sólidos estranhos e/ou contra a penetração de água, verificado por meio de métodos de ensaios normalizados</w:t>
      </w:r>
    </w:p>
    <w:p w14:paraId="0F7C1BA6" w14:textId="77777777" w:rsidR="00886156" w:rsidRPr="006213C7" w:rsidRDefault="00886156" w:rsidP="0077769A">
      <w:pPr>
        <w:pStyle w:val="ITYEXTO2"/>
        <w:rPr>
          <w:b/>
        </w:rPr>
      </w:pPr>
      <w:r w:rsidRPr="006213C7">
        <w:t>.</w:t>
      </w:r>
      <w:r w:rsidRPr="006213C7">
        <w:rPr>
          <w:b/>
        </w:rPr>
        <w:t xml:space="preserve"> Impedância do percurso da corrente de falta (Zs):</w:t>
      </w:r>
      <w:r w:rsidRPr="006213C7">
        <w:t xml:space="preserve"> Impedância total dos componentes que fazem parte do percurso de uma corrente resultante de uma falta fase-massa num circuito elétrico.</w:t>
      </w:r>
    </w:p>
    <w:p w14:paraId="273D616F" w14:textId="77777777" w:rsidR="00886156" w:rsidRPr="006213C7" w:rsidRDefault="00886156" w:rsidP="0077769A">
      <w:pPr>
        <w:pStyle w:val="ITYEXTO2"/>
        <w:rPr>
          <w:b/>
        </w:rPr>
      </w:pPr>
      <w:r w:rsidRPr="006213C7">
        <w:rPr>
          <w:b/>
        </w:rPr>
        <w:t>Invólucro:</w:t>
      </w:r>
      <w:r w:rsidRPr="006213C7">
        <w:t xml:space="preserve"> Elemento que assegura proteção de um equipamento contra certas influências externas e, em qualquer direção, proteção contra contatos diretos. É um conceito semelhante ao da barreira, porém mais amplo, uma vez que o invólucro deve envolver completamente o componente, impedindo o acesso direto às suas partes vivas. É o caso, por exemplo, de uma caixa de ligação de tomadas, interruptores ou motores provida de tampa.</w:t>
      </w:r>
    </w:p>
    <w:p w14:paraId="78CFA6A7" w14:textId="77777777" w:rsidR="00886156" w:rsidRPr="006213C7" w:rsidRDefault="00886156" w:rsidP="0077769A">
      <w:pPr>
        <w:pStyle w:val="ITYEXTO2"/>
        <w:rPr>
          <w:b/>
        </w:rPr>
      </w:pPr>
      <w:r w:rsidRPr="006213C7">
        <w:rPr>
          <w:b/>
        </w:rPr>
        <w:t>Linha elétrica:</w:t>
      </w:r>
      <w:r w:rsidRPr="006213C7">
        <w:t xml:space="preserve"> Conjunto constituído por um ou mais condutores, com elementos de sua fixação e suporte e, se for o caso, de proteção mecânica, destinado a transportar energia elétrica ou a transmitir sinais elétricos.</w:t>
      </w:r>
    </w:p>
    <w:p w14:paraId="513951DF" w14:textId="77777777" w:rsidR="00886156" w:rsidRPr="006213C7" w:rsidRDefault="00886156" w:rsidP="0077769A">
      <w:pPr>
        <w:pStyle w:val="ITYEXTO2"/>
        <w:rPr>
          <w:b/>
        </w:rPr>
      </w:pPr>
      <w:r w:rsidRPr="006213C7">
        <w:rPr>
          <w:b/>
        </w:rPr>
        <w:lastRenderedPageBreak/>
        <w:t>Linha elétrica aparente:</w:t>
      </w:r>
      <w:r w:rsidRPr="006213C7">
        <w:t xml:space="preserve"> Linha elétrica em que os condutos ou os condutores não são embutidos.</w:t>
      </w:r>
    </w:p>
    <w:p w14:paraId="1F06C5EF" w14:textId="77777777" w:rsidR="00886156" w:rsidRPr="006213C7" w:rsidRDefault="00886156" w:rsidP="0077769A">
      <w:pPr>
        <w:pStyle w:val="ITYEXTO2"/>
        <w:rPr>
          <w:b/>
        </w:rPr>
      </w:pPr>
      <w:r w:rsidRPr="006213C7">
        <w:rPr>
          <w:b/>
        </w:rPr>
        <w:t>Linha elétrica embutida:</w:t>
      </w:r>
      <w:r w:rsidRPr="006213C7">
        <w:t xml:space="preserve"> Linha elétrica em que os condutos ou os condutores são encerrados nas paredes ou na estrutura da edificação, e acessível apenas em pontos determinados.</w:t>
      </w:r>
    </w:p>
    <w:p w14:paraId="61E42735" w14:textId="77777777" w:rsidR="00886156" w:rsidRPr="006213C7" w:rsidRDefault="00886156" w:rsidP="0077769A">
      <w:pPr>
        <w:pStyle w:val="ITYEXTO2"/>
        <w:rPr>
          <w:b/>
        </w:rPr>
      </w:pPr>
      <w:r w:rsidRPr="006213C7">
        <w:rPr>
          <w:b/>
        </w:rPr>
        <w:t xml:space="preserve"> Massa:</w:t>
      </w:r>
      <w:r w:rsidRPr="006213C7">
        <w:t xml:space="preserve"> Parte condutora que pode ser tocada e que normalmente não é viva, mas pode tornar-se viva em condições de falta. Por exemplo, as carcaças metálicas de quadros e painéis elétricos, de equipamentos elétricos etc.</w:t>
      </w:r>
    </w:p>
    <w:p w14:paraId="08C0FDBD" w14:textId="77777777" w:rsidR="00886156" w:rsidRPr="006213C7" w:rsidRDefault="00886156" w:rsidP="0077769A">
      <w:pPr>
        <w:pStyle w:val="ITYEXTO2"/>
        <w:rPr>
          <w:b/>
        </w:rPr>
      </w:pPr>
      <w:r w:rsidRPr="006213C7">
        <w:rPr>
          <w:b/>
        </w:rPr>
        <w:t>Parte viva:</w:t>
      </w:r>
      <w:r w:rsidRPr="006213C7">
        <w:t xml:space="preserve"> Condutor ou parte condutora destinada a ser energizada em condições de uso normal (condutores de fase), incluindo o condutor neutro, mas, por convenção, não incluindo o condutor de proteção em neutro (PEN).</w:t>
      </w:r>
    </w:p>
    <w:p w14:paraId="6ED2FB32" w14:textId="77777777" w:rsidR="00886156" w:rsidRPr="006213C7" w:rsidRDefault="00886156" w:rsidP="0077769A">
      <w:pPr>
        <w:pStyle w:val="ITYEXTO2"/>
        <w:rPr>
          <w:b/>
        </w:rPr>
      </w:pPr>
      <w:r w:rsidRPr="006213C7">
        <w:rPr>
          <w:b/>
        </w:rPr>
        <w:t>Pessoa advertida (BA4):</w:t>
      </w:r>
      <w:r w:rsidRPr="006213C7">
        <w:t xml:space="preserve"> Pessoa suficientemente informada, ou supervisionada por pessoas qualificadas, de tal forma que lhes permita evitar os perigos da eletricidade (pessoal de manutenção e/ou operação).</w:t>
      </w:r>
    </w:p>
    <w:p w14:paraId="2EFBAE91" w14:textId="77777777" w:rsidR="00886156" w:rsidRPr="006213C7" w:rsidRDefault="00886156" w:rsidP="0077769A">
      <w:pPr>
        <w:pStyle w:val="ITYEXTO2"/>
        <w:rPr>
          <w:b/>
        </w:rPr>
      </w:pPr>
      <w:r w:rsidRPr="006213C7">
        <w:rPr>
          <w:b/>
        </w:rPr>
        <w:t>Pessoa qualificada (BA5):</w:t>
      </w:r>
      <w:r w:rsidRPr="006213C7">
        <w:t xml:space="preserve"> Pessoa com conhecimento técnico ou experiência suficiente para evitar os perigos da eletricidade (engenheiros e técnicos).</w:t>
      </w:r>
    </w:p>
    <w:p w14:paraId="0864BED4" w14:textId="77777777" w:rsidR="00886156" w:rsidRPr="00582DD8" w:rsidRDefault="00886156" w:rsidP="0077769A">
      <w:pPr>
        <w:pStyle w:val="ITYEXTO2"/>
        <w:rPr>
          <w:b/>
        </w:rPr>
      </w:pPr>
      <w:r w:rsidRPr="006213C7">
        <w:rPr>
          <w:b/>
        </w:rPr>
        <w:t>Proteção básica:</w:t>
      </w:r>
      <w:r w:rsidRPr="006213C7">
        <w:t xml:space="preserve"> Meio destinado a impedir contato com partes vivas perigosas em condições normais. Por exemplo, a isolação de um condutor elétrico, a fita isolante que recobre uma emenda etc.</w:t>
      </w:r>
    </w:p>
    <w:p w14:paraId="1BF98FCD" w14:textId="77777777" w:rsidR="006213C7" w:rsidRPr="009C0F39" w:rsidRDefault="00886156" w:rsidP="000F3C57">
      <w:pPr>
        <w:pStyle w:val="ITTTULO1"/>
        <w:rPr>
          <w:lang w:val="pt-BR"/>
        </w:rPr>
      </w:pPr>
      <w:r w:rsidRPr="009C0F39">
        <w:rPr>
          <w:lang w:val="pt-BR"/>
        </w:rPr>
        <w:t>INSPEÇÃO VISUAL NAS INSTALAÇÕES ELÉTRICAS EM GERAL</w:t>
      </w:r>
    </w:p>
    <w:p w14:paraId="500E7B92" w14:textId="77777777" w:rsidR="00886156" w:rsidRPr="006213C7" w:rsidRDefault="00886156" w:rsidP="0077769A">
      <w:pPr>
        <w:rPr>
          <w:b/>
        </w:rPr>
      </w:pPr>
      <w:r w:rsidRPr="006213C7">
        <w:t>A inspeção visual nas instalações elétricas prediais de baixa tensão, nos termos do objetivo e das premissas desta IT, será realizada com base nos itens abaixo:</w:t>
      </w:r>
    </w:p>
    <w:p w14:paraId="56A7708C" w14:textId="77777777" w:rsidR="00886156" w:rsidRPr="006213C7" w:rsidRDefault="00886156" w:rsidP="00582DD8">
      <w:pPr>
        <w:pStyle w:val="ITYEXTO2"/>
        <w:rPr>
          <w:b/>
        </w:rPr>
      </w:pPr>
      <w:r w:rsidRPr="006213C7">
        <w:t>Nas linhas elétricas em que os cabos forem fixados diretamente em paredes ou tetos, só devem ser usados cabos unipolares ou multipolares. Os condutores isolados só são admitidos em condutos fechados, ou em perfilados, conforme norma NBR 5410. Em particular, nos locais com concentração de pessoas e afluência de público, onde as linhas elétricas são aparentes ou contidas em espaços de construção, os cabos elétricos e/ou os condutos elétricos devem ser não propagantes de chama, livres de halogênio e com baixa emissão de fumaça e gases tóxicos, conforme norma NBR 5410.</w:t>
      </w:r>
    </w:p>
    <w:p w14:paraId="709582E6" w14:textId="77777777" w:rsidR="00886156" w:rsidRPr="006213C7" w:rsidRDefault="00886156" w:rsidP="00582DD8">
      <w:pPr>
        <w:pStyle w:val="ITYEXTO2"/>
        <w:rPr>
          <w:b/>
        </w:rPr>
      </w:pPr>
      <w:r w:rsidRPr="006213C7">
        <w:t xml:space="preserve"> Como regra geral, todos os circuitos devem dispor de dispositivos de proteção contra sobre correntes (sobrecarga e curto-circuito).</w:t>
      </w:r>
    </w:p>
    <w:p w14:paraId="32CB9BCE" w14:textId="77777777" w:rsidR="00886156" w:rsidRPr="006213C7" w:rsidRDefault="006213C7" w:rsidP="00582DD8">
      <w:pPr>
        <w:pStyle w:val="ITYEXTO2"/>
        <w:rPr>
          <w:b/>
        </w:rPr>
      </w:pPr>
      <w:r>
        <w:rPr>
          <w:b/>
        </w:rPr>
        <w:t xml:space="preserve"> </w:t>
      </w:r>
      <w:r w:rsidR="00886156" w:rsidRPr="006213C7">
        <w:t>As partes vivas acessíveis a pessoas que não sejam advertidas (BA4) ou qualificadas (BA5) d</w:t>
      </w:r>
      <w:r w:rsidR="00A275CD" w:rsidRPr="006213C7">
        <w:t>e</w:t>
      </w:r>
      <w:r w:rsidR="00886156" w:rsidRPr="006213C7">
        <w:t>vem estar isoladas e/ou protegidas por barreiras ou invólucros.</w:t>
      </w:r>
    </w:p>
    <w:p w14:paraId="4824F731" w14:textId="77777777" w:rsidR="00886156" w:rsidRDefault="00886156" w:rsidP="00582DD8">
      <w:pPr>
        <w:pStyle w:val="ITYEXTO2"/>
      </w:pPr>
      <w:r w:rsidRPr="006213C7">
        <w:t>Todo circuito deve dispor de condutor de proteção “fio-terra” em toda sua extensão. Um condutor de proteção pode</w:t>
      </w:r>
      <w:r w:rsidR="006213C7">
        <w:t xml:space="preserve"> </w:t>
      </w:r>
      <w:r w:rsidRPr="006213C7">
        <w:t>ser comum a mais de um circuito. E todas as massas da instalação devem estar ligadas a condutores de proteção.</w:t>
      </w:r>
    </w:p>
    <w:p w14:paraId="4D2BE5F9" w14:textId="77777777" w:rsidR="00886156" w:rsidRDefault="00886156" w:rsidP="00582DD8">
      <w:pPr>
        <w:pStyle w:val="ITTEXTO3"/>
        <w:rPr>
          <w:rFonts w:eastAsia="Arial"/>
        </w:rPr>
      </w:pPr>
      <w:r w:rsidRPr="00C45ABE">
        <w:rPr>
          <w:rFonts w:eastAsia="Arial"/>
        </w:rPr>
        <w:t>Não devem ser ligadas a condutores de proteção as massas de equipamentos alimentados por transformador de separação elétrica, ou de equipamentos alimentados por sistema de extra baixa tensão, que é eletricamente separado da terra, ou de equipamentos classe II (isolação dupla).</w:t>
      </w:r>
    </w:p>
    <w:p w14:paraId="28224CC3" w14:textId="77777777" w:rsidR="00886156" w:rsidRDefault="008E2337" w:rsidP="00582DD8">
      <w:pPr>
        <w:pStyle w:val="ITYEXTO2"/>
      </w:pPr>
      <w:r>
        <w:t xml:space="preserve"> </w:t>
      </w:r>
      <w:r w:rsidR="00886156" w:rsidRPr="008E2337">
        <w:t>Todas as tomadas de corrente fixas das instalações devem ser do tipo com polo de aterramento (2 polos + terra, ou 3 polos + terra).</w:t>
      </w:r>
    </w:p>
    <w:p w14:paraId="46E79D5F" w14:textId="77777777" w:rsidR="00886156" w:rsidRDefault="00886156" w:rsidP="00582DD8">
      <w:pPr>
        <w:pStyle w:val="ITYEXTO2"/>
      </w:pPr>
      <w:r w:rsidRPr="008E2337">
        <w:t>Deve existir um ou mais dispositivo(s) diferencial(is) residual(is) (DR) que deve(m) seccionar automaticamente a alimentação do(s) circuito(s) ou equipamento(s) por ele(s) protegido(s) sempre que ocorrer uma falta entre parte viva e massa ou entre parte viva e condutor de proteção, no circuito ou equipamento.</w:t>
      </w:r>
    </w:p>
    <w:p w14:paraId="3E8D18C2" w14:textId="77777777" w:rsidR="00886156" w:rsidRDefault="00886156" w:rsidP="00582DD8">
      <w:pPr>
        <w:pStyle w:val="ITTEXTO3"/>
        <w:rPr>
          <w:rFonts w:eastAsia="Arial"/>
        </w:rPr>
      </w:pPr>
      <w:r w:rsidRPr="008E2337">
        <w:rPr>
          <w:rFonts w:eastAsia="Arial"/>
        </w:rPr>
        <w:t xml:space="preserve"> Admite-se, opcionalmente, o uso de dispositivo(s) de proteção a sobre corrente para o seccionamento automático no caso das faltas mencionadas no item 6.6, somente se for comprovado o atendimento às prescrições da norma NBR 5410/04 relativas ao uso de tais dispositivos. Por exemplo, mediante a apresentação do valor máximo da impedância do percurso da corrente de falta (Zs) para o qual foi dimensionado o dispositivo de proteção a sobre corrente.</w:t>
      </w:r>
    </w:p>
    <w:p w14:paraId="45FB9CBF" w14:textId="77777777" w:rsidR="00886156" w:rsidRDefault="00886156" w:rsidP="00582DD8">
      <w:pPr>
        <w:pStyle w:val="ITTEXTO3"/>
        <w:rPr>
          <w:rFonts w:eastAsia="Arial"/>
        </w:rPr>
      </w:pPr>
      <w:r w:rsidRPr="008E2337">
        <w:rPr>
          <w:rFonts w:eastAsia="Arial"/>
        </w:rPr>
        <w:t xml:space="preserve"> Deve-se ainda considerar os casos em que o uso do dispositivo DR não é admitido nem recomendável. Por exemplo: em salas cirúrgicas, UTI, motores de sistemas de combate a incêndio, circuitos que não devem ter a sua alimentação interrompida por razões de segurança ou operacionais, entre outras.</w:t>
      </w:r>
    </w:p>
    <w:p w14:paraId="60B93628" w14:textId="77777777" w:rsidR="00886156" w:rsidRDefault="008E2337" w:rsidP="00582DD8">
      <w:pPr>
        <w:pStyle w:val="ITYEXTO2"/>
      </w:pPr>
      <w:r>
        <w:lastRenderedPageBreak/>
        <w:t xml:space="preserve"> </w:t>
      </w:r>
      <w:r w:rsidR="00886156" w:rsidRPr="008E2337">
        <w:t>Os componentes fixos, cujas superfícies externas possam atingir temperaturas suscetíveis de provocar incêndio nos materiais adjacentes, devem: ser montados sobre (ou envolvidos por) materiais que suportem tais temperaturas e sejam de baixa condutividade térmica; ou separados dos elementos construtivos da edificação por materiais que suportem tais temperaturas e sejam de baixa condutividade térmica; ou montados de modo a guardar afastamento suficiente de qualquer material cuja integridade possa ser prejudicada por tais temperaturas e garantir uma segura dissipação de calor, aliado à utilização de materiais de baixa condutividade térmica.</w:t>
      </w:r>
    </w:p>
    <w:p w14:paraId="3C5F9684" w14:textId="77777777" w:rsidR="00886156" w:rsidRDefault="00886156" w:rsidP="00582DD8">
      <w:pPr>
        <w:pStyle w:val="ITYEXTO2"/>
      </w:pPr>
      <w:r w:rsidRPr="008E2337">
        <w:t>Os quadros de distribuição devem ser instalados em locais de fácil acesso e serem providos de identificação do lado externo, legível e não facilmente removível. Além disso, conforme requisito da IT</w:t>
      </w:r>
      <w:r w:rsidR="00F05550" w:rsidRPr="008E2337">
        <w:t xml:space="preserve"> 2</w:t>
      </w:r>
      <w:r w:rsidRPr="008E2337">
        <w:t>0 – Sinalização de segurança, deve ser afixada, no lado externo dos quadros elétricos, sinalização de alerta (vide figura 1). Todos os componentes dos quadros devem ser identificados de tal forma que a correspondência entre os componentes e os respectivos circuitos possa ser prontamente reconhecida. Essa identificação deve ser legível, indelével, posicionada de forma a evitar risco de confusão e corresponder à notação adotada no projeto.</w:t>
      </w:r>
    </w:p>
    <w:p w14:paraId="3A1E14B4" w14:textId="77777777" w:rsidR="00886156" w:rsidRPr="006213C7" w:rsidRDefault="00886156" w:rsidP="0077769A"/>
    <w:p w14:paraId="2F0D138F" w14:textId="77777777" w:rsidR="00886156" w:rsidRPr="006213C7" w:rsidRDefault="00886156" w:rsidP="00582DD8">
      <w:pPr>
        <w:jc w:val="center"/>
      </w:pPr>
      <w:r w:rsidRPr="006213C7">
        <w:rPr>
          <w:noProof/>
          <w:lang w:eastAsia="pt-BR"/>
        </w:rPr>
        <w:pict w14:anchorId="7B3511F3">
          <v:shape id="Imagem 2" o:spid="_x0000_i1026" type="#_x0000_t75" style="width:195pt;height:99.75pt;visibility:visible">
            <v:imagedata r:id="rId12" o:title=""/>
          </v:shape>
        </w:pict>
      </w:r>
    </w:p>
    <w:p w14:paraId="23B42A72" w14:textId="77777777" w:rsidR="00886156" w:rsidRPr="006213C7" w:rsidRDefault="00886156" w:rsidP="00582DD8">
      <w:pPr>
        <w:jc w:val="center"/>
      </w:pPr>
      <w:r w:rsidRPr="006213C7">
        <w:rPr>
          <w:b/>
        </w:rPr>
        <w:t>Figura 1:</w:t>
      </w:r>
      <w:r w:rsidRPr="006213C7">
        <w:t xml:space="preserve"> Sinalização de quadros elétricos</w:t>
      </w:r>
    </w:p>
    <w:p w14:paraId="51CD148E" w14:textId="77777777" w:rsidR="00886156" w:rsidRDefault="00886156" w:rsidP="00582DD8">
      <w:pPr>
        <w:pStyle w:val="ITYEXTO2"/>
      </w:pPr>
      <w:r w:rsidRPr="006213C7">
        <w:t xml:space="preserve"> O sistema de proteção contra descargas atmosféricas (SPDA) deve estar em conformidade com a NBR 5419.</w:t>
      </w:r>
    </w:p>
    <w:p w14:paraId="439A6DD1" w14:textId="77777777" w:rsidR="00886156" w:rsidRPr="009C0F39" w:rsidRDefault="00886156" w:rsidP="000F3C57">
      <w:pPr>
        <w:pStyle w:val="ITTTULO1"/>
        <w:rPr>
          <w:lang w:val="pt-BR"/>
        </w:rPr>
      </w:pPr>
      <w:r w:rsidRPr="009C0F39">
        <w:rPr>
          <w:lang w:val="pt-BR"/>
        </w:rPr>
        <w:t>INSTALAÇÕES ELÉTRICAS DOS SERVIÇOS DE SEGURANÇA CONTRA INCÊNDIO</w:t>
      </w:r>
    </w:p>
    <w:p w14:paraId="1673C9CA" w14:textId="77777777" w:rsidR="00886156" w:rsidRPr="00582DD8" w:rsidRDefault="00636851" w:rsidP="00582DD8">
      <w:pPr>
        <w:pStyle w:val="ITYEXTO2"/>
        <w:rPr>
          <w:b/>
        </w:rPr>
      </w:pPr>
      <w:r>
        <w:t xml:space="preserve"> </w:t>
      </w:r>
      <w:r w:rsidR="00886156" w:rsidRPr="00582DD8">
        <w:rPr>
          <w:b/>
        </w:rPr>
        <w:t>Premissas específicas</w:t>
      </w:r>
    </w:p>
    <w:p w14:paraId="7310FC35" w14:textId="77777777" w:rsidR="00886156" w:rsidRDefault="00636851" w:rsidP="00582DD8">
      <w:pPr>
        <w:pStyle w:val="ITTEXTO3"/>
        <w:rPr>
          <w:rFonts w:eastAsia="Arial"/>
        </w:rPr>
      </w:pPr>
      <w:r>
        <w:rPr>
          <w:rFonts w:eastAsia="Arial"/>
        </w:rPr>
        <w:t xml:space="preserve"> </w:t>
      </w:r>
      <w:r w:rsidR="00886156" w:rsidRPr="00636851">
        <w:rPr>
          <w:rFonts w:eastAsia="Arial"/>
        </w:rPr>
        <w:t>Os equipamentos destinados a operar em situações de incênd</w:t>
      </w:r>
      <w:r w:rsidR="00D26D54" w:rsidRPr="00636851">
        <w:rPr>
          <w:rFonts w:eastAsia="Arial"/>
        </w:rPr>
        <w:t>io, de acordo com o prescrito no Código de Segurança Contra Incêndio Emergência no Estado de Alagoas – COSCIE</w:t>
      </w:r>
      <w:r w:rsidR="00886156" w:rsidRPr="00636851">
        <w:rPr>
          <w:rFonts w:eastAsia="Arial"/>
        </w:rPr>
        <w:t xml:space="preserve"> e respectivas Instruções Técnicas, devem ter seu funcionamento e desempenho elétrico assegurados pelo tempo necessário para:</w:t>
      </w:r>
    </w:p>
    <w:p w14:paraId="6DA87570" w14:textId="77777777" w:rsidR="00636851" w:rsidRPr="006213C7" w:rsidRDefault="00636851" w:rsidP="0077769A">
      <w:pPr>
        <w:numPr>
          <w:ilvl w:val="0"/>
          <w:numId w:val="12"/>
        </w:numPr>
      </w:pPr>
      <w:r w:rsidRPr="006213C7">
        <w:t>A saída das pessoas;</w:t>
      </w:r>
    </w:p>
    <w:p w14:paraId="72AE3103" w14:textId="77777777" w:rsidR="00636851" w:rsidRPr="006213C7" w:rsidRDefault="00636851" w:rsidP="0077769A">
      <w:pPr>
        <w:numPr>
          <w:ilvl w:val="0"/>
          <w:numId w:val="12"/>
        </w:numPr>
      </w:pPr>
      <w:r w:rsidRPr="006213C7">
        <w:t>A execução das operações de combate ao fogo e salvamento;</w:t>
      </w:r>
    </w:p>
    <w:p w14:paraId="1F9B2C83" w14:textId="77777777" w:rsidR="00636851" w:rsidRPr="006213C7" w:rsidRDefault="00636851" w:rsidP="0077769A">
      <w:pPr>
        <w:numPr>
          <w:ilvl w:val="0"/>
          <w:numId w:val="12"/>
        </w:numPr>
      </w:pPr>
      <w:r w:rsidRPr="006213C7">
        <w:t>A proteção do meio ambiente e do patrimônio.</w:t>
      </w:r>
    </w:p>
    <w:p w14:paraId="1F077123" w14:textId="77777777" w:rsidR="00886156" w:rsidRDefault="00636851" w:rsidP="00582DD8">
      <w:pPr>
        <w:pStyle w:val="ITTEXTO3"/>
        <w:rPr>
          <w:rFonts w:eastAsia="Arial"/>
        </w:rPr>
      </w:pPr>
      <w:r>
        <w:rPr>
          <w:rFonts w:eastAsia="Arial"/>
        </w:rPr>
        <w:t xml:space="preserve"> </w:t>
      </w:r>
      <w:r w:rsidR="00886156" w:rsidRPr="00636851">
        <w:rPr>
          <w:rFonts w:eastAsia="Arial"/>
        </w:rPr>
        <w:t>Os circuitos dos serviços de segurança devem ser independentes de outros circuitos. Isso significa que nenhuma falta, intervenção ou modificação em circuito não pertencente aos serviços de segurança deve afetar o funcionamento do(s) circuito(s) dos serviços de segurança.</w:t>
      </w:r>
    </w:p>
    <w:p w14:paraId="7B8C137E" w14:textId="77777777" w:rsidR="00886156" w:rsidRDefault="00886156" w:rsidP="00582DD8">
      <w:pPr>
        <w:pStyle w:val="ITTEXTO3"/>
        <w:rPr>
          <w:rFonts w:eastAsia="Arial"/>
        </w:rPr>
      </w:pPr>
      <w:r w:rsidRPr="00636851">
        <w:rPr>
          <w:rFonts w:eastAsia="Arial"/>
        </w:rPr>
        <w:t xml:space="preserve"> Os circuitos dos serviços de segurança responsáveis pela alimentação e comando dos equipamentos de segurança contra incêndio que usam motores (por exemplo: ventiladores, exaustores, bombas de incêndio, moto geradores, elevadores, registros corta-fogo e similares) e dos dispositivos de disparo usados em equipamentos de supressão e combate a incêndio (válvulas solenoides e similares), quando atravessarem áreas com carga combustível (carga de incêndio), incluindo espaços de construção sem resistência contra o fogo, devem ser devidamente protegidos por materiais resistentes ao fogo.</w:t>
      </w:r>
    </w:p>
    <w:p w14:paraId="47D4C96D" w14:textId="77777777" w:rsidR="00886156" w:rsidRDefault="00636851" w:rsidP="00582DD8">
      <w:pPr>
        <w:pStyle w:val="ITTEXTO3"/>
        <w:rPr>
          <w:rFonts w:eastAsia="Arial"/>
        </w:rPr>
      </w:pPr>
      <w:r>
        <w:rPr>
          <w:rFonts w:eastAsia="Arial"/>
        </w:rPr>
        <w:t xml:space="preserve"> </w:t>
      </w:r>
      <w:r w:rsidR="00886156" w:rsidRPr="00636851">
        <w:rPr>
          <w:rFonts w:eastAsia="Arial"/>
        </w:rPr>
        <w:t>Os demais circuitos de segurança (como iluminação de emergência, alarme e detecção de incêndio e similares) não necessitam de tratamento de resistência ao fogo conforme descrito acima, devendo, contudo seguir as orientações específicas das respectivas normas técnicas.</w:t>
      </w:r>
    </w:p>
    <w:p w14:paraId="49402FCA" w14:textId="77777777" w:rsidR="00636851" w:rsidRPr="006213C7" w:rsidRDefault="00636851" w:rsidP="00582DD8">
      <w:pPr>
        <w:pStyle w:val="ITTEXTO3"/>
        <w:rPr>
          <w:rFonts w:eastAsia="Arial"/>
        </w:rPr>
      </w:pPr>
      <w:r w:rsidRPr="006213C7">
        <w:rPr>
          <w:rFonts w:eastAsia="Arial"/>
          <w:b/>
        </w:rPr>
        <w:t>Nota:</w:t>
      </w:r>
      <w:r w:rsidRPr="006213C7">
        <w:rPr>
          <w:rFonts w:eastAsia="Arial"/>
        </w:rPr>
        <w:t xml:space="preserve"> o simples fato dos condutos dos circuitos de segurança serem metálicos e fechados, conforme exigências específicas das normas dos equipamentos de segurança, não significa que o circuito esteja protegido contra a ação do </w:t>
      </w:r>
      <w:r w:rsidRPr="006213C7">
        <w:rPr>
          <w:rFonts w:eastAsia="Arial"/>
        </w:rPr>
        <w:lastRenderedPageBreak/>
        <w:t>fogo. Essas exigências garantem, em tese, apenas uma proteção mecânica mais adequada.</w:t>
      </w:r>
    </w:p>
    <w:p w14:paraId="3E764661" w14:textId="77777777" w:rsidR="00886156" w:rsidRDefault="00886156" w:rsidP="00582DD8">
      <w:pPr>
        <w:pStyle w:val="ITTEXTO3"/>
        <w:rPr>
          <w:rFonts w:eastAsia="Arial"/>
        </w:rPr>
      </w:pPr>
      <w:r w:rsidRPr="00636851">
        <w:rPr>
          <w:rFonts w:eastAsia="Arial"/>
        </w:rPr>
        <w:t>Para se proteger um circuito de segurança contra ação do fogo deve-se garantir o atendimento das premissas dos itens 7.1.1 e 7.1.2, tendo como opção os requisitos abaixo:</w:t>
      </w:r>
    </w:p>
    <w:p w14:paraId="5A76C397" w14:textId="77777777" w:rsidR="00636851" w:rsidRPr="006213C7" w:rsidRDefault="00636851" w:rsidP="0077769A">
      <w:pPr>
        <w:numPr>
          <w:ilvl w:val="0"/>
          <w:numId w:val="13"/>
        </w:numPr>
      </w:pPr>
      <w:r w:rsidRPr="006213C7">
        <w:t>Uso de materiais resistentes ao fogo, devidamente normatizados;</w:t>
      </w:r>
    </w:p>
    <w:p w14:paraId="193A5538" w14:textId="77777777" w:rsidR="00636851" w:rsidRPr="006213C7" w:rsidRDefault="00636851" w:rsidP="0077769A">
      <w:pPr>
        <w:numPr>
          <w:ilvl w:val="0"/>
          <w:numId w:val="13"/>
        </w:numPr>
      </w:pPr>
      <w:r w:rsidRPr="006213C7">
        <w:t>Encapsular os circuitos dentro de elementos de construção resistentes ao fogo (lajes, paredes, piso) ou enterrá-los;</w:t>
      </w:r>
    </w:p>
    <w:p w14:paraId="6DE40541" w14:textId="77777777" w:rsidR="00636851" w:rsidRPr="006213C7" w:rsidRDefault="00636851" w:rsidP="0077769A">
      <w:pPr>
        <w:numPr>
          <w:ilvl w:val="0"/>
          <w:numId w:val="13"/>
        </w:numPr>
      </w:pPr>
      <w:r w:rsidRPr="006213C7">
        <w:t>Outras soluções técnicas devem ser devidamente comprovadas perante o CBMAL (por exemplo: cabos especiais, normatizados, resistentes ao fogo).</w:t>
      </w:r>
    </w:p>
    <w:p w14:paraId="5FAA8C7E" w14:textId="77777777" w:rsidR="00886156" w:rsidRDefault="00636851" w:rsidP="00582DD8">
      <w:pPr>
        <w:pStyle w:val="ittexto4"/>
        <w:rPr>
          <w:rFonts w:eastAsia="Arial"/>
        </w:rPr>
      </w:pPr>
      <w:r>
        <w:rPr>
          <w:rFonts w:eastAsia="Arial"/>
        </w:rPr>
        <w:t xml:space="preserve"> </w:t>
      </w:r>
      <w:r w:rsidR="00886156" w:rsidRPr="00636851">
        <w:rPr>
          <w:rFonts w:eastAsia="Arial"/>
        </w:rPr>
        <w:t>Nos casos onde os circuitos dos serviços de segurança estiverem enclausurados em ambientes resistentes ao fogo (por exemplo: instalados em condutos embutidos em alvenarias, pisos ou lajes com resistência ao fogo ou enterrados), garantindo assim a operação do sistema durante o sinistro, não será necessária a proteção com material resistente ao fogo.</w:t>
      </w:r>
    </w:p>
    <w:p w14:paraId="2CDC9D9C" w14:textId="77777777" w:rsidR="00886156" w:rsidRDefault="00636851" w:rsidP="00582DD8">
      <w:pPr>
        <w:pStyle w:val="ITTEXTO3"/>
        <w:rPr>
          <w:rFonts w:eastAsia="Arial"/>
        </w:rPr>
      </w:pPr>
      <w:r>
        <w:rPr>
          <w:rFonts w:eastAsia="Arial"/>
        </w:rPr>
        <w:t xml:space="preserve"> </w:t>
      </w:r>
      <w:r w:rsidR="00886156" w:rsidRPr="00636851">
        <w:rPr>
          <w:rFonts w:eastAsia="Arial"/>
        </w:rPr>
        <w:t>Os dispositivos de proteção contra sobrecargas dos circuitos dos motores utilizados nos serviços de segurança devem ser omitidos, mantendo-se a proteção contra curto-circuito.</w:t>
      </w:r>
    </w:p>
    <w:p w14:paraId="2697295D" w14:textId="77777777" w:rsidR="00D26D54" w:rsidRPr="00582DD8" w:rsidRDefault="00D26D54" w:rsidP="00582DD8">
      <w:pPr>
        <w:pStyle w:val="ITTEXTO3"/>
        <w:rPr>
          <w:rFonts w:eastAsia="Arial"/>
          <w:b/>
        </w:rPr>
      </w:pPr>
      <w:r w:rsidRPr="00582DD8">
        <w:rPr>
          <w:rFonts w:eastAsia="Arial"/>
          <w:b/>
        </w:rPr>
        <w:t xml:space="preserve">Grupo motogerador </w:t>
      </w:r>
    </w:p>
    <w:p w14:paraId="101A9766" w14:textId="77777777" w:rsidR="00886156" w:rsidRDefault="00886156" w:rsidP="00582DD8">
      <w:pPr>
        <w:pStyle w:val="ittexto4"/>
        <w:rPr>
          <w:rFonts w:eastAsia="Arial"/>
        </w:rPr>
      </w:pPr>
      <w:r w:rsidRPr="00636851">
        <w:rPr>
          <w:rFonts w:eastAsia="Arial"/>
          <w:b/>
        </w:rPr>
        <w:t xml:space="preserve"> </w:t>
      </w:r>
      <w:r w:rsidRPr="00636851">
        <w:rPr>
          <w:rFonts w:eastAsia="Arial"/>
        </w:rPr>
        <w:t>No caso de equipamentos de segurança alimentados por moto geradores, além das premissas anteriores, os requisi</w:t>
      </w:r>
      <w:r w:rsidR="00636851">
        <w:rPr>
          <w:rFonts w:eastAsia="Arial"/>
        </w:rPr>
        <w:t>tos abaixo devem ser observados:</w:t>
      </w:r>
    </w:p>
    <w:p w14:paraId="672EE9E3" w14:textId="77777777" w:rsidR="00636851" w:rsidRPr="006213C7" w:rsidRDefault="00636851" w:rsidP="0077769A">
      <w:pPr>
        <w:numPr>
          <w:ilvl w:val="0"/>
          <w:numId w:val="14"/>
        </w:numPr>
      </w:pPr>
      <w:r w:rsidRPr="006213C7">
        <w:t>O acionamento do moto gerador deve ser automático, quando da interrupção no fornecimento de energia normal.</w:t>
      </w:r>
    </w:p>
    <w:p w14:paraId="0DCF8E66" w14:textId="77777777" w:rsidR="00636851" w:rsidRPr="006213C7" w:rsidRDefault="00636851" w:rsidP="0077769A">
      <w:pPr>
        <w:numPr>
          <w:ilvl w:val="0"/>
          <w:numId w:val="14"/>
        </w:numPr>
      </w:pPr>
      <w:r w:rsidRPr="006213C7">
        <w:t>O motogerador deve possuir autonomia de funcionamento, conforme normas e regulamentos específicos para suprir todos os equipamentos dos sistemas de segurança por eles atendidos.</w:t>
      </w:r>
    </w:p>
    <w:p w14:paraId="6E9685DD" w14:textId="77777777" w:rsidR="00636851" w:rsidRPr="006213C7" w:rsidRDefault="00636851" w:rsidP="0077769A">
      <w:pPr>
        <w:numPr>
          <w:ilvl w:val="0"/>
          <w:numId w:val="14"/>
        </w:numPr>
      </w:pPr>
      <w:r w:rsidRPr="006213C7">
        <w:t>Em caso de incêndio, o moto gerador deve alimentar exclusivamente os quadros e circuitos dos sistemas de segurança, sendo que os quadros e circuitos comuns, por ele atendidos, não devem ser alimentados nessa situação.</w:t>
      </w:r>
    </w:p>
    <w:p w14:paraId="1F9A72F0" w14:textId="77777777" w:rsidR="00636851" w:rsidRPr="006213C7" w:rsidRDefault="00636851" w:rsidP="0077769A">
      <w:pPr>
        <w:numPr>
          <w:ilvl w:val="0"/>
          <w:numId w:val="14"/>
        </w:numPr>
      </w:pPr>
      <w:r w:rsidRPr="006213C7">
        <w:t>Deve haver desligamento automático por dispositivos de proteção na ocorrência de curtos-circuitos nos circuitos dos serviços de segurança ou nos circuitos comuns, sendo que estas faltas não podem impedir o funcionamento do moto gerador, que deve continuar alimentando os circuitos dos serviços de segurança não submetidos às condições de falta.</w:t>
      </w:r>
    </w:p>
    <w:p w14:paraId="03381A36" w14:textId="77777777" w:rsidR="00636851" w:rsidRPr="006213C7" w:rsidRDefault="00636851" w:rsidP="0077769A">
      <w:pPr>
        <w:numPr>
          <w:ilvl w:val="0"/>
          <w:numId w:val="14"/>
        </w:numPr>
      </w:pPr>
      <w:r w:rsidRPr="006213C7">
        <w:t>A sala do gerador deve ser protegida contra fogo, mediante compartimentação com paredes e portas corta fogo. A entrada e a saída de ar do motor não devem comprometer essa compartimentação.</w:t>
      </w:r>
    </w:p>
    <w:p w14:paraId="1A5245DD" w14:textId="77777777" w:rsidR="00886156" w:rsidRDefault="00636851" w:rsidP="00582DD8">
      <w:pPr>
        <w:pStyle w:val="ITTEXTO3"/>
        <w:rPr>
          <w:rFonts w:eastAsia="Arial"/>
        </w:rPr>
      </w:pPr>
      <w:r>
        <w:rPr>
          <w:rFonts w:eastAsia="Arial"/>
        </w:rPr>
        <w:t xml:space="preserve"> </w:t>
      </w:r>
      <w:r w:rsidR="00886156" w:rsidRPr="00636851">
        <w:rPr>
          <w:rFonts w:eastAsia="Arial"/>
        </w:rPr>
        <w:t>Todos os quadros dos equipamentos de segurança contra incêndio (tais como: bombas de incêndio; central de iluminação de emergência; central de alarme e detecção; moto geradores; ventiladores; exaustores; elevadores etc.) devem ser providos de identificação do lado externo, legível e não facilmente removível e devem possuir (na edificação) os esquemas unifilares respectivos.</w:t>
      </w:r>
    </w:p>
    <w:p w14:paraId="614EE443" w14:textId="77777777" w:rsidR="00886156" w:rsidRDefault="00886156" w:rsidP="00582DD8">
      <w:pPr>
        <w:pStyle w:val="ITTEXTO3"/>
        <w:rPr>
          <w:rFonts w:eastAsia="Arial"/>
        </w:rPr>
      </w:pPr>
      <w:r w:rsidRPr="00636851">
        <w:rPr>
          <w:rFonts w:eastAsia="Arial"/>
        </w:rPr>
        <w:t>Não se admite o uso de dispositivo DR para proteção contra choques elétricos nos circuitos dos serviços de segurança.</w:t>
      </w:r>
    </w:p>
    <w:p w14:paraId="2A97B8EE" w14:textId="77777777" w:rsidR="00886156" w:rsidRDefault="00886156" w:rsidP="00582DD8">
      <w:pPr>
        <w:pStyle w:val="ITTEXTO3"/>
        <w:rPr>
          <w:rFonts w:eastAsia="Arial"/>
        </w:rPr>
      </w:pPr>
      <w:r w:rsidRPr="00636851">
        <w:rPr>
          <w:rFonts w:eastAsia="Arial"/>
        </w:rPr>
        <w:t>Um mesmo conduto não deve possuir circuitos de corrente alternada juntamente com circuitos de corrente contínua. Admite-se tal condição no caso de utilizar condutores que possuam blindagem. Podendo a blindagem ser somente nos circuitos de corrente alternada, somente nos circuitos de corrente contínua ou em todos. Ex: circuitos de acionamento da bomba de incêndio (corrente alternada) com circuitos de acionamento do alarme de incêndio (corrente contínua).</w:t>
      </w:r>
    </w:p>
    <w:p w14:paraId="199E4D18" w14:textId="77777777" w:rsidR="00636851" w:rsidRPr="00582DD8" w:rsidRDefault="00886156" w:rsidP="00582DD8">
      <w:pPr>
        <w:pStyle w:val="ITYEXTO2"/>
        <w:rPr>
          <w:b/>
        </w:rPr>
      </w:pPr>
      <w:r w:rsidRPr="00636851">
        <w:t xml:space="preserve"> </w:t>
      </w:r>
      <w:r w:rsidRPr="00582DD8">
        <w:rPr>
          <w:b/>
        </w:rPr>
        <w:t>Inspeção visual dos serviços de segurança</w:t>
      </w:r>
    </w:p>
    <w:p w14:paraId="690041E5" w14:textId="77777777" w:rsidR="00886156" w:rsidRDefault="00886156" w:rsidP="0077769A">
      <w:r w:rsidRPr="00636851">
        <w:t>A inspeç</w:t>
      </w:r>
      <w:r w:rsidR="00D26D54" w:rsidRPr="00636851">
        <w:t>ão visual exigida pelo CBMAL</w:t>
      </w:r>
      <w:r w:rsidRPr="00636851">
        <w:t xml:space="preserve"> nas instalações elétricas dos serviços de segurança contra incêndio, nos termos do objetivo e premissas desta IT/CBMRN, será realizada com base nos itens 7.1.1 a 7.1.9.</w:t>
      </w:r>
    </w:p>
    <w:p w14:paraId="49ECE687" w14:textId="77777777" w:rsidR="002D130C" w:rsidRPr="002D130C" w:rsidRDefault="002D130C" w:rsidP="0077769A"/>
    <w:p w14:paraId="205497F2" w14:textId="77777777" w:rsidR="00886156" w:rsidRPr="00636851" w:rsidRDefault="00886156" w:rsidP="000F3C57">
      <w:pPr>
        <w:pStyle w:val="ITTTULO1"/>
      </w:pPr>
      <w:r w:rsidRPr="00636851">
        <w:lastRenderedPageBreak/>
        <w:t>DOCUMENTAÇÃO</w:t>
      </w:r>
    </w:p>
    <w:p w14:paraId="6855DCA7" w14:textId="77777777" w:rsidR="00886156" w:rsidRDefault="00636851" w:rsidP="00582DD8">
      <w:pPr>
        <w:pStyle w:val="ITYEXTO2"/>
      </w:pPr>
      <w:r>
        <w:t xml:space="preserve"> </w:t>
      </w:r>
      <w:r w:rsidR="00886156" w:rsidRPr="00636851">
        <w:t>Os requisitos desta IT, bem como os requisitos afins das Normas e Regulamentos específicos, devem ser observados pelos projetistas e constar dos projetos executivos de instalações elétricas prediais e de segurança contra incên</w:t>
      </w:r>
      <w:r w:rsidR="00582DD8">
        <w:t xml:space="preserve">dio, acompanhados das respectivos Documentos </w:t>
      </w:r>
      <w:r w:rsidR="00886156" w:rsidRPr="00636851">
        <w:t>de Responsabilidade Técnica</w:t>
      </w:r>
      <w:r w:rsidR="00D26D54" w:rsidRPr="00636851">
        <w:t>.</w:t>
      </w:r>
      <w:r w:rsidR="00886156" w:rsidRPr="00636851">
        <w:t>.</w:t>
      </w:r>
    </w:p>
    <w:p w14:paraId="40FEE648" w14:textId="77777777" w:rsidR="00886156" w:rsidRDefault="00636851" w:rsidP="00582DD8">
      <w:pPr>
        <w:pStyle w:val="ITYEXTO2"/>
      </w:pPr>
      <w:r>
        <w:t xml:space="preserve"> </w:t>
      </w:r>
      <w:r w:rsidR="00886156" w:rsidRPr="00636851">
        <w:t>No projeto técnico de segurança contra incêndio, a ser apresentado ao CBM</w:t>
      </w:r>
      <w:r w:rsidR="00A275CD" w:rsidRPr="00636851">
        <w:t>AL</w:t>
      </w:r>
      <w:r w:rsidR="00886156" w:rsidRPr="00636851">
        <w:t xml:space="preserve">, deve constar, no quadro </w:t>
      </w:r>
      <w:r>
        <w:t xml:space="preserve"> </w:t>
      </w:r>
      <w:r w:rsidR="00886156" w:rsidRPr="00636851">
        <w:t>resumo das medidas de segurança, “Nota” esclarecendo o atendimento desta IT.</w:t>
      </w:r>
    </w:p>
    <w:p w14:paraId="0DD53C6A" w14:textId="77777777" w:rsidR="00582DD8" w:rsidRDefault="00886156" w:rsidP="00582DD8">
      <w:pPr>
        <w:pStyle w:val="ITYEXTO2"/>
      </w:pPr>
      <w:r w:rsidRPr="00636851">
        <w:t xml:space="preserve">Quando da solicitação da vistoria, deve ser anexado o atestado </w:t>
      </w:r>
      <w:r w:rsidR="00D26D54" w:rsidRPr="00636851">
        <w:t xml:space="preserve">de conformidade das instalações elétricas, conforme </w:t>
      </w:r>
      <w:r w:rsidRPr="00636851">
        <w:t xml:space="preserve">o </w:t>
      </w:r>
      <w:r w:rsidR="00B61761" w:rsidRPr="00636851">
        <w:t xml:space="preserve">Anexo A desta </w:t>
      </w:r>
      <w:r w:rsidRPr="00636851">
        <w:t>IT</w:t>
      </w:r>
      <w:r w:rsidR="00A172F6" w:rsidRPr="00636851">
        <w:t>.</w:t>
      </w:r>
    </w:p>
    <w:p w14:paraId="487B6355" w14:textId="77777777" w:rsidR="00582DD8" w:rsidRDefault="00582DD8" w:rsidP="00582DD8">
      <w:pPr>
        <w:pStyle w:val="ITYEXTO2"/>
        <w:numPr>
          <w:ilvl w:val="0"/>
          <w:numId w:val="0"/>
        </w:numPr>
      </w:pPr>
    </w:p>
    <w:p w14:paraId="409E8FE4" w14:textId="77777777" w:rsidR="00582DD8" w:rsidRDefault="00582DD8" w:rsidP="00582DD8">
      <w:pPr>
        <w:pStyle w:val="ITYEXTO2"/>
        <w:numPr>
          <w:ilvl w:val="0"/>
          <w:numId w:val="0"/>
        </w:numPr>
      </w:pPr>
    </w:p>
    <w:p w14:paraId="1E02F9C4" w14:textId="77777777" w:rsidR="00582DD8" w:rsidRDefault="00582DD8" w:rsidP="00582DD8">
      <w:pPr>
        <w:pStyle w:val="ITYEXTO2"/>
        <w:numPr>
          <w:ilvl w:val="0"/>
          <w:numId w:val="0"/>
        </w:numPr>
      </w:pPr>
    </w:p>
    <w:p w14:paraId="7334A92B" w14:textId="77777777" w:rsidR="00582DD8" w:rsidRDefault="00582DD8" w:rsidP="00582DD8">
      <w:pPr>
        <w:pStyle w:val="ITYEXTO2"/>
        <w:numPr>
          <w:ilvl w:val="0"/>
          <w:numId w:val="0"/>
        </w:numPr>
      </w:pPr>
    </w:p>
    <w:p w14:paraId="464AD613" w14:textId="77777777" w:rsidR="00582DD8" w:rsidRDefault="00582DD8" w:rsidP="00582DD8">
      <w:pPr>
        <w:pStyle w:val="ITYEXTO2"/>
        <w:numPr>
          <w:ilvl w:val="0"/>
          <w:numId w:val="0"/>
        </w:numPr>
      </w:pPr>
    </w:p>
    <w:p w14:paraId="40036FB1" w14:textId="77777777" w:rsidR="00582DD8" w:rsidRDefault="00582DD8" w:rsidP="00582DD8">
      <w:pPr>
        <w:pStyle w:val="ITYEXTO2"/>
        <w:numPr>
          <w:ilvl w:val="0"/>
          <w:numId w:val="0"/>
        </w:numPr>
      </w:pPr>
    </w:p>
    <w:p w14:paraId="5EE0BC81" w14:textId="77777777" w:rsidR="00582DD8" w:rsidRDefault="00582DD8" w:rsidP="00582DD8">
      <w:pPr>
        <w:pStyle w:val="ITYEXTO2"/>
        <w:numPr>
          <w:ilvl w:val="0"/>
          <w:numId w:val="0"/>
        </w:numPr>
      </w:pPr>
    </w:p>
    <w:p w14:paraId="6EAC8D95" w14:textId="77777777" w:rsidR="00582DD8" w:rsidRDefault="00582DD8" w:rsidP="00582DD8">
      <w:pPr>
        <w:pStyle w:val="ITYEXTO2"/>
        <w:numPr>
          <w:ilvl w:val="0"/>
          <w:numId w:val="0"/>
        </w:numPr>
      </w:pPr>
    </w:p>
    <w:p w14:paraId="6CC07C78" w14:textId="77777777" w:rsidR="00582DD8" w:rsidRDefault="00582DD8" w:rsidP="00582DD8">
      <w:pPr>
        <w:pStyle w:val="ITYEXTO2"/>
        <w:numPr>
          <w:ilvl w:val="0"/>
          <w:numId w:val="0"/>
        </w:numPr>
      </w:pPr>
    </w:p>
    <w:p w14:paraId="2F7404CD" w14:textId="77777777" w:rsidR="00582DD8" w:rsidRDefault="00582DD8" w:rsidP="00582DD8">
      <w:pPr>
        <w:pStyle w:val="ITYEXTO2"/>
        <w:numPr>
          <w:ilvl w:val="0"/>
          <w:numId w:val="0"/>
        </w:numPr>
      </w:pPr>
    </w:p>
    <w:p w14:paraId="10E8F408" w14:textId="77777777" w:rsidR="00582DD8" w:rsidRDefault="00582DD8" w:rsidP="00582DD8">
      <w:pPr>
        <w:pStyle w:val="ITYEXTO2"/>
        <w:numPr>
          <w:ilvl w:val="0"/>
          <w:numId w:val="0"/>
        </w:numPr>
      </w:pPr>
    </w:p>
    <w:p w14:paraId="53E69C4A" w14:textId="77777777" w:rsidR="00582DD8" w:rsidRDefault="00582DD8" w:rsidP="00582DD8">
      <w:pPr>
        <w:pStyle w:val="ITYEXTO2"/>
        <w:numPr>
          <w:ilvl w:val="0"/>
          <w:numId w:val="0"/>
        </w:numPr>
      </w:pPr>
    </w:p>
    <w:p w14:paraId="5106A45D" w14:textId="77777777" w:rsidR="00F24037" w:rsidRDefault="00F24037" w:rsidP="00582DD8">
      <w:pPr>
        <w:pStyle w:val="ITYEXTO2"/>
        <w:numPr>
          <w:ilvl w:val="0"/>
          <w:numId w:val="0"/>
        </w:numPr>
      </w:pPr>
    </w:p>
    <w:p w14:paraId="06DC69B1" w14:textId="77777777" w:rsidR="00F24037" w:rsidRDefault="00F24037" w:rsidP="00582DD8">
      <w:pPr>
        <w:pStyle w:val="ITYEXTO2"/>
        <w:numPr>
          <w:ilvl w:val="0"/>
          <w:numId w:val="0"/>
        </w:numPr>
      </w:pPr>
    </w:p>
    <w:p w14:paraId="50CF5FFA" w14:textId="77777777" w:rsidR="00F24037" w:rsidRDefault="00F24037" w:rsidP="00582DD8">
      <w:pPr>
        <w:pStyle w:val="ITYEXTO2"/>
        <w:numPr>
          <w:ilvl w:val="0"/>
          <w:numId w:val="0"/>
        </w:numPr>
      </w:pPr>
    </w:p>
    <w:p w14:paraId="3EA1C7E5" w14:textId="77777777" w:rsidR="00582DD8" w:rsidRDefault="00582DD8" w:rsidP="00582DD8">
      <w:pPr>
        <w:pStyle w:val="ITYEXTO2"/>
        <w:numPr>
          <w:ilvl w:val="0"/>
          <w:numId w:val="0"/>
        </w:numPr>
      </w:pPr>
    </w:p>
    <w:p w14:paraId="5F7E805E" w14:textId="77777777" w:rsidR="00582DD8" w:rsidRDefault="00582DD8" w:rsidP="00582DD8">
      <w:pPr>
        <w:pStyle w:val="ITYEXTO2"/>
        <w:numPr>
          <w:ilvl w:val="0"/>
          <w:numId w:val="0"/>
        </w:numPr>
      </w:pPr>
    </w:p>
    <w:p w14:paraId="130F90BC" w14:textId="77777777" w:rsidR="00582DD8" w:rsidRDefault="00582DD8" w:rsidP="00582DD8">
      <w:pPr>
        <w:pStyle w:val="ITYEXTO2"/>
        <w:numPr>
          <w:ilvl w:val="0"/>
          <w:numId w:val="0"/>
        </w:numPr>
      </w:pPr>
    </w:p>
    <w:p w14:paraId="57303611" w14:textId="77777777" w:rsidR="00582DD8" w:rsidRDefault="00582DD8" w:rsidP="00582DD8">
      <w:pPr>
        <w:pStyle w:val="ITYEXTO2"/>
        <w:numPr>
          <w:ilvl w:val="0"/>
          <w:numId w:val="0"/>
        </w:numPr>
      </w:pPr>
    </w:p>
    <w:p w14:paraId="6F9705BC" w14:textId="77777777" w:rsidR="00582DD8" w:rsidRDefault="00582DD8" w:rsidP="00582DD8">
      <w:pPr>
        <w:pStyle w:val="ITYEXTO2"/>
        <w:numPr>
          <w:ilvl w:val="0"/>
          <w:numId w:val="0"/>
        </w:numPr>
      </w:pPr>
    </w:p>
    <w:p w14:paraId="0FC3FC27" w14:textId="77777777" w:rsidR="00582DD8" w:rsidRDefault="00582DD8" w:rsidP="00582DD8">
      <w:pPr>
        <w:pStyle w:val="ITYEXTO2"/>
        <w:numPr>
          <w:ilvl w:val="0"/>
          <w:numId w:val="0"/>
        </w:numPr>
      </w:pPr>
    </w:p>
    <w:p w14:paraId="6CAD2B92" w14:textId="77777777" w:rsidR="00582DD8" w:rsidRDefault="00582DD8" w:rsidP="00582DD8">
      <w:pPr>
        <w:pStyle w:val="ITYEXTO2"/>
        <w:numPr>
          <w:ilvl w:val="0"/>
          <w:numId w:val="0"/>
        </w:numPr>
      </w:pPr>
    </w:p>
    <w:p w14:paraId="4A6D8436" w14:textId="77777777" w:rsidR="00582DD8" w:rsidRDefault="00582DD8" w:rsidP="00582DD8">
      <w:pPr>
        <w:pStyle w:val="ITYEXTO2"/>
        <w:numPr>
          <w:ilvl w:val="0"/>
          <w:numId w:val="0"/>
        </w:numPr>
      </w:pPr>
    </w:p>
    <w:p w14:paraId="6675F557" w14:textId="77777777" w:rsidR="00582DD8" w:rsidRDefault="00582DD8" w:rsidP="00582DD8">
      <w:pPr>
        <w:pStyle w:val="ITYEXTO2"/>
        <w:numPr>
          <w:ilvl w:val="0"/>
          <w:numId w:val="0"/>
        </w:numPr>
      </w:pPr>
    </w:p>
    <w:p w14:paraId="5651EFC2" w14:textId="77777777" w:rsidR="00582DD8" w:rsidRDefault="00582DD8" w:rsidP="00582DD8">
      <w:pPr>
        <w:pStyle w:val="ITYEXTO2"/>
        <w:numPr>
          <w:ilvl w:val="0"/>
          <w:numId w:val="0"/>
        </w:numPr>
      </w:pPr>
    </w:p>
    <w:p w14:paraId="2067C78F" w14:textId="77777777" w:rsidR="00582DD8" w:rsidRDefault="00582DD8" w:rsidP="00582DD8">
      <w:pPr>
        <w:pStyle w:val="ITYEXTO2"/>
        <w:numPr>
          <w:ilvl w:val="0"/>
          <w:numId w:val="0"/>
        </w:numPr>
      </w:pPr>
    </w:p>
    <w:p w14:paraId="485F89DF" w14:textId="77777777" w:rsidR="000F3C57" w:rsidRDefault="000F3C57" w:rsidP="00F24037">
      <w:pPr>
        <w:pStyle w:val="ITYEXTO2"/>
        <w:numPr>
          <w:ilvl w:val="0"/>
          <w:numId w:val="0"/>
        </w:numPr>
        <w:jc w:val="center"/>
        <w:rPr>
          <w:b/>
        </w:rPr>
      </w:pPr>
    </w:p>
    <w:p w14:paraId="14391073" w14:textId="77777777" w:rsidR="000F3C57" w:rsidRDefault="000F3C57" w:rsidP="00F24037">
      <w:pPr>
        <w:pStyle w:val="ITYEXTO2"/>
        <w:numPr>
          <w:ilvl w:val="0"/>
          <w:numId w:val="0"/>
        </w:numPr>
        <w:jc w:val="center"/>
        <w:rPr>
          <w:b/>
        </w:rPr>
      </w:pPr>
    </w:p>
    <w:p w14:paraId="6C38B67C" w14:textId="77777777" w:rsidR="000F3C57" w:rsidRDefault="000F3C57" w:rsidP="00F24037">
      <w:pPr>
        <w:pStyle w:val="ITYEXTO2"/>
        <w:numPr>
          <w:ilvl w:val="0"/>
          <w:numId w:val="0"/>
        </w:numPr>
        <w:jc w:val="center"/>
        <w:rPr>
          <w:b/>
        </w:rPr>
      </w:pPr>
    </w:p>
    <w:p w14:paraId="56BDA16A" w14:textId="77777777" w:rsidR="00582DD8" w:rsidRPr="00F24037" w:rsidRDefault="00F24037" w:rsidP="00F24037">
      <w:pPr>
        <w:pStyle w:val="ITYEXTO2"/>
        <w:numPr>
          <w:ilvl w:val="0"/>
          <w:numId w:val="0"/>
        </w:numPr>
        <w:jc w:val="center"/>
        <w:rPr>
          <w:b/>
        </w:rPr>
      </w:pPr>
      <w:r w:rsidRPr="00F24037">
        <w:rPr>
          <w:b/>
        </w:rPr>
        <w:lastRenderedPageBreak/>
        <w:t>ANEXO A</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779"/>
      </w:tblGrid>
      <w:tr w:rsidR="00010E68" w:rsidRPr="002E250B" w14:paraId="7568F804" w14:textId="77777777" w:rsidTr="00F24037">
        <w:trPr>
          <w:trHeight w:val="346"/>
          <w:jc w:val="center"/>
        </w:trPr>
        <w:tc>
          <w:tcPr>
            <w:tcW w:w="5000" w:type="pct"/>
            <w:tcBorders>
              <w:top w:val="single" w:sz="12" w:space="0" w:color="auto"/>
              <w:left w:val="single" w:sz="12" w:space="0" w:color="auto"/>
              <w:bottom w:val="single" w:sz="6" w:space="0" w:color="auto"/>
              <w:right w:val="single" w:sz="12" w:space="0" w:color="auto"/>
            </w:tcBorders>
            <w:vAlign w:val="center"/>
          </w:tcPr>
          <w:p w14:paraId="43E64EC7" w14:textId="77777777" w:rsidR="00010E68" w:rsidRPr="002E250B" w:rsidRDefault="00010E68" w:rsidP="0077769A">
            <w:pPr>
              <w:pStyle w:val="ANEXOSNome"/>
            </w:pPr>
            <w:r w:rsidRPr="002E250B">
              <w:t>Atestado d</w:t>
            </w:r>
            <w:r>
              <w:t>e conformidade das instalações E</w:t>
            </w:r>
            <w:r w:rsidRPr="002E250B">
              <w:t>létricas</w:t>
            </w:r>
          </w:p>
        </w:tc>
      </w:tr>
      <w:tr w:rsidR="00010E68" w:rsidRPr="002E250B" w14:paraId="26167C68" w14:textId="77777777" w:rsidTr="00F24037">
        <w:trPr>
          <w:trHeight w:val="251"/>
          <w:jc w:val="center"/>
        </w:trPr>
        <w:tc>
          <w:tcPr>
            <w:tcW w:w="5000" w:type="pct"/>
            <w:tcBorders>
              <w:top w:val="single" w:sz="6" w:space="0" w:color="auto"/>
              <w:left w:val="single" w:sz="12" w:space="0" w:color="auto"/>
              <w:bottom w:val="nil"/>
              <w:right w:val="single" w:sz="12" w:space="0" w:color="auto"/>
            </w:tcBorders>
            <w:vAlign w:val="center"/>
          </w:tcPr>
          <w:p w14:paraId="56FF957B" w14:textId="77777777" w:rsidR="00010E68" w:rsidRPr="002E250B" w:rsidRDefault="00010E68" w:rsidP="0077769A">
            <w:pPr>
              <w:pStyle w:val="ANEXOSNome"/>
            </w:pPr>
            <w:r w:rsidRPr="002E250B">
              <w:t>Classific</w:t>
            </w:r>
            <w:r>
              <w:t xml:space="preserve">ação (uso) da edificação:                                                                              </w:t>
            </w:r>
            <w:r w:rsidRPr="002E250B">
              <w:t>Idade do imóvel:</w:t>
            </w:r>
            <w:r>
              <w:t xml:space="preserve">                  </w:t>
            </w:r>
          </w:p>
        </w:tc>
      </w:tr>
      <w:tr w:rsidR="00010E68" w:rsidRPr="002E250B" w14:paraId="2F9F9189" w14:textId="77777777" w:rsidTr="00F24037">
        <w:trPr>
          <w:trHeight w:val="251"/>
          <w:jc w:val="center"/>
        </w:trPr>
        <w:tc>
          <w:tcPr>
            <w:tcW w:w="5000" w:type="pct"/>
            <w:tcBorders>
              <w:top w:val="single" w:sz="6" w:space="0" w:color="auto"/>
              <w:left w:val="single" w:sz="12" w:space="0" w:color="auto"/>
              <w:bottom w:val="nil"/>
              <w:right w:val="single" w:sz="12" w:space="0" w:color="auto"/>
            </w:tcBorders>
            <w:vAlign w:val="center"/>
          </w:tcPr>
          <w:p w14:paraId="47AF6AC3" w14:textId="77777777" w:rsidR="00010E68" w:rsidRPr="002E250B" w:rsidRDefault="00010E68" w:rsidP="0077769A">
            <w:pPr>
              <w:pStyle w:val="ANEXOSNome"/>
            </w:pPr>
            <w:r w:rsidRPr="002E250B">
              <w:t>Endereço:</w:t>
            </w:r>
            <w:r>
              <w:t xml:space="preserve">                                                                                                                                                                 </w:t>
            </w:r>
          </w:p>
        </w:tc>
      </w:tr>
      <w:tr w:rsidR="00010E68" w:rsidRPr="002E250B" w14:paraId="47296015" w14:textId="77777777" w:rsidTr="00F24037">
        <w:trPr>
          <w:trHeight w:val="251"/>
          <w:jc w:val="center"/>
        </w:trPr>
        <w:tc>
          <w:tcPr>
            <w:tcW w:w="5000" w:type="pct"/>
            <w:tcBorders>
              <w:top w:val="single" w:sz="6" w:space="0" w:color="auto"/>
              <w:left w:val="single" w:sz="12" w:space="0" w:color="auto"/>
              <w:bottom w:val="nil"/>
              <w:right w:val="single" w:sz="12" w:space="0" w:color="auto"/>
            </w:tcBorders>
            <w:vAlign w:val="center"/>
          </w:tcPr>
          <w:p w14:paraId="179EEE51" w14:textId="77777777" w:rsidR="00010E68" w:rsidRPr="002E250B" w:rsidRDefault="00010E68" w:rsidP="0077769A">
            <w:pPr>
              <w:pStyle w:val="ANEXOSNome"/>
            </w:pPr>
            <w:r>
              <w:t xml:space="preserve">Bairro:                                                            </w:t>
            </w:r>
            <w:r w:rsidRPr="002E250B">
              <w:t>Cidade:</w:t>
            </w:r>
            <w:r>
              <w:t xml:space="preserve">                                                  C</w:t>
            </w:r>
            <w:r w:rsidRPr="002E250B">
              <w:t>EP:</w:t>
            </w:r>
            <w:r>
              <w:t xml:space="preserve">                                    </w:t>
            </w:r>
          </w:p>
        </w:tc>
      </w:tr>
      <w:tr w:rsidR="00010E68" w:rsidRPr="002E250B" w14:paraId="5CCB5D41" w14:textId="77777777" w:rsidTr="00F24037">
        <w:trPr>
          <w:trHeight w:val="251"/>
          <w:jc w:val="center"/>
        </w:trPr>
        <w:tc>
          <w:tcPr>
            <w:tcW w:w="5000" w:type="pct"/>
            <w:tcBorders>
              <w:top w:val="single" w:sz="6" w:space="0" w:color="auto"/>
              <w:left w:val="single" w:sz="12" w:space="0" w:color="auto"/>
              <w:bottom w:val="nil"/>
              <w:right w:val="single" w:sz="12" w:space="0" w:color="auto"/>
            </w:tcBorders>
            <w:vAlign w:val="center"/>
          </w:tcPr>
          <w:p w14:paraId="1957EA7C" w14:textId="77777777" w:rsidR="00010E68" w:rsidRPr="002E250B" w:rsidRDefault="00010E68" w:rsidP="0077769A">
            <w:pPr>
              <w:pStyle w:val="ANEXOSNome"/>
            </w:pPr>
            <w:r w:rsidRPr="002E250B">
              <w:t>Pessoa de contato:</w:t>
            </w:r>
            <w:r>
              <w:t xml:space="preserve">                                                                                                       </w:t>
            </w:r>
            <w:r w:rsidRPr="002E250B">
              <w:t>Fone: (  )</w:t>
            </w:r>
            <w:r>
              <w:t xml:space="preserve">                             </w:t>
            </w:r>
          </w:p>
        </w:tc>
      </w:tr>
      <w:tr w:rsidR="00010E68" w:rsidRPr="002E250B" w14:paraId="303466C0" w14:textId="77777777" w:rsidTr="00F24037">
        <w:trPr>
          <w:trHeight w:val="133"/>
          <w:jc w:val="center"/>
        </w:trPr>
        <w:tc>
          <w:tcPr>
            <w:tcW w:w="5000" w:type="pct"/>
            <w:tcBorders>
              <w:top w:val="single" w:sz="6" w:space="0" w:color="auto"/>
              <w:left w:val="single" w:sz="12" w:space="0" w:color="auto"/>
              <w:bottom w:val="nil"/>
              <w:right w:val="single" w:sz="12" w:space="0" w:color="auto"/>
            </w:tcBorders>
            <w:vAlign w:val="center"/>
          </w:tcPr>
          <w:p w14:paraId="00C56806" w14:textId="77777777" w:rsidR="00010E68" w:rsidRPr="002E250B" w:rsidRDefault="00010E68" w:rsidP="0077769A">
            <w:pPr>
              <w:pStyle w:val="ANEXOSNome"/>
            </w:pPr>
            <w:r w:rsidRPr="002E250B">
              <w:t>O responsável pelo fornecimento deste atestado deve preencher todos os campos da tabela a seguir.</w:t>
            </w:r>
          </w:p>
        </w:tc>
      </w:tr>
      <w:tr w:rsidR="00582DD8" w:rsidRPr="002E250B" w14:paraId="4A1A6DD9" w14:textId="77777777" w:rsidTr="00F24037">
        <w:trPr>
          <w:trHeight w:val="133"/>
          <w:jc w:val="center"/>
        </w:trPr>
        <w:tc>
          <w:tcPr>
            <w:tcW w:w="5000" w:type="pct"/>
            <w:tcBorders>
              <w:top w:val="single" w:sz="6" w:space="0" w:color="auto"/>
              <w:left w:val="single" w:sz="12" w:space="0" w:color="auto"/>
              <w:bottom w:val="nil"/>
              <w:right w:val="single" w:sz="12" w:space="0" w:color="auto"/>
            </w:tcBorders>
            <w:vAlign w:val="center"/>
          </w:tcPr>
          <w:p w14:paraId="6556B2E8" w14:textId="77777777" w:rsidR="00582DD8" w:rsidRPr="002E250B" w:rsidRDefault="00582DD8" w:rsidP="0077769A">
            <w:pPr>
              <w:pStyle w:val="ANEXOSNome"/>
            </w:pPr>
          </w:p>
        </w:tc>
      </w:tr>
      <w:tr w:rsidR="00010E68" w:rsidRPr="002E250B" w14:paraId="3B525DBC" w14:textId="77777777" w:rsidTr="00F24037">
        <w:trPr>
          <w:trHeight w:val="4681"/>
          <w:jc w:val="center"/>
        </w:trPr>
        <w:tc>
          <w:tcPr>
            <w:tcW w:w="5000" w:type="pct"/>
            <w:tcBorders>
              <w:top w:val="nil"/>
              <w:left w:val="single" w:sz="12" w:space="0" w:color="auto"/>
              <w:bottom w:val="single" w:sz="12" w:space="0" w:color="auto"/>
              <w:right w:val="single" w:sz="12" w:space="0" w:color="auto"/>
            </w:tcBorders>
          </w:tcPr>
          <w:p w14:paraId="72F4EDDA" w14:textId="77777777" w:rsidR="00010E68" w:rsidRPr="002E250B" w:rsidRDefault="00010E68" w:rsidP="0077769A">
            <w:pPr>
              <w:pStyle w:val="ANEXOSNome"/>
            </w:pPr>
            <w:r w:rsidRPr="002E250B">
              <w:t>“C” = CONFORME / “NA” = NÃO APLICÁVEL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7"/>
              <w:gridCol w:w="7610"/>
              <w:gridCol w:w="573"/>
              <w:gridCol w:w="569"/>
            </w:tblGrid>
            <w:tr w:rsidR="00010E68" w:rsidRPr="00010E68" w14:paraId="29E7A2C6" w14:textId="77777777" w:rsidTr="004506D9">
              <w:trPr>
                <w:trHeight w:val="330"/>
                <w:tblHeader/>
                <w:jc w:val="center"/>
              </w:trPr>
              <w:tc>
                <w:tcPr>
                  <w:tcW w:w="446" w:type="pct"/>
                  <w:tcBorders>
                    <w:top w:val="single" w:sz="12" w:space="0" w:color="auto"/>
                    <w:left w:val="single" w:sz="12" w:space="0" w:color="auto"/>
                    <w:bottom w:val="single" w:sz="12" w:space="0" w:color="auto"/>
                    <w:right w:val="single" w:sz="12" w:space="0" w:color="auto"/>
                  </w:tcBorders>
                  <w:shd w:val="clear" w:color="auto" w:fill="C4BC96"/>
                  <w:vAlign w:val="center"/>
                </w:tcPr>
                <w:p w14:paraId="3955C419" w14:textId="77777777" w:rsidR="00010E68" w:rsidRPr="00010E68" w:rsidRDefault="00010E68" w:rsidP="0077769A">
                  <w:pPr>
                    <w:pStyle w:val="ANEXOSNome"/>
                  </w:pPr>
                  <w:r w:rsidRPr="00010E68">
                    <w:t>Item da IT 41</w:t>
                  </w:r>
                </w:p>
              </w:tc>
              <w:tc>
                <w:tcPr>
                  <w:tcW w:w="3960" w:type="pct"/>
                  <w:tcBorders>
                    <w:top w:val="single" w:sz="12" w:space="0" w:color="auto"/>
                    <w:left w:val="single" w:sz="12" w:space="0" w:color="auto"/>
                    <w:bottom w:val="single" w:sz="12" w:space="0" w:color="auto"/>
                    <w:right w:val="single" w:sz="12" w:space="0" w:color="auto"/>
                  </w:tcBorders>
                  <w:shd w:val="clear" w:color="auto" w:fill="C4BC96"/>
                  <w:vAlign w:val="center"/>
                </w:tcPr>
                <w:p w14:paraId="2A50CF52" w14:textId="77777777" w:rsidR="00010E68" w:rsidRPr="00010E68" w:rsidRDefault="00010E68" w:rsidP="0077769A">
                  <w:pPr>
                    <w:pStyle w:val="ANEXOSNome"/>
                  </w:pPr>
                  <w:r w:rsidRPr="00010E68">
                    <w:t>Requisito para inspeção visual</w:t>
                  </w:r>
                </w:p>
              </w:tc>
              <w:tc>
                <w:tcPr>
                  <w:tcW w:w="298" w:type="pct"/>
                  <w:tcBorders>
                    <w:top w:val="single" w:sz="12" w:space="0" w:color="auto"/>
                    <w:left w:val="single" w:sz="12" w:space="0" w:color="auto"/>
                    <w:bottom w:val="single" w:sz="12" w:space="0" w:color="auto"/>
                    <w:right w:val="single" w:sz="12" w:space="0" w:color="auto"/>
                  </w:tcBorders>
                  <w:shd w:val="clear" w:color="auto" w:fill="C4BC96"/>
                  <w:vAlign w:val="center"/>
                </w:tcPr>
                <w:p w14:paraId="792E4744" w14:textId="77777777" w:rsidR="00010E68" w:rsidRPr="00010E68" w:rsidRDefault="00010E68" w:rsidP="0077769A">
                  <w:pPr>
                    <w:pStyle w:val="ANEXOSNome"/>
                  </w:pPr>
                  <w:r w:rsidRPr="00010E68">
                    <w:t>C</w:t>
                  </w:r>
                </w:p>
              </w:tc>
              <w:tc>
                <w:tcPr>
                  <w:tcW w:w="296" w:type="pct"/>
                  <w:tcBorders>
                    <w:top w:val="single" w:sz="12" w:space="0" w:color="auto"/>
                    <w:left w:val="single" w:sz="12" w:space="0" w:color="auto"/>
                    <w:bottom w:val="single" w:sz="12" w:space="0" w:color="auto"/>
                    <w:right w:val="single" w:sz="12" w:space="0" w:color="auto"/>
                  </w:tcBorders>
                  <w:shd w:val="clear" w:color="auto" w:fill="C4BC96"/>
                  <w:vAlign w:val="center"/>
                </w:tcPr>
                <w:p w14:paraId="7F70EAAB" w14:textId="77777777" w:rsidR="00010E68" w:rsidRPr="00010E68" w:rsidRDefault="00010E68" w:rsidP="0077769A">
                  <w:pPr>
                    <w:pStyle w:val="ANEXOSNome"/>
                  </w:pPr>
                  <w:r w:rsidRPr="00010E68">
                    <w:t>NA</w:t>
                  </w:r>
                </w:p>
              </w:tc>
            </w:tr>
            <w:tr w:rsidR="00010E68" w:rsidRPr="00010E68" w14:paraId="647298A6" w14:textId="77777777" w:rsidTr="004506D9">
              <w:trPr>
                <w:trHeight w:val="165"/>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365C5B20" w14:textId="77777777" w:rsidR="00010E68" w:rsidRPr="00010E68" w:rsidRDefault="00010E68" w:rsidP="0077769A">
                  <w:pPr>
                    <w:pStyle w:val="ANEXOSNome"/>
                  </w:pPr>
                  <w:r w:rsidRPr="00010E68">
                    <w:t>6.1</w:t>
                  </w:r>
                </w:p>
              </w:tc>
              <w:tc>
                <w:tcPr>
                  <w:tcW w:w="3960" w:type="pct"/>
                  <w:tcBorders>
                    <w:top w:val="single" w:sz="12" w:space="0" w:color="auto"/>
                    <w:left w:val="single" w:sz="12" w:space="0" w:color="auto"/>
                    <w:bottom w:val="single" w:sz="12" w:space="0" w:color="auto"/>
                    <w:right w:val="single" w:sz="12" w:space="0" w:color="auto"/>
                  </w:tcBorders>
                  <w:vAlign w:val="center"/>
                </w:tcPr>
                <w:p w14:paraId="1020A242" w14:textId="77777777" w:rsidR="00010E68" w:rsidRPr="00010E68" w:rsidRDefault="00010E68" w:rsidP="0077769A">
                  <w:pPr>
                    <w:pStyle w:val="ANEXOSNome"/>
                  </w:pPr>
                  <w:r w:rsidRPr="00010E68">
                    <w:t>Condições de instalação dos condutores isolados, cabos unipolares e cabos multipolares.</w:t>
                  </w:r>
                </w:p>
              </w:tc>
              <w:tc>
                <w:tcPr>
                  <w:tcW w:w="298" w:type="pct"/>
                  <w:tcBorders>
                    <w:top w:val="single" w:sz="12" w:space="0" w:color="auto"/>
                    <w:left w:val="single" w:sz="12" w:space="0" w:color="auto"/>
                    <w:bottom w:val="single" w:sz="12" w:space="0" w:color="auto"/>
                    <w:right w:val="single" w:sz="12" w:space="0" w:color="auto"/>
                  </w:tcBorders>
                  <w:vAlign w:val="center"/>
                </w:tcPr>
                <w:p w14:paraId="4EFD8A54"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6FB095E0" w14:textId="77777777" w:rsidR="00010E68" w:rsidRPr="00010E68" w:rsidRDefault="00010E68" w:rsidP="0077769A">
                  <w:pPr>
                    <w:pStyle w:val="ANEXOSNome"/>
                  </w:pPr>
                </w:p>
              </w:tc>
            </w:tr>
            <w:tr w:rsidR="00010E68" w:rsidRPr="00010E68" w14:paraId="37B541A2" w14:textId="77777777" w:rsidTr="004506D9">
              <w:trPr>
                <w:trHeight w:val="152"/>
                <w:jc w:val="center"/>
              </w:trPr>
              <w:tc>
                <w:tcPr>
                  <w:tcW w:w="446" w:type="pct"/>
                  <w:tcBorders>
                    <w:top w:val="single" w:sz="12" w:space="0" w:color="auto"/>
                    <w:left w:val="single" w:sz="12" w:space="0" w:color="auto"/>
                    <w:bottom w:val="single" w:sz="12" w:space="0" w:color="auto"/>
                    <w:right w:val="single" w:sz="12" w:space="0" w:color="auto"/>
                  </w:tcBorders>
                  <w:shd w:val="clear" w:color="auto" w:fill="EEECE1"/>
                  <w:vAlign w:val="center"/>
                </w:tcPr>
                <w:p w14:paraId="1B571643" w14:textId="77777777" w:rsidR="00010E68" w:rsidRPr="00010E68" w:rsidRDefault="00010E68" w:rsidP="0077769A">
                  <w:pPr>
                    <w:pStyle w:val="ANEXOSNome"/>
                  </w:pPr>
                  <w:r w:rsidRPr="00010E68">
                    <w:t>6.2</w:t>
                  </w: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76FDC8C6" w14:textId="77777777" w:rsidR="00010E68" w:rsidRPr="00010E68" w:rsidRDefault="00010E68" w:rsidP="0077769A">
                  <w:pPr>
                    <w:pStyle w:val="ANEXOSNome"/>
                  </w:pPr>
                  <w:r w:rsidRPr="00010E68">
                    <w:t>Os circuitos elétricos devem possuir proteção contra sobrecorrentes (disjuntores ou fusíveis).</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010C5C3A"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523AE021" w14:textId="77777777" w:rsidR="00010E68" w:rsidRPr="00010E68" w:rsidRDefault="00010E68" w:rsidP="0077769A">
                  <w:pPr>
                    <w:pStyle w:val="ANEXOSNome"/>
                  </w:pPr>
                </w:p>
              </w:tc>
            </w:tr>
            <w:tr w:rsidR="00010E68" w:rsidRPr="00010E68" w14:paraId="5CBBFD80" w14:textId="77777777" w:rsidTr="004506D9">
              <w:trPr>
                <w:trHeight w:val="165"/>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3FA3BB85" w14:textId="77777777" w:rsidR="00010E68" w:rsidRPr="00010E68" w:rsidRDefault="00010E68" w:rsidP="0077769A">
                  <w:pPr>
                    <w:pStyle w:val="ANEXOSNome"/>
                  </w:pPr>
                  <w:r w:rsidRPr="00010E68">
                    <w:t>6.3</w:t>
                  </w:r>
                </w:p>
              </w:tc>
              <w:tc>
                <w:tcPr>
                  <w:tcW w:w="3960" w:type="pct"/>
                  <w:tcBorders>
                    <w:top w:val="single" w:sz="12" w:space="0" w:color="auto"/>
                    <w:left w:val="single" w:sz="12" w:space="0" w:color="auto"/>
                    <w:bottom w:val="single" w:sz="12" w:space="0" w:color="auto"/>
                    <w:right w:val="single" w:sz="12" w:space="0" w:color="auto"/>
                  </w:tcBorders>
                  <w:vAlign w:val="center"/>
                </w:tcPr>
                <w:p w14:paraId="075DA4BA" w14:textId="77777777" w:rsidR="00010E68" w:rsidRPr="00010E68" w:rsidRDefault="00010E68" w:rsidP="0077769A">
                  <w:pPr>
                    <w:pStyle w:val="ANEXOSNome"/>
                  </w:pPr>
                  <w:r w:rsidRPr="00010E68">
                    <w:t>As partes vivas estão isoladas e/ou protegidas por barreiras ou invólucros.</w:t>
                  </w:r>
                </w:p>
              </w:tc>
              <w:tc>
                <w:tcPr>
                  <w:tcW w:w="298" w:type="pct"/>
                  <w:tcBorders>
                    <w:top w:val="single" w:sz="12" w:space="0" w:color="auto"/>
                    <w:left w:val="single" w:sz="12" w:space="0" w:color="auto"/>
                    <w:bottom w:val="single" w:sz="12" w:space="0" w:color="auto"/>
                    <w:right w:val="single" w:sz="12" w:space="0" w:color="auto"/>
                  </w:tcBorders>
                  <w:vAlign w:val="center"/>
                </w:tcPr>
                <w:p w14:paraId="2E852B05"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45D0222D" w14:textId="77777777" w:rsidR="00010E68" w:rsidRPr="00010E68" w:rsidRDefault="00010E68" w:rsidP="0077769A">
                  <w:pPr>
                    <w:pStyle w:val="ANEXOSNome"/>
                  </w:pPr>
                </w:p>
              </w:tc>
            </w:tr>
            <w:tr w:rsidR="00010E68" w:rsidRPr="00010E68" w14:paraId="3E27E251" w14:textId="77777777" w:rsidTr="004506D9">
              <w:trPr>
                <w:trHeight w:val="330"/>
                <w:jc w:val="center"/>
              </w:trPr>
              <w:tc>
                <w:tcPr>
                  <w:tcW w:w="446" w:type="pct"/>
                  <w:tcBorders>
                    <w:top w:val="single" w:sz="12" w:space="0" w:color="auto"/>
                    <w:left w:val="single" w:sz="12" w:space="0" w:color="auto"/>
                    <w:bottom w:val="single" w:sz="12" w:space="0" w:color="auto"/>
                    <w:right w:val="single" w:sz="12" w:space="0" w:color="auto"/>
                  </w:tcBorders>
                  <w:shd w:val="clear" w:color="auto" w:fill="EEECE1"/>
                  <w:vAlign w:val="center"/>
                </w:tcPr>
                <w:p w14:paraId="32F8F995" w14:textId="77777777" w:rsidR="00010E68" w:rsidRPr="00010E68" w:rsidRDefault="00010E68" w:rsidP="0077769A">
                  <w:pPr>
                    <w:pStyle w:val="ANEXOSNome"/>
                  </w:pPr>
                  <w:r w:rsidRPr="00010E68">
                    <w:t>6.4</w:t>
                  </w: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148B9A0E" w14:textId="77777777" w:rsidR="00010E68" w:rsidRPr="00010E68" w:rsidRDefault="00010E68" w:rsidP="0077769A">
                  <w:pPr>
                    <w:pStyle w:val="ANEXOSNome"/>
                  </w:pPr>
                  <w:r w:rsidRPr="00010E68">
                    <w:t>Todo circuito deve dispor de condutor de proteção “fio-terra” e todas as massas da instalação estão ligadas a condutores de proteção (salvo as exceções).</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4AA1C528"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3B15609B" w14:textId="77777777" w:rsidR="00010E68" w:rsidRPr="00010E68" w:rsidRDefault="00010E68" w:rsidP="0077769A">
                  <w:pPr>
                    <w:pStyle w:val="ANEXOSNome"/>
                  </w:pPr>
                </w:p>
              </w:tc>
            </w:tr>
            <w:tr w:rsidR="00010E68" w:rsidRPr="00010E68" w14:paraId="0866B075" w14:textId="77777777" w:rsidTr="004506D9">
              <w:trPr>
                <w:trHeight w:val="165"/>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1B220642" w14:textId="77777777" w:rsidR="00010E68" w:rsidRPr="00010E68" w:rsidRDefault="00010E68" w:rsidP="0077769A">
                  <w:pPr>
                    <w:pStyle w:val="ANEXOSNome"/>
                  </w:pPr>
                  <w:r w:rsidRPr="00010E68">
                    <w:t>6.5</w:t>
                  </w:r>
                </w:p>
              </w:tc>
              <w:tc>
                <w:tcPr>
                  <w:tcW w:w="3960" w:type="pct"/>
                  <w:tcBorders>
                    <w:top w:val="single" w:sz="12" w:space="0" w:color="auto"/>
                    <w:left w:val="single" w:sz="12" w:space="0" w:color="auto"/>
                    <w:bottom w:val="single" w:sz="12" w:space="0" w:color="auto"/>
                    <w:right w:val="single" w:sz="12" w:space="0" w:color="auto"/>
                  </w:tcBorders>
                  <w:vAlign w:val="center"/>
                </w:tcPr>
                <w:p w14:paraId="0356DABC" w14:textId="77777777" w:rsidR="00010E68" w:rsidRPr="00010E68" w:rsidRDefault="00010E68" w:rsidP="0077769A">
                  <w:pPr>
                    <w:pStyle w:val="ANEXOSNome"/>
                  </w:pPr>
                  <w:r w:rsidRPr="00010E68">
                    <w:t xml:space="preserve">Todas as tomadas de corrente fixas devem ser do tipo com polo de aterramento (2P + T ou 3P+T). </w:t>
                  </w:r>
                </w:p>
              </w:tc>
              <w:tc>
                <w:tcPr>
                  <w:tcW w:w="298" w:type="pct"/>
                  <w:tcBorders>
                    <w:top w:val="single" w:sz="12" w:space="0" w:color="auto"/>
                    <w:left w:val="single" w:sz="12" w:space="0" w:color="auto"/>
                    <w:bottom w:val="single" w:sz="12" w:space="0" w:color="auto"/>
                    <w:right w:val="single" w:sz="12" w:space="0" w:color="auto"/>
                  </w:tcBorders>
                  <w:vAlign w:val="center"/>
                </w:tcPr>
                <w:p w14:paraId="36122016"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7065B1E6" w14:textId="77777777" w:rsidR="00010E68" w:rsidRPr="00010E68" w:rsidRDefault="00010E68" w:rsidP="0077769A">
                  <w:pPr>
                    <w:pStyle w:val="ANEXOSNome"/>
                  </w:pPr>
                </w:p>
              </w:tc>
            </w:tr>
            <w:tr w:rsidR="00010E68" w:rsidRPr="00010E68" w14:paraId="7699C0F5" w14:textId="77777777" w:rsidTr="004506D9">
              <w:trPr>
                <w:trHeight w:val="330"/>
                <w:jc w:val="center"/>
              </w:trPr>
              <w:tc>
                <w:tcPr>
                  <w:tcW w:w="446" w:type="pct"/>
                  <w:tcBorders>
                    <w:top w:val="single" w:sz="12" w:space="0" w:color="auto"/>
                    <w:left w:val="single" w:sz="12" w:space="0" w:color="auto"/>
                    <w:bottom w:val="single" w:sz="12" w:space="0" w:color="auto"/>
                    <w:right w:val="single" w:sz="12" w:space="0" w:color="auto"/>
                  </w:tcBorders>
                  <w:shd w:val="clear" w:color="auto" w:fill="EEECE1"/>
                  <w:vAlign w:val="center"/>
                </w:tcPr>
                <w:p w14:paraId="668C1B32" w14:textId="77777777" w:rsidR="00010E68" w:rsidRPr="00010E68" w:rsidRDefault="00010E68" w:rsidP="0077769A">
                  <w:pPr>
                    <w:pStyle w:val="ANEXOSNome"/>
                  </w:pPr>
                  <w:r w:rsidRPr="00010E68">
                    <w:t>6.6</w:t>
                  </w: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27FC2AD4" w14:textId="77777777" w:rsidR="00010E68" w:rsidRPr="00010E68" w:rsidRDefault="00010E68" w:rsidP="0077769A">
                  <w:pPr>
                    <w:pStyle w:val="ANEXOSNome"/>
                  </w:pPr>
                  <w:r w:rsidRPr="00010E68">
                    <w:t xml:space="preserve">Existência de dispositivo diferencial residual (DR) para proteção contra choques elétricos (salvo as exceções do item 6.6). </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1003BC71"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7A610214" w14:textId="77777777" w:rsidR="00010E68" w:rsidRPr="00010E68" w:rsidRDefault="00010E68" w:rsidP="0077769A">
                  <w:pPr>
                    <w:pStyle w:val="ANEXOSNome"/>
                  </w:pPr>
                </w:p>
              </w:tc>
            </w:tr>
            <w:tr w:rsidR="00010E68" w:rsidRPr="00010E68" w14:paraId="67501363" w14:textId="77777777" w:rsidTr="004506D9">
              <w:trPr>
                <w:trHeight w:val="330"/>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038C7569" w14:textId="77777777" w:rsidR="00010E68" w:rsidRPr="00010E68" w:rsidRDefault="00010E68" w:rsidP="0077769A">
                  <w:pPr>
                    <w:pStyle w:val="ANEXOSNome"/>
                  </w:pPr>
                  <w:r w:rsidRPr="00010E68">
                    <w:t>6.7</w:t>
                  </w:r>
                </w:p>
              </w:tc>
              <w:tc>
                <w:tcPr>
                  <w:tcW w:w="3960" w:type="pct"/>
                  <w:tcBorders>
                    <w:top w:val="single" w:sz="12" w:space="0" w:color="auto"/>
                    <w:left w:val="single" w:sz="12" w:space="0" w:color="auto"/>
                    <w:bottom w:val="single" w:sz="12" w:space="0" w:color="auto"/>
                    <w:right w:val="single" w:sz="12" w:space="0" w:color="auto"/>
                  </w:tcBorders>
                  <w:vAlign w:val="center"/>
                </w:tcPr>
                <w:p w14:paraId="3E81011B" w14:textId="77777777" w:rsidR="00010E68" w:rsidRPr="00010E68" w:rsidRDefault="00010E68" w:rsidP="0077769A">
                  <w:pPr>
                    <w:pStyle w:val="ANEXOSNome"/>
                  </w:pPr>
                  <w:r w:rsidRPr="00010E68">
                    <w:t>Quando houver possibilidade de os componentes da instalação elétrica representarem perigo de incêndio para os materiais adjacentes, deverá haver a devida proteção.</w:t>
                  </w:r>
                </w:p>
              </w:tc>
              <w:tc>
                <w:tcPr>
                  <w:tcW w:w="298" w:type="pct"/>
                  <w:tcBorders>
                    <w:top w:val="single" w:sz="12" w:space="0" w:color="auto"/>
                    <w:left w:val="single" w:sz="12" w:space="0" w:color="auto"/>
                    <w:bottom w:val="single" w:sz="12" w:space="0" w:color="auto"/>
                    <w:right w:val="single" w:sz="12" w:space="0" w:color="auto"/>
                  </w:tcBorders>
                  <w:vAlign w:val="center"/>
                </w:tcPr>
                <w:p w14:paraId="761438FB"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00DADCAA" w14:textId="77777777" w:rsidR="00010E68" w:rsidRPr="00010E68" w:rsidRDefault="00010E68" w:rsidP="0077769A">
                  <w:pPr>
                    <w:pStyle w:val="ANEXOSNome"/>
                  </w:pPr>
                </w:p>
              </w:tc>
            </w:tr>
            <w:tr w:rsidR="00010E68" w:rsidRPr="00010E68" w14:paraId="2149CDBF" w14:textId="77777777" w:rsidTr="004506D9">
              <w:trPr>
                <w:cantSplit/>
                <w:trHeight w:val="152"/>
                <w:jc w:val="center"/>
              </w:trPr>
              <w:tc>
                <w:tcPr>
                  <w:tcW w:w="446" w:type="pct"/>
                  <w:vMerge w:val="restart"/>
                  <w:tcBorders>
                    <w:top w:val="single" w:sz="12" w:space="0" w:color="auto"/>
                    <w:left w:val="single" w:sz="12" w:space="0" w:color="auto"/>
                    <w:bottom w:val="single" w:sz="12" w:space="0" w:color="auto"/>
                    <w:right w:val="single" w:sz="12" w:space="0" w:color="auto"/>
                  </w:tcBorders>
                  <w:shd w:val="clear" w:color="auto" w:fill="EEECE1"/>
                  <w:vAlign w:val="center"/>
                </w:tcPr>
                <w:p w14:paraId="0604AE90" w14:textId="77777777" w:rsidR="00010E68" w:rsidRPr="00010E68" w:rsidRDefault="00010E68" w:rsidP="0077769A">
                  <w:pPr>
                    <w:pStyle w:val="ANEXOSNome"/>
                  </w:pPr>
                  <w:r w:rsidRPr="00010E68">
                    <w:t>6.8</w:t>
                  </w: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7CA970F9" w14:textId="77777777" w:rsidR="00010E68" w:rsidRPr="00010E68" w:rsidRDefault="00010E68" w:rsidP="0077769A">
                  <w:pPr>
                    <w:pStyle w:val="ANEXOSNome"/>
                  </w:pPr>
                  <w:r w:rsidRPr="00010E68">
                    <w:t xml:space="preserve">Os quadros de distribuição devem ser instalados em locais de fácil acesso. </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0B5FF62C"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7B73B73E" w14:textId="77777777" w:rsidR="00010E68" w:rsidRPr="00010E68" w:rsidRDefault="00010E68" w:rsidP="0077769A">
                  <w:pPr>
                    <w:pStyle w:val="ANEXOSNome"/>
                  </w:pPr>
                </w:p>
              </w:tc>
            </w:tr>
            <w:tr w:rsidR="00010E68" w:rsidRPr="00010E68" w14:paraId="4A483FED" w14:textId="77777777" w:rsidTr="004506D9">
              <w:trPr>
                <w:cantSplit/>
                <w:trHeight w:val="342"/>
                <w:jc w:val="center"/>
              </w:trPr>
              <w:tc>
                <w:tcPr>
                  <w:tcW w:w="446" w:type="pct"/>
                  <w:vMerge/>
                  <w:tcBorders>
                    <w:top w:val="single" w:sz="12" w:space="0" w:color="auto"/>
                    <w:left w:val="single" w:sz="12" w:space="0" w:color="auto"/>
                    <w:bottom w:val="single" w:sz="12" w:space="0" w:color="auto"/>
                    <w:right w:val="single" w:sz="12" w:space="0" w:color="auto"/>
                  </w:tcBorders>
                  <w:shd w:val="clear" w:color="auto" w:fill="EEECE1"/>
                  <w:vAlign w:val="center"/>
                </w:tcPr>
                <w:p w14:paraId="2766D48E" w14:textId="77777777" w:rsidR="00010E68" w:rsidRPr="00010E68" w:rsidRDefault="00010E68" w:rsidP="0077769A">
                  <w:pPr>
                    <w:pStyle w:val="ANEXOSNome"/>
                  </w:pPr>
                </w:p>
              </w:tc>
              <w:tc>
                <w:tcPr>
                  <w:tcW w:w="3960" w:type="pct"/>
                  <w:tcBorders>
                    <w:top w:val="single" w:sz="12" w:space="0" w:color="auto"/>
                    <w:left w:val="single" w:sz="12" w:space="0" w:color="auto"/>
                    <w:bottom w:val="single" w:sz="12" w:space="0" w:color="auto"/>
                    <w:right w:val="single" w:sz="12" w:space="0" w:color="auto"/>
                  </w:tcBorders>
                  <w:vAlign w:val="center"/>
                </w:tcPr>
                <w:p w14:paraId="2EF51FF5" w14:textId="77777777" w:rsidR="00010E68" w:rsidRPr="00010E68" w:rsidRDefault="00010E68" w:rsidP="0077769A">
                  <w:pPr>
                    <w:pStyle w:val="ANEXOSNome"/>
                  </w:pPr>
                  <w:r w:rsidRPr="00010E68">
                    <w:t>Os quadros de distribuição devem ser providos de identificação e sinalização do lado externo, de forma legível e não facilmente removível.</w:t>
                  </w:r>
                </w:p>
              </w:tc>
              <w:tc>
                <w:tcPr>
                  <w:tcW w:w="298" w:type="pct"/>
                  <w:tcBorders>
                    <w:top w:val="single" w:sz="12" w:space="0" w:color="auto"/>
                    <w:left w:val="single" w:sz="12" w:space="0" w:color="auto"/>
                    <w:bottom w:val="single" w:sz="12" w:space="0" w:color="auto"/>
                    <w:right w:val="single" w:sz="12" w:space="0" w:color="auto"/>
                  </w:tcBorders>
                  <w:vAlign w:val="center"/>
                </w:tcPr>
                <w:p w14:paraId="0CD7C1B7"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4C2F3670" w14:textId="77777777" w:rsidR="00010E68" w:rsidRPr="00010E68" w:rsidRDefault="00010E68" w:rsidP="0077769A">
                  <w:pPr>
                    <w:pStyle w:val="ANEXOSNome"/>
                  </w:pPr>
                </w:p>
              </w:tc>
            </w:tr>
            <w:tr w:rsidR="00010E68" w:rsidRPr="00010E68" w14:paraId="1132BEBD" w14:textId="77777777" w:rsidTr="004506D9">
              <w:trPr>
                <w:cantSplit/>
                <w:trHeight w:val="507"/>
                <w:jc w:val="center"/>
              </w:trPr>
              <w:tc>
                <w:tcPr>
                  <w:tcW w:w="446" w:type="pct"/>
                  <w:vMerge/>
                  <w:tcBorders>
                    <w:top w:val="single" w:sz="12" w:space="0" w:color="auto"/>
                    <w:left w:val="single" w:sz="12" w:space="0" w:color="auto"/>
                    <w:bottom w:val="single" w:sz="12" w:space="0" w:color="auto"/>
                    <w:right w:val="single" w:sz="12" w:space="0" w:color="auto"/>
                  </w:tcBorders>
                  <w:shd w:val="clear" w:color="auto" w:fill="EEECE1"/>
                  <w:vAlign w:val="center"/>
                </w:tcPr>
                <w:p w14:paraId="50C94DC0" w14:textId="77777777" w:rsidR="00010E68" w:rsidRPr="00010E68" w:rsidRDefault="00010E68" w:rsidP="0077769A">
                  <w:pPr>
                    <w:pStyle w:val="ANEXOSNome"/>
                  </w:pP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55B892BE" w14:textId="77777777" w:rsidR="00010E68" w:rsidRPr="00010E68" w:rsidRDefault="00010E68" w:rsidP="0077769A">
                  <w:pPr>
                    <w:pStyle w:val="ANEXOSNome"/>
                  </w:pPr>
                  <w:r w:rsidRPr="00010E68">
                    <w:t>Os componentes dos quadros devem ser identificados de tal forma que a correspondência entre componentes e respectivos circuitos possa ser prontamente reconhecida, de forma legível e não facilmente removível.</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24E2749E"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1EA092F7" w14:textId="77777777" w:rsidR="00010E68" w:rsidRPr="00010E68" w:rsidRDefault="00010E68" w:rsidP="0077769A">
                  <w:pPr>
                    <w:pStyle w:val="ANEXOSNome"/>
                  </w:pPr>
                </w:p>
              </w:tc>
            </w:tr>
            <w:tr w:rsidR="00010E68" w:rsidRPr="00010E68" w14:paraId="01131F2A" w14:textId="77777777" w:rsidTr="004506D9">
              <w:trPr>
                <w:cantSplit/>
                <w:trHeight w:val="165"/>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62CC0431" w14:textId="77777777" w:rsidR="00010E68" w:rsidRPr="00010E68" w:rsidRDefault="00010E68" w:rsidP="0077769A">
                  <w:pPr>
                    <w:pStyle w:val="ANEXOSNome"/>
                  </w:pPr>
                  <w:r w:rsidRPr="00010E68">
                    <w:t>6.9</w:t>
                  </w:r>
                </w:p>
              </w:tc>
              <w:tc>
                <w:tcPr>
                  <w:tcW w:w="3960" w:type="pct"/>
                  <w:tcBorders>
                    <w:top w:val="single" w:sz="12" w:space="0" w:color="auto"/>
                    <w:left w:val="single" w:sz="12" w:space="0" w:color="auto"/>
                    <w:bottom w:val="single" w:sz="12" w:space="0" w:color="auto"/>
                    <w:right w:val="single" w:sz="12" w:space="0" w:color="auto"/>
                  </w:tcBorders>
                  <w:vAlign w:val="center"/>
                </w:tcPr>
                <w:p w14:paraId="47C9BA18" w14:textId="77777777" w:rsidR="00010E68" w:rsidRPr="00010E68" w:rsidRDefault="00010E68" w:rsidP="0077769A">
                  <w:pPr>
                    <w:pStyle w:val="ANEXOSNome"/>
                  </w:pPr>
                  <w:r w:rsidRPr="00010E68">
                    <w:t>Sistema de proteção contra descargas atmosféricas (SPDA).</w:t>
                  </w:r>
                </w:p>
              </w:tc>
              <w:tc>
                <w:tcPr>
                  <w:tcW w:w="298" w:type="pct"/>
                  <w:tcBorders>
                    <w:top w:val="single" w:sz="12" w:space="0" w:color="auto"/>
                    <w:left w:val="single" w:sz="12" w:space="0" w:color="auto"/>
                    <w:bottom w:val="single" w:sz="12" w:space="0" w:color="auto"/>
                    <w:right w:val="single" w:sz="12" w:space="0" w:color="auto"/>
                  </w:tcBorders>
                  <w:vAlign w:val="center"/>
                </w:tcPr>
                <w:p w14:paraId="20F512F2"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74E49ACA" w14:textId="77777777" w:rsidR="00010E68" w:rsidRPr="00010E68" w:rsidRDefault="00010E68" w:rsidP="0077769A">
                  <w:pPr>
                    <w:pStyle w:val="ANEXOSNome"/>
                  </w:pPr>
                </w:p>
              </w:tc>
            </w:tr>
            <w:tr w:rsidR="00010E68" w:rsidRPr="00010E68" w14:paraId="13698017" w14:textId="77777777" w:rsidTr="004506D9">
              <w:trPr>
                <w:trHeight w:val="330"/>
                <w:jc w:val="center"/>
              </w:trPr>
              <w:tc>
                <w:tcPr>
                  <w:tcW w:w="446" w:type="pct"/>
                  <w:tcBorders>
                    <w:top w:val="single" w:sz="12" w:space="0" w:color="auto"/>
                    <w:left w:val="single" w:sz="12" w:space="0" w:color="auto"/>
                    <w:bottom w:val="single" w:sz="12" w:space="0" w:color="auto"/>
                    <w:right w:val="single" w:sz="12" w:space="0" w:color="auto"/>
                  </w:tcBorders>
                  <w:shd w:val="clear" w:color="auto" w:fill="EEECE1"/>
                  <w:vAlign w:val="center"/>
                </w:tcPr>
                <w:p w14:paraId="559F3166" w14:textId="77777777" w:rsidR="00010E68" w:rsidRPr="00010E68" w:rsidRDefault="00010E68" w:rsidP="0077769A">
                  <w:pPr>
                    <w:pStyle w:val="ANEXOSNome"/>
                  </w:pPr>
                  <w:r w:rsidRPr="00010E68">
                    <w:t>7.1.2</w:t>
                  </w: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5736F729" w14:textId="77777777" w:rsidR="00010E68" w:rsidRPr="00010E68" w:rsidRDefault="00010E68" w:rsidP="0077769A">
                  <w:pPr>
                    <w:pStyle w:val="ANEXOSNome"/>
                  </w:pPr>
                  <w:r w:rsidRPr="00010E68">
                    <w:t>Os quadros, circuitos e linhas dos sistemas de segurança contra incêndio devem ser independentes dos circuitos comuns.</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72B4D4C8"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1E53E449" w14:textId="77777777" w:rsidR="00010E68" w:rsidRPr="00010E68" w:rsidRDefault="00010E68" w:rsidP="0077769A">
                  <w:pPr>
                    <w:pStyle w:val="ANEXOSNome"/>
                  </w:pPr>
                </w:p>
              </w:tc>
            </w:tr>
            <w:tr w:rsidR="00010E68" w:rsidRPr="00010E68" w14:paraId="239589FA" w14:textId="77777777" w:rsidTr="004506D9">
              <w:trPr>
                <w:trHeight w:val="662"/>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5163B557" w14:textId="77777777" w:rsidR="00010E68" w:rsidRPr="00010E68" w:rsidRDefault="00010E68" w:rsidP="0077769A">
                  <w:pPr>
                    <w:pStyle w:val="ANEXOSNome"/>
                  </w:pPr>
                  <w:r w:rsidRPr="00010E68">
                    <w:lastRenderedPageBreak/>
                    <w:t>7.1.3 a 7.1.5</w:t>
                  </w:r>
                </w:p>
              </w:tc>
              <w:tc>
                <w:tcPr>
                  <w:tcW w:w="3960" w:type="pct"/>
                  <w:tcBorders>
                    <w:top w:val="single" w:sz="12" w:space="0" w:color="auto"/>
                    <w:left w:val="single" w:sz="12" w:space="0" w:color="auto"/>
                    <w:bottom w:val="single" w:sz="12" w:space="0" w:color="auto"/>
                    <w:right w:val="single" w:sz="12" w:space="0" w:color="auto"/>
                  </w:tcBorders>
                  <w:vAlign w:val="center"/>
                </w:tcPr>
                <w:p w14:paraId="7930B347" w14:textId="77777777" w:rsidR="00010E68" w:rsidRPr="00010E68" w:rsidRDefault="00010E68" w:rsidP="0077769A">
                  <w:pPr>
                    <w:pStyle w:val="ANEXOSNome"/>
                  </w:pPr>
                  <w:r w:rsidRPr="00010E68">
                    <w:t>As fontes de energia, os quadros, os circuitos e as linhas elétricas que alimentam equipamentos de segurança destinados ao combate e supressão de incêndio, à ventilação, à pressurização e ao controle de fumaça devem estar devidamente protegidos com material resistente ao fogo ou enclausurados em ambientes resistentes ao fogo.</w:t>
                  </w:r>
                </w:p>
              </w:tc>
              <w:tc>
                <w:tcPr>
                  <w:tcW w:w="298" w:type="pct"/>
                  <w:tcBorders>
                    <w:top w:val="single" w:sz="12" w:space="0" w:color="auto"/>
                    <w:left w:val="single" w:sz="12" w:space="0" w:color="auto"/>
                    <w:bottom w:val="single" w:sz="12" w:space="0" w:color="auto"/>
                    <w:right w:val="single" w:sz="12" w:space="0" w:color="auto"/>
                  </w:tcBorders>
                  <w:vAlign w:val="center"/>
                </w:tcPr>
                <w:p w14:paraId="5C5AA17A"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1BF1BABC" w14:textId="77777777" w:rsidR="00010E68" w:rsidRPr="00010E68" w:rsidRDefault="00010E68" w:rsidP="0077769A">
                  <w:pPr>
                    <w:pStyle w:val="ANEXOSNome"/>
                  </w:pPr>
                </w:p>
              </w:tc>
            </w:tr>
            <w:tr w:rsidR="00010E68" w:rsidRPr="00010E68" w14:paraId="01E0FBF7" w14:textId="77777777" w:rsidTr="004506D9">
              <w:trPr>
                <w:trHeight w:val="330"/>
                <w:jc w:val="center"/>
              </w:trPr>
              <w:tc>
                <w:tcPr>
                  <w:tcW w:w="446" w:type="pct"/>
                  <w:tcBorders>
                    <w:top w:val="single" w:sz="12" w:space="0" w:color="auto"/>
                    <w:left w:val="single" w:sz="12" w:space="0" w:color="auto"/>
                    <w:bottom w:val="single" w:sz="12" w:space="0" w:color="auto"/>
                    <w:right w:val="single" w:sz="12" w:space="0" w:color="auto"/>
                  </w:tcBorders>
                  <w:shd w:val="clear" w:color="auto" w:fill="EEECE1"/>
                  <w:vAlign w:val="center"/>
                </w:tcPr>
                <w:p w14:paraId="3ADB00D4" w14:textId="77777777" w:rsidR="00010E68" w:rsidRPr="00010E68" w:rsidRDefault="00010E68" w:rsidP="0077769A">
                  <w:pPr>
                    <w:pStyle w:val="ANEXOSNome"/>
                  </w:pPr>
                  <w:r w:rsidRPr="00010E68">
                    <w:t>7.1.6</w:t>
                  </w: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7EBBAA04" w14:textId="77777777" w:rsidR="00010E68" w:rsidRPr="00010E68" w:rsidRDefault="00010E68" w:rsidP="0077769A">
                  <w:pPr>
                    <w:pStyle w:val="ANEXOSNome"/>
                  </w:pPr>
                  <w:r w:rsidRPr="00010E68">
                    <w:t>Sala do motogerador e circuitos elétricos de segurança por ele alimentados estão em conformidade com o item 7.1.6.</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007655F7"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56CC979B" w14:textId="77777777" w:rsidR="00010E68" w:rsidRPr="00010E68" w:rsidRDefault="00010E68" w:rsidP="0077769A">
                  <w:pPr>
                    <w:pStyle w:val="ANEXOSNome"/>
                  </w:pPr>
                </w:p>
              </w:tc>
            </w:tr>
            <w:tr w:rsidR="00010E68" w:rsidRPr="00010E68" w14:paraId="0CEDA814" w14:textId="77777777" w:rsidTr="004506D9">
              <w:trPr>
                <w:trHeight w:val="215"/>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2F2EEBD4" w14:textId="77777777" w:rsidR="00010E68" w:rsidRPr="00010E68" w:rsidRDefault="00010E68" w:rsidP="0077769A">
                  <w:pPr>
                    <w:pStyle w:val="ANEXOSNome"/>
                  </w:pPr>
                  <w:r w:rsidRPr="00010E68">
                    <w:t>7.1.9</w:t>
                  </w:r>
                </w:p>
              </w:tc>
              <w:tc>
                <w:tcPr>
                  <w:tcW w:w="3960" w:type="pct"/>
                  <w:tcBorders>
                    <w:top w:val="single" w:sz="12" w:space="0" w:color="auto"/>
                    <w:left w:val="single" w:sz="12" w:space="0" w:color="auto"/>
                    <w:bottom w:val="single" w:sz="12" w:space="0" w:color="auto"/>
                    <w:right w:val="single" w:sz="12" w:space="0" w:color="auto"/>
                  </w:tcBorders>
                  <w:vAlign w:val="center"/>
                </w:tcPr>
                <w:p w14:paraId="3619E73B" w14:textId="77777777" w:rsidR="00010E68" w:rsidRPr="00010E68" w:rsidRDefault="00010E68" w:rsidP="0077769A">
                  <w:pPr>
                    <w:pStyle w:val="ANEXOSNome"/>
                  </w:pPr>
                  <w:r w:rsidRPr="00010E68">
                    <w:t>Circuitos de corrente alternada estão separados dos circuitos de corrente contínua.</w:t>
                  </w:r>
                </w:p>
              </w:tc>
              <w:tc>
                <w:tcPr>
                  <w:tcW w:w="298" w:type="pct"/>
                  <w:tcBorders>
                    <w:top w:val="single" w:sz="12" w:space="0" w:color="auto"/>
                    <w:left w:val="single" w:sz="12" w:space="0" w:color="auto"/>
                    <w:bottom w:val="single" w:sz="12" w:space="0" w:color="auto"/>
                    <w:right w:val="single" w:sz="12" w:space="0" w:color="auto"/>
                  </w:tcBorders>
                  <w:vAlign w:val="center"/>
                </w:tcPr>
                <w:p w14:paraId="1AC88A4B"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vAlign w:val="center"/>
                </w:tcPr>
                <w:p w14:paraId="1A6E1A24" w14:textId="77777777" w:rsidR="00010E68" w:rsidRPr="00010E68" w:rsidRDefault="00010E68" w:rsidP="0077769A">
                  <w:pPr>
                    <w:pStyle w:val="ANEXOSNome"/>
                  </w:pPr>
                </w:p>
              </w:tc>
            </w:tr>
            <w:tr w:rsidR="00010E68" w:rsidRPr="00010E68" w14:paraId="6EEC7B9A" w14:textId="77777777" w:rsidTr="004506D9">
              <w:trPr>
                <w:trHeight w:val="165"/>
                <w:jc w:val="center"/>
              </w:trPr>
              <w:tc>
                <w:tcPr>
                  <w:tcW w:w="446" w:type="pct"/>
                  <w:tcBorders>
                    <w:top w:val="single" w:sz="12" w:space="0" w:color="auto"/>
                    <w:left w:val="single" w:sz="12" w:space="0" w:color="auto"/>
                    <w:bottom w:val="single" w:sz="12" w:space="0" w:color="auto"/>
                    <w:right w:val="single" w:sz="12" w:space="0" w:color="auto"/>
                  </w:tcBorders>
                  <w:shd w:val="clear" w:color="auto" w:fill="EEECE1"/>
                  <w:vAlign w:val="center"/>
                </w:tcPr>
                <w:p w14:paraId="1455C84E" w14:textId="77777777" w:rsidR="00010E68" w:rsidRPr="00010E68" w:rsidRDefault="00010E68" w:rsidP="0077769A">
                  <w:pPr>
                    <w:pStyle w:val="ANEXOSNome"/>
                  </w:pPr>
                  <w:r w:rsidRPr="00010E68">
                    <w:t>8.1 e 8.3</w:t>
                  </w:r>
                </w:p>
              </w:tc>
              <w:tc>
                <w:tcPr>
                  <w:tcW w:w="3960" w:type="pct"/>
                  <w:tcBorders>
                    <w:top w:val="single" w:sz="12" w:space="0" w:color="auto"/>
                    <w:left w:val="single" w:sz="12" w:space="0" w:color="auto"/>
                    <w:bottom w:val="single" w:sz="12" w:space="0" w:color="auto"/>
                    <w:right w:val="single" w:sz="12" w:space="0" w:color="auto"/>
                  </w:tcBorders>
                  <w:shd w:val="clear" w:color="auto" w:fill="EEECE1"/>
                  <w:vAlign w:val="center"/>
                </w:tcPr>
                <w:p w14:paraId="39F2254A" w14:textId="77777777" w:rsidR="00010E68" w:rsidRPr="00010E68" w:rsidRDefault="00010E68" w:rsidP="0077769A">
                  <w:pPr>
                    <w:pStyle w:val="ANEXOSNome"/>
                  </w:pPr>
                  <w:r w:rsidRPr="00010E68">
                    <w:t>Comprovação de Responsabilidade Técnica específica do sistema elétrico (projeto, execução, inspeção, manutenção – conforme o caso).</w:t>
                  </w:r>
                </w:p>
              </w:tc>
              <w:tc>
                <w:tcPr>
                  <w:tcW w:w="298" w:type="pct"/>
                  <w:tcBorders>
                    <w:top w:val="single" w:sz="12" w:space="0" w:color="auto"/>
                    <w:left w:val="single" w:sz="12" w:space="0" w:color="auto"/>
                    <w:bottom w:val="single" w:sz="12" w:space="0" w:color="auto"/>
                    <w:right w:val="single" w:sz="12" w:space="0" w:color="auto"/>
                  </w:tcBorders>
                  <w:shd w:val="clear" w:color="auto" w:fill="EEECE1"/>
                  <w:vAlign w:val="center"/>
                </w:tcPr>
                <w:p w14:paraId="198D5044" w14:textId="77777777" w:rsidR="00010E68" w:rsidRPr="00010E68" w:rsidRDefault="00010E68" w:rsidP="0077769A">
                  <w:pPr>
                    <w:pStyle w:val="ANEXOSNome"/>
                  </w:pPr>
                </w:p>
              </w:tc>
              <w:tc>
                <w:tcPr>
                  <w:tcW w:w="296" w:type="pct"/>
                  <w:tcBorders>
                    <w:top w:val="single" w:sz="12" w:space="0" w:color="auto"/>
                    <w:left w:val="single" w:sz="12" w:space="0" w:color="auto"/>
                    <w:bottom w:val="single" w:sz="12" w:space="0" w:color="auto"/>
                    <w:right w:val="single" w:sz="12" w:space="0" w:color="auto"/>
                  </w:tcBorders>
                  <w:shd w:val="clear" w:color="auto" w:fill="EEECE1"/>
                  <w:vAlign w:val="center"/>
                </w:tcPr>
                <w:p w14:paraId="5D4D0603" w14:textId="77777777" w:rsidR="00010E68" w:rsidRPr="00010E68" w:rsidRDefault="00010E68" w:rsidP="0077769A">
                  <w:pPr>
                    <w:pStyle w:val="ANEXOSNome"/>
                  </w:pPr>
                </w:p>
              </w:tc>
            </w:tr>
            <w:tr w:rsidR="00010E68" w:rsidRPr="00010E68" w14:paraId="58B143F2" w14:textId="77777777" w:rsidTr="004506D9">
              <w:trPr>
                <w:trHeight w:val="768"/>
                <w:jc w:val="center"/>
              </w:trPr>
              <w:tc>
                <w:tcPr>
                  <w:tcW w:w="446" w:type="pct"/>
                  <w:tcBorders>
                    <w:top w:val="single" w:sz="12" w:space="0" w:color="auto"/>
                    <w:left w:val="single" w:sz="12" w:space="0" w:color="auto"/>
                    <w:bottom w:val="single" w:sz="12" w:space="0" w:color="auto"/>
                    <w:right w:val="single" w:sz="12" w:space="0" w:color="auto"/>
                  </w:tcBorders>
                  <w:vAlign w:val="center"/>
                </w:tcPr>
                <w:p w14:paraId="014EACF9" w14:textId="77777777" w:rsidR="00010E68" w:rsidRPr="00010E68" w:rsidRDefault="00010E68" w:rsidP="0077769A">
                  <w:pPr>
                    <w:pStyle w:val="ANEXOSNome"/>
                  </w:pPr>
                  <w:r w:rsidRPr="00010E68">
                    <w:t>Obs.</w:t>
                  </w:r>
                </w:p>
              </w:tc>
              <w:tc>
                <w:tcPr>
                  <w:tcW w:w="4554" w:type="pct"/>
                  <w:gridSpan w:val="3"/>
                  <w:tcBorders>
                    <w:top w:val="single" w:sz="12" w:space="0" w:color="auto"/>
                    <w:left w:val="single" w:sz="12" w:space="0" w:color="auto"/>
                    <w:bottom w:val="single" w:sz="12" w:space="0" w:color="auto"/>
                    <w:right w:val="single" w:sz="12" w:space="0" w:color="auto"/>
                  </w:tcBorders>
                  <w:vAlign w:val="center"/>
                </w:tcPr>
                <w:p w14:paraId="424E80D5" w14:textId="77777777" w:rsidR="00010E68" w:rsidRPr="00010E68" w:rsidRDefault="00010E68" w:rsidP="0077769A">
                  <w:pPr>
                    <w:pStyle w:val="ANEXOSNome"/>
                  </w:pPr>
                </w:p>
              </w:tc>
            </w:tr>
          </w:tbl>
          <w:p w14:paraId="238874AE" w14:textId="77777777" w:rsidR="00010E68" w:rsidRPr="00B61761" w:rsidRDefault="00010E68" w:rsidP="0077769A">
            <w:pPr>
              <w:pStyle w:val="ANEXOSNome"/>
            </w:pPr>
            <w:r w:rsidRPr="00B61761">
              <w:t>Avaliação geral das instalações elétricas:</w:t>
            </w:r>
          </w:p>
          <w:p w14:paraId="44F101EA" w14:textId="77777777" w:rsidR="00010E68" w:rsidRPr="00B61761" w:rsidRDefault="00010E68" w:rsidP="0077769A">
            <w:pPr>
              <w:pStyle w:val="ANEXOSNome"/>
            </w:pPr>
            <w:r w:rsidRPr="00B61761">
              <w:t>Atesto, nesta data, que o sistema elétrico da edificação (incluindo o SPDA) foi inspecionado e verificado conforme as prescrições da NBR 5410 (capítulo “Verificação final”), da NBR 5419 e NBR 10898 (tensão máxima no circuito) e encontra-se em conformidade, estando o proprietário, e/ou responsável pelo uso, ciente das responsabilidades constantes do item 2 da IT 41.</w:t>
            </w:r>
          </w:p>
          <w:tbl>
            <w:tblPr>
              <w:tblW w:w="9820" w:type="dxa"/>
              <w:jc w:val="center"/>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4910"/>
              <w:gridCol w:w="4910"/>
            </w:tblGrid>
            <w:tr w:rsidR="00B61761" w:rsidRPr="00010E68" w14:paraId="13E7C826" w14:textId="77777777" w:rsidTr="00B61761">
              <w:trPr>
                <w:trHeight w:val="1300"/>
                <w:jc w:val="center"/>
              </w:trPr>
              <w:tc>
                <w:tcPr>
                  <w:tcW w:w="4910" w:type="dxa"/>
                  <w:vAlign w:val="center"/>
                </w:tcPr>
                <w:p w14:paraId="6CE34B84" w14:textId="77777777" w:rsidR="00B61761" w:rsidRDefault="00B61761" w:rsidP="0077769A">
                  <w:pPr>
                    <w:pStyle w:val="ANEXOSNome"/>
                  </w:pPr>
                  <w:r>
                    <w:t>D</w:t>
                  </w:r>
                  <w:r w:rsidR="00010E68" w:rsidRPr="00010E68">
                    <w:t>ata da inspeção:</w:t>
                  </w:r>
                </w:p>
                <w:p w14:paraId="66D4FB2A" w14:textId="77777777" w:rsidR="00B61761" w:rsidRPr="00010E68" w:rsidRDefault="00B61761" w:rsidP="0077769A">
                  <w:pPr>
                    <w:pStyle w:val="ANEXOSNome"/>
                  </w:pPr>
                  <w:r w:rsidRPr="00010E68">
                    <w:t>Responsável técnico:</w:t>
                  </w:r>
                </w:p>
                <w:p w14:paraId="13B46FF9" w14:textId="77777777" w:rsidR="00B61761" w:rsidRPr="00010E68" w:rsidRDefault="00B61761" w:rsidP="0077769A">
                  <w:pPr>
                    <w:pStyle w:val="ANEXOSNome"/>
                  </w:pPr>
                  <w:r w:rsidRPr="00010E68">
                    <w:t>_____________________________________</w:t>
                  </w:r>
                </w:p>
                <w:p w14:paraId="0C3864A6" w14:textId="77777777" w:rsidR="00B61761" w:rsidRPr="00010E68" w:rsidRDefault="00B61761" w:rsidP="0077769A">
                  <w:pPr>
                    <w:pStyle w:val="ANEXOSNome"/>
                  </w:pPr>
                  <w:r w:rsidRPr="00010E68">
                    <w:t>Assinatura (Certificação digital)</w:t>
                  </w:r>
                </w:p>
              </w:tc>
              <w:tc>
                <w:tcPr>
                  <w:tcW w:w="4910" w:type="dxa"/>
                  <w:vAlign w:val="center"/>
                </w:tcPr>
                <w:p w14:paraId="6A79E8D4" w14:textId="77777777" w:rsidR="00B61761" w:rsidRPr="00010E68" w:rsidRDefault="00B61761" w:rsidP="0077769A">
                  <w:pPr>
                    <w:pStyle w:val="ANEXOSNome"/>
                  </w:pPr>
                </w:p>
                <w:p w14:paraId="61E5F384" w14:textId="77777777" w:rsidR="00B61761" w:rsidRPr="00010E68" w:rsidRDefault="00B61761" w:rsidP="0077769A">
                  <w:pPr>
                    <w:pStyle w:val="ANEXOSNome"/>
                  </w:pPr>
                  <w:r w:rsidRPr="00010E68">
                    <w:t>_________________________________________</w:t>
                  </w:r>
                </w:p>
                <w:p w14:paraId="4DBBFB60" w14:textId="77777777" w:rsidR="00B61761" w:rsidRPr="00010E68" w:rsidRDefault="00B61761" w:rsidP="0077769A">
                  <w:pPr>
                    <w:pStyle w:val="ANEXOSNome"/>
                  </w:pPr>
                  <w:r w:rsidRPr="00010E68">
                    <w:t>Nome:</w:t>
                  </w:r>
                </w:p>
                <w:p w14:paraId="3FA76558" w14:textId="77777777" w:rsidR="00B61761" w:rsidRPr="00010E68" w:rsidRDefault="00B61761" w:rsidP="0077769A">
                  <w:pPr>
                    <w:pStyle w:val="ANEXOSNome"/>
                  </w:pPr>
                  <w:r w:rsidRPr="00010E68">
                    <w:t>Proprietário ou Responsável pelo uso:</w:t>
                  </w:r>
                </w:p>
              </w:tc>
            </w:tr>
          </w:tbl>
          <w:p w14:paraId="3DF611DA" w14:textId="77777777" w:rsidR="00010E68" w:rsidRPr="00010E68" w:rsidRDefault="00B61761" w:rsidP="0077769A">
            <w:pPr>
              <w:pStyle w:val="ANEXOSNome"/>
            </w:pPr>
            <w:r w:rsidRPr="00010E68">
              <w:t>(Obrigatório anexar comprovação de responsabilidade técnica, que inclua a emissão deste atestado)</w:t>
            </w:r>
          </w:p>
          <w:p w14:paraId="2417ACF1" w14:textId="77777777" w:rsidR="00010E68" w:rsidRPr="002E250B" w:rsidRDefault="00010E68" w:rsidP="0077769A">
            <w:pPr>
              <w:pStyle w:val="ANEXOSNome"/>
            </w:pPr>
          </w:p>
        </w:tc>
      </w:tr>
    </w:tbl>
    <w:p w14:paraId="61E2DA60" w14:textId="77777777" w:rsidR="00010E68" w:rsidRPr="009971F6" w:rsidRDefault="00010E68" w:rsidP="0077769A"/>
    <w:sectPr w:rsidR="00010E68" w:rsidRPr="009971F6" w:rsidSect="00F24037">
      <w:type w:val="continuous"/>
      <w:pgSz w:w="11906" w:h="16838"/>
      <w:pgMar w:top="1134" w:right="991"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20B31" w14:textId="77777777" w:rsidR="00434292" w:rsidRDefault="00434292" w:rsidP="0077769A">
      <w:r>
        <w:separator/>
      </w:r>
    </w:p>
  </w:endnote>
  <w:endnote w:type="continuationSeparator" w:id="0">
    <w:p w14:paraId="56FC4462" w14:textId="77777777" w:rsidR="00434292" w:rsidRDefault="00434292" w:rsidP="00777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8CF7B" w14:textId="77777777" w:rsidR="0077769A" w:rsidRPr="0077769A" w:rsidRDefault="0077769A" w:rsidP="0077769A">
    <w:pPr>
      <w:pStyle w:val="Rodap"/>
      <w:pBdr>
        <w:top w:val="thinThickSmallGap" w:sz="24" w:space="1" w:color="622423"/>
      </w:pBdr>
      <w:tabs>
        <w:tab w:val="clear" w:pos="4252"/>
        <w:tab w:val="clear" w:pos="8504"/>
        <w:tab w:val="right" w:pos="9638"/>
      </w:tabs>
      <w:rPr>
        <w:rFonts w:ascii="Cambria" w:eastAsia="Times New Roman" w:hAnsi="Cambria"/>
      </w:rPr>
    </w:pPr>
    <w:r>
      <w:rPr>
        <w:rFonts w:ascii="Cambria" w:eastAsia="Times New Roman" w:hAnsi="Cambria"/>
        <w:color w:val="auto"/>
      </w:rPr>
      <w:t>Corpo de Bombeiros Militar de Alagoas</w:t>
    </w:r>
    <w:r w:rsidRPr="0077769A">
      <w:rPr>
        <w:rFonts w:ascii="Cambria" w:eastAsia="Times New Roman" w:hAnsi="Cambria"/>
      </w:rPr>
      <w:tab/>
      <w:t xml:space="preserve">Página </w:t>
    </w:r>
    <w:r w:rsidRPr="0077769A">
      <w:rPr>
        <w:rFonts w:ascii="Calibri" w:eastAsia="Times New Roman" w:hAnsi="Calibri"/>
      </w:rPr>
      <w:fldChar w:fldCharType="begin"/>
    </w:r>
    <w:r>
      <w:instrText>PAGE   \* MERGEFORMAT</w:instrText>
    </w:r>
    <w:r w:rsidRPr="0077769A">
      <w:rPr>
        <w:rFonts w:ascii="Calibri" w:eastAsia="Times New Roman" w:hAnsi="Calibri"/>
      </w:rPr>
      <w:fldChar w:fldCharType="separate"/>
    </w:r>
    <w:r w:rsidR="004506D9" w:rsidRPr="004506D9">
      <w:rPr>
        <w:rFonts w:ascii="Cambria" w:eastAsia="Times New Roman" w:hAnsi="Cambria"/>
        <w:noProof/>
      </w:rPr>
      <w:t>9</w:t>
    </w:r>
    <w:r w:rsidRPr="0077769A">
      <w:rPr>
        <w:rFonts w:ascii="Cambria" w:eastAsia="Times New Roman" w:hAnsi="Cambria"/>
      </w:rPr>
      <w:fldChar w:fldCharType="end"/>
    </w:r>
  </w:p>
  <w:p w14:paraId="511C4C64" w14:textId="77777777" w:rsidR="00F930B8" w:rsidRDefault="00F930B8" w:rsidP="007776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C998E" w14:textId="77777777" w:rsidR="00434292" w:rsidRDefault="00434292" w:rsidP="0077769A">
      <w:r>
        <w:separator/>
      </w:r>
    </w:p>
  </w:footnote>
  <w:footnote w:type="continuationSeparator" w:id="0">
    <w:p w14:paraId="301674EB" w14:textId="77777777" w:rsidR="00434292" w:rsidRDefault="00434292" w:rsidP="00777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099D5" w14:textId="77777777" w:rsidR="00F930B8" w:rsidRDefault="00F930B8" w:rsidP="0077769A">
    <w:pPr>
      <w:pStyle w:val="Cabealho"/>
    </w:pPr>
    <w:r>
      <w:rPr>
        <w:noProof/>
      </w:rPr>
      <w:pict w14:anchorId="292D45AE">
        <v:group id="Grupo 196" o:spid="_x0000_s1025" style="position:absolute;left:0;text-align:left;margin-left:15.65pt;margin-top:10.15pt;width:563.95pt;height:41.75pt;z-index:1;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" o:allowincell="f">
          <v:rect id="Rectangle 197" o:spid="_x0000_s1026"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B5MQA&#10;AADcAAAADwAAAGRycy9kb3ducmV2LnhtbESP0WqDQBRE3wv5h+UG8tasFWKDcQ0lEJDQh5r4ATfu&#10;rUrdu+Juovn7bKHQx2FmzjDZfja9uNPoOssK3tYRCOLa6o4bBdXl+LoF4Tyyxt4yKXiQg32+eMkw&#10;1Xbiku5n34gAYZeigtb7IZXS1S0ZdGs7EAfv244GfZBjI/WIU4CbXsZRlEiDHYeFFgc6tFT/nG9G&#10;wXBKNsVx+17I66e5lV8VxtWMSq2W88cOhKfZ/4f/2oVWEMcJ/J4JR0D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QeTEAAAA3AAAAA8AAAAAAAAAAAAAAAAAmAIAAGRycy9k&#10;b3ducmV2LnhtbFBLBQYAAAAABAAEAPUAAACJAwAAAAA=&#10;" fillcolor="#e46c0a" stroked="f" strokecolor="white" strokeweight="1.5pt">
            <v:textbox style="mso-next-textbox:#Rectangle 197">
              <w:txbxContent>
                <w:p w14:paraId="48D6E5FF" w14:textId="77777777" w:rsidR="00F930B8" w:rsidRPr="0077769A" w:rsidRDefault="00F930B8" w:rsidP="0077769A">
                  <w:pPr>
                    <w:pStyle w:val="Cabealho"/>
                    <w:rPr>
                      <w:color w:val="FFFFFF"/>
                      <w:sz w:val="28"/>
                      <w:szCs w:val="28"/>
                    </w:rPr>
                  </w:pPr>
                  <w:r w:rsidRPr="0077769A">
                    <w:rPr>
                      <w:color w:val="FFFFFF"/>
                      <w:sz w:val="28"/>
                      <w:szCs w:val="28"/>
                    </w:rPr>
                    <w:t xml:space="preserve">IT 41 CBMAL </w:t>
                  </w:r>
                </w:p>
              </w:txbxContent>
            </v:textbox>
          </v:rect>
          <v:rect id="Rectangle 198" o:spid="_x0000_s1027"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3MQA&#10;AADcAAAADwAAAGRycy9kb3ducmV2LnhtbESPQWvCQBSE7wX/w/IEL0U3jVAluooIgogemnrx9sg+&#10;k2D2bbq7avTXu4VCj8PMfMPMl51pxI2cry0r+BglIIgLq2suFRy/N8MpCB+QNTaWScGDPCwXvbc5&#10;Ztre+YtueShFhLDPUEEVQptJ6YuKDPqRbYmjd7bOYIjSlVI7vEe4aWSaJJ/SYM1xocKW1hUVl/xq&#10;FIT3Kee8/qnpsCuke572Y0l7pQb9bjUDEagL/+G/9lYrSNMJ/J6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3i9zEAAAA3AAAAA8AAAAAAAAAAAAAAAAAmAIAAGRycy9k&#10;b3ducmV2LnhtbFBLBQYAAAAABAAEAPUAAACJAwAAAAA=&#10;" fillcolor="#9bbb59" stroked="f" strokecolor="white" strokeweight="2pt">
            <v:textbox style="mso-next-textbox:#Rectangle 198">
              <w:txbxContent>
                <w:p w14:paraId="4699D72E" w14:textId="77777777" w:rsidR="00F930B8" w:rsidRPr="00F930B8" w:rsidRDefault="00F930B8" w:rsidP="0077769A">
                  <w:pPr>
                    <w:pStyle w:val="Cabealho"/>
                    <w:jc w:val="center"/>
                  </w:pPr>
                  <w:r w:rsidRPr="0077769A">
                    <w:rPr>
                      <w:color w:val="FFFFFF"/>
                      <w:sz w:val="28"/>
                      <w:szCs w:val="28"/>
                    </w:rPr>
                    <w:t>202</w:t>
                  </w:r>
                  <w:r w:rsidR="007A3D02" w:rsidRPr="0077769A">
                    <w:rPr>
                      <w:color w:val="FFFFFF"/>
                      <w:sz w:val="28"/>
                      <w:szCs w:val="28"/>
                    </w:rPr>
                    <w:t>1</w:t>
                  </w:r>
                </w:p>
              </w:txbxContent>
            </v:textbox>
          </v:rect>
          <v:rect id="Rectangle 199" o:spid="_x0000_s1028"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p w14:paraId="762A8167" w14:textId="77777777" w:rsidR="00F930B8" w:rsidRDefault="00F930B8" w:rsidP="007776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5782"/>
    <w:multiLevelType w:val="hybridMultilevel"/>
    <w:tmpl w:val="05FAACF4"/>
    <w:lvl w:ilvl="0" w:tplc="46302DB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C36D31"/>
    <w:multiLevelType w:val="hybridMultilevel"/>
    <w:tmpl w:val="1E503E90"/>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DA7C41"/>
    <w:multiLevelType w:val="hybridMultilevel"/>
    <w:tmpl w:val="19B48CA8"/>
    <w:lvl w:ilvl="0" w:tplc="46302DB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D695A64"/>
    <w:multiLevelType w:val="hybridMultilevel"/>
    <w:tmpl w:val="FAD0A280"/>
    <w:lvl w:ilvl="0" w:tplc="9830E4C0">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3C50DD"/>
    <w:multiLevelType w:val="hybridMultilevel"/>
    <w:tmpl w:val="FEC0D5BC"/>
    <w:lvl w:ilvl="0" w:tplc="46302DB0">
      <w:start w:val="1"/>
      <w:numFmt w:val="lowerLetter"/>
      <w:lvlText w:val="%1."/>
      <w:lvlJc w:val="left"/>
      <w:pPr>
        <w:ind w:left="1080" w:hanging="360"/>
      </w:pPr>
      <w:rPr>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6C43445"/>
    <w:multiLevelType w:val="multilevel"/>
    <w:tmpl w:val="66E61AC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933411"/>
    <w:multiLevelType w:val="hybridMultilevel"/>
    <w:tmpl w:val="4B649CF6"/>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2F78E6"/>
    <w:multiLevelType w:val="hybridMultilevel"/>
    <w:tmpl w:val="A7142256"/>
    <w:lvl w:ilvl="0" w:tplc="46302DB0">
      <w:start w:val="1"/>
      <w:numFmt w:val="lowerLetter"/>
      <w:lvlText w:val="%1."/>
      <w:lvlJc w:val="left"/>
      <w:pPr>
        <w:ind w:left="1080" w:hanging="360"/>
      </w:pPr>
      <w:rPr>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3AD1359"/>
    <w:multiLevelType w:val="hybridMultilevel"/>
    <w:tmpl w:val="1090A650"/>
    <w:lvl w:ilvl="0" w:tplc="28D4C1A2">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3CA2F88"/>
    <w:multiLevelType w:val="hybridMultilevel"/>
    <w:tmpl w:val="85664094"/>
    <w:lvl w:ilvl="0" w:tplc="19DEC69C">
      <w:start w:val="1"/>
      <w:numFmt w:val="decimal"/>
      <w:lvlText w:val="%1"/>
      <w:lvlJc w:val="left"/>
      <w:pPr>
        <w:ind w:left="720" w:hanging="360"/>
      </w:pPr>
      <w:rPr>
        <w:rFonts w:ascii="Times New Roman" w:hAnsi="Times New Roman" w:hint="default"/>
        <w:b/>
        <w:i w:val="0"/>
        <w:color w:val="00000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CA2CDE"/>
    <w:multiLevelType w:val="multilevel"/>
    <w:tmpl w:val="2FD2EABA"/>
    <w:lvl w:ilvl="0">
      <w:start w:val="1"/>
      <w:numFmt w:val="decimal"/>
      <w:pStyle w:val="ITTTULO1"/>
      <w:lvlText w:val="%1."/>
      <w:lvlJc w:val="left"/>
      <w:pPr>
        <w:ind w:left="360" w:hanging="360"/>
      </w:pPr>
      <w:rPr>
        <w:b/>
      </w:rPr>
    </w:lvl>
    <w:lvl w:ilvl="1">
      <w:start w:val="1"/>
      <w:numFmt w:val="decimal"/>
      <w:pStyle w:val="ITYEXTO2"/>
      <w:lvlText w:val="%1.%2."/>
      <w:lvlJc w:val="left"/>
      <w:pPr>
        <w:ind w:left="792" w:hanging="432"/>
      </w:pPr>
      <w:rPr>
        <w:b/>
      </w:rPr>
    </w:lvl>
    <w:lvl w:ilvl="2">
      <w:start w:val="1"/>
      <w:numFmt w:val="decimal"/>
      <w:pStyle w:val="ITTEXTO3"/>
      <w:lvlText w:val="%1.%2.%3."/>
      <w:lvlJc w:val="left"/>
      <w:pPr>
        <w:ind w:left="1224" w:hanging="504"/>
      </w:pPr>
      <w:rPr>
        <w:b/>
      </w:rPr>
    </w:lvl>
    <w:lvl w:ilvl="3">
      <w:start w:val="1"/>
      <w:numFmt w:val="decimal"/>
      <w:pStyle w:val="ittexto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9E0D9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D02EAF"/>
    <w:multiLevelType w:val="hybridMultilevel"/>
    <w:tmpl w:val="3D76645E"/>
    <w:lvl w:ilvl="0" w:tplc="46302DB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7AF627B"/>
    <w:multiLevelType w:val="hybridMultilevel"/>
    <w:tmpl w:val="00063BEC"/>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D67143"/>
    <w:multiLevelType w:val="hybridMultilevel"/>
    <w:tmpl w:val="18420010"/>
    <w:lvl w:ilvl="0" w:tplc="04160017">
      <w:start w:val="1"/>
      <w:numFmt w:val="lowerLetter"/>
      <w:lvlText w:val="%1)"/>
      <w:lvlJc w:val="left"/>
      <w:pPr>
        <w:ind w:left="567" w:hanging="34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2619B0"/>
    <w:multiLevelType w:val="hybridMultilevel"/>
    <w:tmpl w:val="0EDA101E"/>
    <w:lvl w:ilvl="0" w:tplc="46302DB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34436040">
    <w:abstractNumId w:val="10"/>
  </w:num>
  <w:num w:numId="2" w16cid:durableId="100614436">
    <w:abstractNumId w:val="11"/>
  </w:num>
  <w:num w:numId="3" w16cid:durableId="1137845339">
    <w:abstractNumId w:val="14"/>
  </w:num>
  <w:num w:numId="4" w16cid:durableId="2113741798">
    <w:abstractNumId w:val="8"/>
  </w:num>
  <w:num w:numId="5" w16cid:durableId="1849905633">
    <w:abstractNumId w:val="5"/>
  </w:num>
  <w:num w:numId="6" w16cid:durableId="1663044925">
    <w:abstractNumId w:val="4"/>
  </w:num>
  <w:num w:numId="7" w16cid:durableId="2093578351">
    <w:abstractNumId w:val="15"/>
  </w:num>
  <w:num w:numId="8" w16cid:durableId="2047825386">
    <w:abstractNumId w:val="2"/>
  </w:num>
  <w:num w:numId="9" w16cid:durableId="1137917105">
    <w:abstractNumId w:val="12"/>
  </w:num>
  <w:num w:numId="10" w16cid:durableId="124390815">
    <w:abstractNumId w:val="7"/>
  </w:num>
  <w:num w:numId="11" w16cid:durableId="1179081706">
    <w:abstractNumId w:val="0"/>
  </w:num>
  <w:num w:numId="12" w16cid:durableId="1928806786">
    <w:abstractNumId w:val="6"/>
  </w:num>
  <w:num w:numId="13" w16cid:durableId="1739093333">
    <w:abstractNumId w:val="1"/>
  </w:num>
  <w:num w:numId="14" w16cid:durableId="155999689">
    <w:abstractNumId w:val="13"/>
  </w:num>
  <w:num w:numId="15" w16cid:durableId="961299853">
    <w:abstractNumId w:val="9"/>
  </w:num>
  <w:num w:numId="16" w16cid:durableId="1885827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37C3"/>
    <w:rsid w:val="00010E68"/>
    <w:rsid w:val="00055736"/>
    <w:rsid w:val="000963CB"/>
    <w:rsid w:val="000D7B7B"/>
    <w:rsid w:val="000E6BCA"/>
    <w:rsid w:val="000F3C57"/>
    <w:rsid w:val="0018404C"/>
    <w:rsid w:val="001A786F"/>
    <w:rsid w:val="001B4734"/>
    <w:rsid w:val="001D0484"/>
    <w:rsid w:val="001D37C3"/>
    <w:rsid w:val="00290644"/>
    <w:rsid w:val="00292C1D"/>
    <w:rsid w:val="002959F1"/>
    <w:rsid w:val="002C02FE"/>
    <w:rsid w:val="002D130C"/>
    <w:rsid w:val="002E4AD1"/>
    <w:rsid w:val="00326E13"/>
    <w:rsid w:val="00434292"/>
    <w:rsid w:val="004506D9"/>
    <w:rsid w:val="004B0E61"/>
    <w:rsid w:val="0051358B"/>
    <w:rsid w:val="005476C3"/>
    <w:rsid w:val="00562135"/>
    <w:rsid w:val="00582DD8"/>
    <w:rsid w:val="006213C7"/>
    <w:rsid w:val="00636851"/>
    <w:rsid w:val="006905F2"/>
    <w:rsid w:val="006B1B59"/>
    <w:rsid w:val="006D0BE9"/>
    <w:rsid w:val="0070397E"/>
    <w:rsid w:val="00747FD4"/>
    <w:rsid w:val="00760870"/>
    <w:rsid w:val="0077769A"/>
    <w:rsid w:val="00783F75"/>
    <w:rsid w:val="007A3D02"/>
    <w:rsid w:val="008070A1"/>
    <w:rsid w:val="00886156"/>
    <w:rsid w:val="008E2337"/>
    <w:rsid w:val="00923756"/>
    <w:rsid w:val="00946D4D"/>
    <w:rsid w:val="00984776"/>
    <w:rsid w:val="00993716"/>
    <w:rsid w:val="009C0F39"/>
    <w:rsid w:val="009F4963"/>
    <w:rsid w:val="00A172F6"/>
    <w:rsid w:val="00A275CD"/>
    <w:rsid w:val="00A47CA1"/>
    <w:rsid w:val="00A52F30"/>
    <w:rsid w:val="00AF6D22"/>
    <w:rsid w:val="00B61761"/>
    <w:rsid w:val="00BD196D"/>
    <w:rsid w:val="00C45ABE"/>
    <w:rsid w:val="00D26D54"/>
    <w:rsid w:val="00DD0C59"/>
    <w:rsid w:val="00DD144F"/>
    <w:rsid w:val="00E72020"/>
    <w:rsid w:val="00F05550"/>
    <w:rsid w:val="00F24037"/>
    <w:rsid w:val="00F930B8"/>
    <w:rsid w:val="00FB7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875EE"/>
  <w15:chartTrackingRefBased/>
  <w15:docId w15:val="{AC96A7B2-01CC-43CB-9A76-D99063BF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pt-BR" w:eastAsia="pt-B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T NOEMAL"/>
    <w:qFormat/>
    <w:rsid w:val="0077769A"/>
    <w:pPr>
      <w:keepNext/>
      <w:widowControl w:val="0"/>
      <w:suppressAutoHyphens/>
      <w:spacing w:before="120" w:after="120" w:line="276" w:lineRule="auto"/>
      <w:ind w:right="-1"/>
      <w:jc w:val="both"/>
    </w:pPr>
    <w:rPr>
      <w:rFonts w:ascii="Times New Roman" w:eastAsia="Arial" w:hAnsi="Times New Roman" w:cs="Times New Roman"/>
      <w:color w:val="00000A"/>
      <w:lang w:eastAsia="en-US"/>
    </w:rPr>
  </w:style>
  <w:style w:type="paragraph" w:styleId="Ttulo1">
    <w:name w:val="heading 1"/>
    <w:basedOn w:val="Normal"/>
    <w:link w:val="Ttulo1Char"/>
    <w:uiPriority w:val="1"/>
    <w:qFormat/>
    <w:rsid w:val="00E5750C"/>
    <w:pPr>
      <w:spacing w:before="69" w:after="0" w:line="240" w:lineRule="auto"/>
      <w:ind w:left="4644"/>
      <w:outlineLvl w:val="0"/>
    </w:pPr>
    <w:rPr>
      <w:rFonts w:ascii="Arial" w:hAnsi="Arial"/>
      <w:b/>
      <w:bCs/>
      <w:color w:val="auto"/>
      <w:sz w:val="24"/>
      <w:szCs w:val="24"/>
      <w:lang w:val="en-US" w:eastAsia="x-none"/>
    </w:rPr>
  </w:style>
  <w:style w:type="paragraph" w:styleId="Ttulo2">
    <w:name w:val="heading 2"/>
    <w:basedOn w:val="Normal"/>
    <w:next w:val="Normal"/>
    <w:link w:val="Ttulo2Char"/>
    <w:uiPriority w:val="9"/>
    <w:semiHidden/>
    <w:unhideWhenUsed/>
    <w:qFormat/>
    <w:rsid w:val="0077769A"/>
    <w:pPr>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semiHidden/>
    <w:unhideWhenUsed/>
    <w:qFormat/>
    <w:rsid w:val="0077769A"/>
    <w:pPr>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semiHidden/>
    <w:unhideWhenUsed/>
    <w:qFormat/>
    <w:rsid w:val="00582DD8"/>
    <w:pPr>
      <w:spacing w:before="240" w:after="60"/>
      <w:outlineLvl w:val="3"/>
    </w:pPr>
    <w:rPr>
      <w:rFonts w:ascii="Calibri" w:eastAsia="Times New Roman" w:hAnsi="Calibri"/>
      <w:b/>
      <w:bCs/>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semiHidden/>
    <w:qFormat/>
    <w:rsid w:val="00285AFD"/>
    <w:rPr>
      <w:rFonts w:ascii="Tahoma" w:hAnsi="Tahoma" w:cs="Tahoma"/>
      <w:sz w:val="16"/>
      <w:szCs w:val="16"/>
    </w:rPr>
  </w:style>
  <w:style w:type="character" w:styleId="TextodoEspaoReservado">
    <w:name w:val="Placeholder Text"/>
    <w:uiPriority w:val="99"/>
    <w:semiHidden/>
    <w:qFormat/>
    <w:rsid w:val="00E9091F"/>
    <w:rPr>
      <w:color w:val="808080"/>
    </w:rPr>
  </w:style>
  <w:style w:type="character" w:customStyle="1" w:styleId="CabealhoChar">
    <w:name w:val="Cabeçalho Char"/>
    <w:basedOn w:val="Fontepargpadro"/>
    <w:link w:val="Cabealho"/>
    <w:uiPriority w:val="99"/>
    <w:qFormat/>
    <w:rsid w:val="005B55F9"/>
  </w:style>
  <w:style w:type="character" w:customStyle="1" w:styleId="RodapChar">
    <w:name w:val="Rodapé Char"/>
    <w:basedOn w:val="Fontepargpadro"/>
    <w:link w:val="Rodap"/>
    <w:uiPriority w:val="99"/>
    <w:qFormat/>
    <w:rsid w:val="005B55F9"/>
  </w:style>
  <w:style w:type="character" w:styleId="Refdecomentrio">
    <w:name w:val="annotation reference"/>
    <w:uiPriority w:val="99"/>
    <w:semiHidden/>
    <w:unhideWhenUsed/>
    <w:qFormat/>
    <w:rsid w:val="005758FB"/>
    <w:rPr>
      <w:sz w:val="16"/>
      <w:szCs w:val="16"/>
    </w:rPr>
  </w:style>
  <w:style w:type="character" w:customStyle="1" w:styleId="TextodecomentrioChar">
    <w:name w:val="Texto de comentário Char"/>
    <w:link w:val="Textodecomentrio"/>
    <w:uiPriority w:val="99"/>
    <w:semiHidden/>
    <w:qFormat/>
    <w:rsid w:val="005758FB"/>
    <w:rPr>
      <w:sz w:val="20"/>
      <w:szCs w:val="20"/>
    </w:rPr>
  </w:style>
  <w:style w:type="character" w:customStyle="1" w:styleId="AssuntodocomentrioChar">
    <w:name w:val="Assunto do comentário Char"/>
    <w:link w:val="Assuntodocomentrio"/>
    <w:uiPriority w:val="99"/>
    <w:semiHidden/>
    <w:qFormat/>
    <w:rsid w:val="005758FB"/>
    <w:rPr>
      <w:b/>
      <w:bCs/>
      <w:sz w:val="20"/>
      <w:szCs w:val="20"/>
    </w:rPr>
  </w:style>
  <w:style w:type="character" w:customStyle="1" w:styleId="CorpodetextoChar">
    <w:name w:val="Corpo de texto Char"/>
    <w:link w:val="Corpodetexto"/>
    <w:uiPriority w:val="1"/>
    <w:qFormat/>
    <w:rsid w:val="00D058EA"/>
    <w:rPr>
      <w:rFonts w:ascii="Arial" w:eastAsia="Arial" w:hAnsi="Arial"/>
      <w:i/>
      <w:sz w:val="18"/>
      <w:szCs w:val="18"/>
      <w:lang w:val="en-US"/>
    </w:rPr>
  </w:style>
  <w:style w:type="character" w:customStyle="1" w:styleId="Ttulo1Char">
    <w:name w:val="Título 1 Char"/>
    <w:link w:val="Ttulo1"/>
    <w:uiPriority w:val="1"/>
    <w:qFormat/>
    <w:rsid w:val="00E5750C"/>
    <w:rPr>
      <w:rFonts w:ascii="Arial" w:eastAsia="Arial" w:hAnsi="Arial"/>
      <w:b/>
      <w:bCs/>
      <w:sz w:val="24"/>
      <w:szCs w:val="24"/>
      <w:lang w:val="en-US"/>
    </w:rPr>
  </w:style>
  <w:style w:type="character" w:customStyle="1" w:styleId="ListLabel1">
    <w:name w:val="ListLabel 1"/>
    <w:qFormat/>
    <w:rPr>
      <w:rFonts w:eastAsia="Arial"/>
      <w:i/>
      <w:color w:val="231F20"/>
      <w:sz w:val="18"/>
      <w:szCs w:val="18"/>
    </w:rPr>
  </w:style>
  <w:style w:type="character" w:customStyle="1" w:styleId="ListLabel2">
    <w:name w:val="ListLabel 2"/>
    <w:qFormat/>
    <w:rPr>
      <w:rFonts w:eastAsia="Arial"/>
      <w:i/>
      <w:color w:val="231F20"/>
      <w:sz w:val="18"/>
      <w:szCs w:val="18"/>
    </w:rPr>
  </w:style>
  <w:style w:type="character" w:customStyle="1" w:styleId="ListLabel3">
    <w:name w:val="ListLabel 3"/>
    <w:qFormat/>
    <w:rPr>
      <w:rFonts w:eastAsia="Arial"/>
      <w:i/>
      <w:color w:val="231F20"/>
      <w:sz w:val="18"/>
      <w:szCs w:val="18"/>
    </w:rPr>
  </w:style>
  <w:style w:type="character" w:customStyle="1" w:styleId="ListLabel4">
    <w:name w:val="ListLabel 4"/>
    <w:qFormat/>
    <w:rPr>
      <w:rFonts w:eastAsia="Arial"/>
      <w:i/>
      <w:color w:val="231F20"/>
      <w:sz w:val="18"/>
      <w:szCs w:val="18"/>
    </w:rPr>
  </w:style>
  <w:style w:type="character" w:customStyle="1" w:styleId="ListLabel5">
    <w:name w:val="ListLabel 5"/>
    <w:qFormat/>
    <w:rPr>
      <w:rFonts w:eastAsia="Arial"/>
      <w:i/>
      <w:color w:val="231F20"/>
      <w:sz w:val="18"/>
      <w:szCs w:val="18"/>
    </w:rPr>
  </w:style>
  <w:style w:type="character" w:customStyle="1" w:styleId="ListLabel6">
    <w:name w:val="ListLabel 6"/>
    <w:qFormat/>
    <w:rPr>
      <w:rFonts w:eastAsia="Arial"/>
      <w:i/>
      <w:color w:val="231F20"/>
      <w:sz w:val="18"/>
      <w:szCs w:val="18"/>
    </w:rPr>
  </w:style>
  <w:style w:type="character" w:customStyle="1" w:styleId="ListLabel7">
    <w:name w:val="ListLabel 7"/>
    <w:qFormat/>
    <w:rPr>
      <w:rFonts w:eastAsia="Arial"/>
      <w:i/>
      <w:color w:val="231F20"/>
      <w:sz w:val="18"/>
      <w:szCs w:val="18"/>
    </w:rPr>
  </w:style>
  <w:style w:type="character" w:customStyle="1" w:styleId="ListLabel8">
    <w:name w:val="ListLabel 8"/>
    <w:qFormat/>
    <w:rPr>
      <w:rFonts w:eastAsia="Arial"/>
      <w:i/>
      <w:color w:val="231F20"/>
      <w:sz w:val="18"/>
      <w:szCs w:val="18"/>
    </w:rPr>
  </w:style>
  <w:style w:type="character" w:customStyle="1" w:styleId="ListLabel9">
    <w:name w:val="ListLabel 9"/>
    <w:qFormat/>
    <w:rPr>
      <w:rFonts w:eastAsia="Arial"/>
      <w:i/>
      <w:color w:val="231F20"/>
      <w:sz w:val="18"/>
      <w:szCs w:val="18"/>
    </w:rPr>
  </w:style>
  <w:style w:type="character" w:customStyle="1" w:styleId="ListLabel10">
    <w:name w:val="ListLabel 10"/>
    <w:qFormat/>
    <w:rPr>
      <w:rFonts w:eastAsia="Arial"/>
      <w:i/>
      <w:color w:val="231F20"/>
      <w:sz w:val="18"/>
      <w:szCs w:val="18"/>
    </w:rPr>
  </w:style>
  <w:style w:type="character" w:customStyle="1" w:styleId="ListLabel11">
    <w:name w:val="ListLabel 11"/>
    <w:qFormat/>
    <w:rPr>
      <w:rFonts w:eastAsia="Arial"/>
      <w:i/>
      <w:color w:val="231F20"/>
      <w:sz w:val="18"/>
      <w:szCs w:val="18"/>
    </w:rPr>
  </w:style>
  <w:style w:type="character" w:customStyle="1" w:styleId="ListLabel12">
    <w:name w:val="ListLabel 12"/>
    <w:qFormat/>
    <w:rPr>
      <w:rFonts w:eastAsia="Arial"/>
      <w:i/>
      <w:color w:val="231F20"/>
      <w:sz w:val="18"/>
      <w:szCs w:val="18"/>
    </w:rPr>
  </w:style>
  <w:style w:type="character" w:customStyle="1" w:styleId="ListLabel13">
    <w:name w:val="ListLabel 13"/>
    <w:qFormat/>
    <w:rPr>
      <w:rFonts w:eastAsia="Arial"/>
      <w:i/>
      <w:color w:val="231F20"/>
      <w:sz w:val="18"/>
      <w:szCs w:val="18"/>
    </w:rPr>
  </w:style>
  <w:style w:type="character" w:customStyle="1" w:styleId="ListLabel14">
    <w:name w:val="ListLabel 14"/>
    <w:qFormat/>
    <w:rPr>
      <w:rFonts w:eastAsia="Arial"/>
      <w:i/>
      <w:color w:val="231F20"/>
      <w:sz w:val="18"/>
      <w:szCs w:val="18"/>
    </w:rPr>
  </w:style>
  <w:style w:type="character" w:customStyle="1" w:styleId="ListLabel15">
    <w:name w:val="ListLabel 15"/>
    <w:qFormat/>
    <w:rPr>
      <w:rFonts w:eastAsia="Arial"/>
      <w:i/>
      <w:color w:val="231F20"/>
      <w:sz w:val="18"/>
      <w:szCs w:val="18"/>
    </w:rPr>
  </w:style>
  <w:style w:type="character" w:customStyle="1" w:styleId="ListLabel16">
    <w:name w:val="ListLabel 16"/>
    <w:qFormat/>
    <w:rPr>
      <w:rFonts w:eastAsia="Arial"/>
      <w:i/>
      <w:color w:val="231F20"/>
      <w:sz w:val="18"/>
      <w:szCs w:val="18"/>
    </w:rPr>
  </w:style>
  <w:style w:type="character" w:customStyle="1" w:styleId="ListLabel17">
    <w:name w:val="ListLabel 17"/>
    <w:qFormat/>
    <w:rPr>
      <w:rFonts w:eastAsia="Arial"/>
      <w:i/>
      <w:color w:val="231F20"/>
      <w:sz w:val="18"/>
      <w:szCs w:val="18"/>
    </w:rPr>
  </w:style>
  <w:style w:type="character" w:customStyle="1" w:styleId="ListLabel18">
    <w:name w:val="ListLabel 18"/>
    <w:qFormat/>
    <w:rPr>
      <w:rFonts w:eastAsia="Arial"/>
      <w:i/>
      <w:color w:val="231F20"/>
      <w:sz w:val="18"/>
      <w:szCs w:val="18"/>
    </w:rPr>
  </w:style>
  <w:style w:type="character" w:customStyle="1" w:styleId="ListLabel19">
    <w:name w:val="ListLabel 19"/>
    <w:qFormat/>
    <w:rPr>
      <w:rFonts w:eastAsia="Arial"/>
      <w:i/>
      <w:color w:val="231F20"/>
      <w:sz w:val="18"/>
      <w:szCs w:val="18"/>
    </w:rPr>
  </w:style>
  <w:style w:type="character" w:customStyle="1" w:styleId="ListLabel20">
    <w:name w:val="ListLabel 20"/>
    <w:qFormat/>
    <w:rPr>
      <w:rFonts w:eastAsia="Arial"/>
      <w:i/>
      <w:color w:val="231F20"/>
      <w:sz w:val="18"/>
      <w:szCs w:val="18"/>
    </w:rPr>
  </w:style>
  <w:style w:type="character" w:customStyle="1" w:styleId="ListLabel21">
    <w:name w:val="ListLabel 21"/>
    <w:qFormat/>
    <w:rPr>
      <w:rFonts w:eastAsia="Arial"/>
      <w:i/>
      <w:color w:val="231F20"/>
      <w:sz w:val="18"/>
      <w:szCs w:val="18"/>
    </w:rPr>
  </w:style>
  <w:style w:type="character" w:customStyle="1" w:styleId="ListLabel22">
    <w:name w:val="ListLabel 22"/>
    <w:qFormat/>
    <w:rPr>
      <w:rFonts w:eastAsia="Arial"/>
      <w:i/>
      <w:color w:val="231F20"/>
      <w:sz w:val="18"/>
      <w:szCs w:val="18"/>
    </w:rPr>
  </w:style>
  <w:style w:type="character" w:customStyle="1" w:styleId="ListLabel23">
    <w:name w:val="ListLabel 23"/>
    <w:qFormat/>
    <w:rPr>
      <w:rFonts w:eastAsia="Arial"/>
      <w:i/>
      <w:color w:val="231F20"/>
      <w:sz w:val="18"/>
      <w:szCs w:val="18"/>
    </w:rPr>
  </w:style>
  <w:style w:type="character" w:customStyle="1" w:styleId="ListLabel24">
    <w:name w:val="ListLabel 24"/>
    <w:qFormat/>
    <w:rPr>
      <w:rFonts w:eastAsia="Arial"/>
      <w:i/>
      <w:color w:val="231F20"/>
      <w:sz w:val="18"/>
      <w:szCs w:val="18"/>
    </w:rPr>
  </w:style>
  <w:style w:type="character" w:customStyle="1" w:styleId="ListLabel25">
    <w:name w:val="ListLabel 25"/>
    <w:qFormat/>
    <w:rPr>
      <w:rFonts w:eastAsia="Arial"/>
      <w:i/>
      <w:color w:val="231F20"/>
      <w:sz w:val="18"/>
      <w:szCs w:val="18"/>
    </w:rPr>
  </w:style>
  <w:style w:type="character" w:customStyle="1" w:styleId="ListLabel26">
    <w:name w:val="ListLabel 26"/>
    <w:qFormat/>
    <w:rPr>
      <w:rFonts w:eastAsia="Arial"/>
      <w:i/>
      <w:color w:val="231F20"/>
      <w:sz w:val="18"/>
      <w:szCs w:val="18"/>
    </w:rPr>
  </w:style>
  <w:style w:type="character" w:customStyle="1" w:styleId="ListLabel27">
    <w:name w:val="ListLabel 27"/>
    <w:qFormat/>
    <w:rPr>
      <w:rFonts w:eastAsia="Arial"/>
      <w:b/>
      <w:bCs/>
      <w:color w:val="231F20"/>
      <w:w w:val="102"/>
      <w:sz w:val="8"/>
      <w:szCs w:val="8"/>
    </w:rPr>
  </w:style>
  <w:style w:type="character" w:customStyle="1" w:styleId="ListLabel28">
    <w:name w:val="ListLabel 28"/>
    <w:qFormat/>
    <w:rPr>
      <w:rFonts w:eastAsia="Arial"/>
      <w:i/>
      <w:sz w:val="18"/>
      <w:szCs w:val="18"/>
    </w:rPr>
  </w:style>
  <w:style w:type="character" w:customStyle="1" w:styleId="ListLabel29">
    <w:name w:val="ListLabel 29"/>
    <w:qFormat/>
    <w:rPr>
      <w:rFonts w:eastAsia="Arial"/>
      <w:i/>
      <w:sz w:val="18"/>
      <w:szCs w:val="18"/>
    </w:rPr>
  </w:style>
  <w:style w:type="character" w:customStyle="1" w:styleId="ListLabel30">
    <w:name w:val="ListLabel 30"/>
    <w:qFormat/>
    <w:rPr>
      <w:rFonts w:eastAsia="Arial"/>
      <w:i/>
      <w:sz w:val="18"/>
      <w:szCs w:val="18"/>
    </w:rPr>
  </w:style>
  <w:style w:type="character" w:customStyle="1" w:styleId="ListLabel31">
    <w:name w:val="ListLabel 31"/>
    <w:qFormat/>
    <w:rPr>
      <w:rFonts w:eastAsia="Arial"/>
      <w:i/>
      <w:sz w:val="18"/>
      <w:szCs w:val="18"/>
    </w:rPr>
  </w:style>
  <w:style w:type="character" w:customStyle="1" w:styleId="ListLabel32">
    <w:name w:val="ListLabel 32"/>
    <w:qFormat/>
    <w:rPr>
      <w:rFonts w:eastAsia="Arial"/>
      <w:i/>
      <w:sz w:val="18"/>
      <w:szCs w:val="18"/>
    </w:rPr>
  </w:style>
  <w:style w:type="character" w:customStyle="1" w:styleId="ListLabel33">
    <w:name w:val="ListLabel 33"/>
    <w:qFormat/>
    <w:rPr>
      <w:rFonts w:eastAsia="Arial"/>
      <w:i/>
      <w:sz w:val="18"/>
      <w:szCs w:val="18"/>
    </w:rPr>
  </w:style>
  <w:style w:type="character" w:customStyle="1" w:styleId="ListLabel34">
    <w:name w:val="ListLabel 34"/>
    <w:qFormat/>
    <w:rPr>
      <w:rFonts w:eastAsia="Arial"/>
      <w:i/>
      <w:sz w:val="18"/>
      <w:szCs w:val="18"/>
    </w:rPr>
  </w:style>
  <w:style w:type="character" w:customStyle="1" w:styleId="ListLabel35">
    <w:name w:val="ListLabel 35"/>
    <w:qFormat/>
    <w:rPr>
      <w:rFonts w:eastAsia="Arial"/>
      <w:i/>
      <w:sz w:val="18"/>
      <w:szCs w:val="18"/>
    </w:rPr>
  </w:style>
  <w:style w:type="character" w:customStyle="1" w:styleId="ListLabel36">
    <w:name w:val="ListLabel 36"/>
    <w:qFormat/>
    <w:rPr>
      <w:rFonts w:eastAsia="Arial"/>
      <w:i/>
      <w:sz w:val="18"/>
      <w:szCs w:val="18"/>
    </w:rPr>
  </w:style>
  <w:style w:type="character" w:customStyle="1" w:styleId="ListLabel37">
    <w:name w:val="ListLabel 37"/>
    <w:qFormat/>
    <w:rPr>
      <w:rFonts w:eastAsia="Arial"/>
      <w:i/>
      <w:sz w:val="18"/>
      <w:szCs w:val="18"/>
    </w:rPr>
  </w:style>
  <w:style w:type="character" w:customStyle="1" w:styleId="ListLabel38">
    <w:name w:val="ListLabel 38"/>
    <w:qFormat/>
    <w:rPr>
      <w:rFonts w:eastAsia="Arial"/>
      <w:i/>
      <w:sz w:val="18"/>
      <w:szCs w:val="18"/>
    </w:rPr>
  </w:style>
  <w:style w:type="character" w:customStyle="1" w:styleId="ListLabel39">
    <w:name w:val="ListLabel 39"/>
    <w:qFormat/>
    <w:rPr>
      <w:rFonts w:eastAsia="Arial"/>
      <w:i/>
      <w:sz w:val="18"/>
      <w:szCs w:val="18"/>
    </w:rPr>
  </w:style>
  <w:style w:type="character" w:customStyle="1" w:styleId="ListLabel40">
    <w:name w:val="ListLabel 40"/>
    <w:qFormat/>
    <w:rPr>
      <w:rFonts w:eastAsia="Arial"/>
      <w:i/>
      <w:sz w:val="18"/>
      <w:szCs w:val="18"/>
    </w:rPr>
  </w:style>
  <w:style w:type="character" w:customStyle="1" w:styleId="ListLabel41">
    <w:name w:val="ListLabel 41"/>
    <w:qFormat/>
    <w:rPr>
      <w:rFonts w:eastAsia="Arial"/>
      <w:i/>
      <w:sz w:val="18"/>
      <w:szCs w:val="18"/>
    </w:rPr>
  </w:style>
  <w:style w:type="character" w:customStyle="1" w:styleId="ListLabel42">
    <w:name w:val="ListLabel 42"/>
    <w:qFormat/>
    <w:rPr>
      <w:rFonts w:eastAsia="Arial"/>
      <w:i/>
      <w:sz w:val="18"/>
      <w:szCs w:val="18"/>
    </w:rPr>
  </w:style>
  <w:style w:type="character" w:customStyle="1" w:styleId="ListLabel43">
    <w:name w:val="ListLabel 43"/>
    <w:qFormat/>
    <w:rPr>
      <w:rFonts w:eastAsia="Arial"/>
      <w:i/>
      <w:sz w:val="18"/>
      <w:szCs w:val="18"/>
    </w:rPr>
  </w:style>
  <w:style w:type="character" w:customStyle="1" w:styleId="ListLabel44">
    <w:name w:val="ListLabel 44"/>
    <w:qFormat/>
    <w:rPr>
      <w:rFonts w:eastAsia="Arial"/>
      <w:i/>
      <w:sz w:val="18"/>
      <w:szCs w:val="18"/>
    </w:rPr>
  </w:style>
  <w:style w:type="character" w:customStyle="1" w:styleId="ListLabel45">
    <w:name w:val="ListLabel 45"/>
    <w:qFormat/>
    <w:rPr>
      <w:rFonts w:eastAsia="Arial"/>
      <w:i/>
      <w:sz w:val="18"/>
      <w:szCs w:val="18"/>
    </w:rPr>
  </w:style>
  <w:style w:type="character" w:customStyle="1" w:styleId="ListLabel46">
    <w:name w:val="ListLabel 46"/>
    <w:qFormat/>
    <w:rPr>
      <w:rFonts w:eastAsia="Arial"/>
      <w:i/>
      <w:sz w:val="18"/>
      <w:szCs w:val="18"/>
    </w:rPr>
  </w:style>
  <w:style w:type="character" w:customStyle="1" w:styleId="ListLabel47">
    <w:name w:val="ListLabel 47"/>
    <w:qFormat/>
    <w:rPr>
      <w:rFonts w:eastAsia="Arial"/>
      <w:i/>
      <w:sz w:val="18"/>
      <w:szCs w:val="18"/>
    </w:rPr>
  </w:style>
  <w:style w:type="character" w:customStyle="1" w:styleId="ListLabel48">
    <w:name w:val="ListLabel 48"/>
    <w:qFormat/>
    <w:rPr>
      <w:rFonts w:eastAsia="Arial"/>
      <w:i/>
      <w:sz w:val="18"/>
      <w:szCs w:val="18"/>
    </w:rPr>
  </w:style>
  <w:style w:type="character" w:customStyle="1" w:styleId="ListLabel49">
    <w:name w:val="ListLabel 49"/>
    <w:qFormat/>
    <w:rPr>
      <w:rFonts w:eastAsia="Arial"/>
      <w:b/>
      <w:bCs/>
      <w:w w:val="102"/>
      <w:sz w:val="8"/>
      <w:szCs w:val="8"/>
    </w:rPr>
  </w:style>
  <w:style w:type="character" w:customStyle="1" w:styleId="ListLabel50">
    <w:name w:val="ListLabel 50"/>
    <w:qFormat/>
    <w:rPr>
      <w:rFonts w:eastAsia="Arial"/>
      <w:i/>
      <w:sz w:val="18"/>
      <w:szCs w:val="18"/>
    </w:rPr>
  </w:style>
  <w:style w:type="character" w:customStyle="1" w:styleId="ListLabel51">
    <w:name w:val="ListLabel 51"/>
    <w:qFormat/>
    <w:rPr>
      <w:rFonts w:eastAsia="Arial"/>
      <w:i/>
      <w:sz w:val="18"/>
      <w:szCs w:val="18"/>
    </w:rPr>
  </w:style>
  <w:style w:type="paragraph" w:styleId="Ttulo">
    <w:name w:val="Title"/>
    <w:basedOn w:val="Normal"/>
    <w:next w:val="Corpodetexto"/>
    <w:qFormat/>
    <w:pPr>
      <w:spacing w:before="240"/>
    </w:pPr>
    <w:rPr>
      <w:rFonts w:ascii="Liberation Sans" w:eastAsia="Microsoft YaHei" w:hAnsi="Liberation Sans" w:cs="Arial"/>
      <w:sz w:val="28"/>
      <w:szCs w:val="28"/>
    </w:rPr>
  </w:style>
  <w:style w:type="paragraph" w:styleId="Corpodetexto">
    <w:name w:val="Body Text"/>
    <w:basedOn w:val="Normal"/>
    <w:link w:val="CorpodetextoChar"/>
    <w:uiPriority w:val="1"/>
    <w:qFormat/>
    <w:rsid w:val="00D058EA"/>
    <w:pPr>
      <w:spacing w:after="0" w:line="240" w:lineRule="auto"/>
      <w:ind w:left="116"/>
    </w:pPr>
    <w:rPr>
      <w:rFonts w:ascii="Arial" w:hAnsi="Arial"/>
      <w:i/>
      <w:color w:val="auto"/>
      <w:sz w:val="18"/>
      <w:szCs w:val="18"/>
      <w:lang w:val="en-US" w:eastAsia="x-none"/>
    </w:rPr>
  </w:style>
  <w:style w:type="paragraph" w:styleId="Lista">
    <w:name w:val="List"/>
    <w:basedOn w:val="Corpodetexto"/>
    <w:rPr>
      <w:rFonts w:cs="Arial"/>
    </w:rPr>
  </w:style>
  <w:style w:type="paragraph" w:styleId="Legenda">
    <w:name w:val="caption"/>
    <w:basedOn w:val="Normal"/>
    <w:qFormat/>
    <w:pPr>
      <w:suppressLineNumbers/>
    </w:pPr>
    <w:rPr>
      <w:rFonts w:cs="Arial"/>
      <w:i/>
      <w:iCs/>
      <w:sz w:val="24"/>
      <w:szCs w:val="24"/>
    </w:rPr>
  </w:style>
  <w:style w:type="paragraph" w:customStyle="1" w:styleId="ndice">
    <w:name w:val="Índice"/>
    <w:basedOn w:val="Normal"/>
    <w:qFormat/>
    <w:pPr>
      <w:suppressLineNumbers/>
    </w:pPr>
    <w:rPr>
      <w:rFonts w:cs="Arial"/>
    </w:rPr>
  </w:style>
  <w:style w:type="paragraph" w:styleId="Textodebalo">
    <w:name w:val="Balloon Text"/>
    <w:basedOn w:val="Normal"/>
    <w:link w:val="TextodebaloChar"/>
    <w:uiPriority w:val="99"/>
    <w:semiHidden/>
    <w:unhideWhenUsed/>
    <w:qFormat/>
    <w:rsid w:val="00285AFD"/>
    <w:pPr>
      <w:spacing w:after="0" w:line="240" w:lineRule="auto"/>
    </w:pPr>
    <w:rPr>
      <w:rFonts w:ascii="Tahoma" w:hAnsi="Tahoma"/>
      <w:color w:val="auto"/>
      <w:sz w:val="16"/>
      <w:szCs w:val="16"/>
      <w:lang w:val="x-none" w:eastAsia="x-none"/>
    </w:rPr>
  </w:style>
  <w:style w:type="paragraph" w:styleId="Cabealho">
    <w:name w:val="header"/>
    <w:basedOn w:val="Normal"/>
    <w:link w:val="CabealhoChar"/>
    <w:uiPriority w:val="99"/>
    <w:unhideWhenUsed/>
    <w:rsid w:val="005B55F9"/>
    <w:pPr>
      <w:tabs>
        <w:tab w:val="center" w:pos="4252"/>
        <w:tab w:val="right" w:pos="8504"/>
      </w:tabs>
      <w:spacing w:after="0" w:line="240" w:lineRule="auto"/>
    </w:pPr>
  </w:style>
  <w:style w:type="paragraph" w:styleId="Rodap">
    <w:name w:val="footer"/>
    <w:basedOn w:val="Normal"/>
    <w:link w:val="RodapChar"/>
    <w:uiPriority w:val="99"/>
    <w:unhideWhenUsed/>
    <w:rsid w:val="005B55F9"/>
    <w:pPr>
      <w:tabs>
        <w:tab w:val="center" w:pos="4252"/>
        <w:tab w:val="right" w:pos="8504"/>
      </w:tabs>
      <w:spacing w:after="0" w:line="240" w:lineRule="auto"/>
    </w:pPr>
  </w:style>
  <w:style w:type="paragraph" w:styleId="PargrafodaLista">
    <w:name w:val="List Paragraph"/>
    <w:basedOn w:val="Normal"/>
    <w:uiPriority w:val="1"/>
    <w:qFormat/>
    <w:rsid w:val="004C014D"/>
    <w:pPr>
      <w:ind w:left="720"/>
      <w:contextualSpacing/>
    </w:pPr>
  </w:style>
  <w:style w:type="paragraph" w:styleId="Textodecomentrio">
    <w:name w:val="annotation text"/>
    <w:basedOn w:val="Normal"/>
    <w:link w:val="TextodecomentrioChar"/>
    <w:uiPriority w:val="99"/>
    <w:semiHidden/>
    <w:unhideWhenUsed/>
    <w:qFormat/>
    <w:rsid w:val="005758FB"/>
    <w:pPr>
      <w:spacing w:line="240" w:lineRule="auto"/>
    </w:pPr>
    <w:rPr>
      <w:color w:val="auto"/>
      <w:lang w:val="x-none" w:eastAsia="x-none"/>
    </w:rPr>
  </w:style>
  <w:style w:type="paragraph" w:styleId="Assuntodocomentrio">
    <w:name w:val="annotation subject"/>
    <w:basedOn w:val="Textodecomentrio"/>
    <w:link w:val="AssuntodocomentrioChar"/>
    <w:uiPriority w:val="99"/>
    <w:semiHidden/>
    <w:unhideWhenUsed/>
    <w:qFormat/>
    <w:rsid w:val="005758FB"/>
    <w:rPr>
      <w:b/>
      <w:bCs/>
    </w:rPr>
  </w:style>
  <w:style w:type="paragraph" w:customStyle="1" w:styleId="TableParagraph">
    <w:name w:val="Table Paragraph"/>
    <w:basedOn w:val="Normal"/>
    <w:uiPriority w:val="1"/>
    <w:qFormat/>
    <w:rsid w:val="00E5750C"/>
    <w:pPr>
      <w:spacing w:after="0" w:line="240" w:lineRule="auto"/>
    </w:pPr>
    <w:rPr>
      <w:lang w:val="en-US"/>
    </w:rPr>
  </w:style>
  <w:style w:type="table" w:customStyle="1" w:styleId="TableNormal">
    <w:name w:val="Table Normal"/>
    <w:uiPriority w:val="2"/>
    <w:semiHidden/>
    <w:unhideWhenUsed/>
    <w:qFormat/>
    <w:rsid w:val="00E5750C"/>
    <w:rPr>
      <w:szCs w:val="22"/>
      <w:lang w:val="en-US" w:eastAsia="en-US"/>
    </w:rPr>
    <w:tblPr>
      <w:tblInd w:w="0" w:type="dxa"/>
      <w:tblCellMar>
        <w:top w:w="0" w:type="dxa"/>
        <w:left w:w="0" w:type="dxa"/>
        <w:bottom w:w="0" w:type="dxa"/>
        <w:right w:w="0" w:type="dxa"/>
      </w:tblCellMar>
    </w:tblPr>
  </w:style>
  <w:style w:type="paragraph" w:customStyle="1" w:styleId="Default">
    <w:name w:val="Default"/>
    <w:rsid w:val="00783F75"/>
    <w:pPr>
      <w:autoSpaceDE w:val="0"/>
      <w:autoSpaceDN w:val="0"/>
      <w:adjustRightInd w:val="0"/>
    </w:pPr>
    <w:rPr>
      <w:rFonts w:ascii="Times New Roman" w:hAnsi="Times New Roman" w:cs="Times New Roman"/>
      <w:color w:val="000000"/>
      <w:sz w:val="24"/>
      <w:szCs w:val="24"/>
      <w:lang w:eastAsia="en-US"/>
    </w:rPr>
  </w:style>
  <w:style w:type="paragraph" w:customStyle="1" w:styleId="Paragrafo">
    <w:name w:val="Paragrafo"/>
    <w:basedOn w:val="Normal"/>
    <w:link w:val="ParagrafoChar"/>
    <w:rsid w:val="009F4963"/>
    <w:pPr>
      <w:spacing w:after="60" w:line="360" w:lineRule="auto"/>
    </w:pPr>
    <w:rPr>
      <w:rFonts w:eastAsia="Times New Roman"/>
      <w:color w:val="auto"/>
      <w:sz w:val="18"/>
      <w:szCs w:val="18"/>
      <w:lang w:val="x-none" w:eastAsia="x-none"/>
    </w:rPr>
  </w:style>
  <w:style w:type="character" w:customStyle="1" w:styleId="ParagrafoChar">
    <w:name w:val="Paragrafo Char"/>
    <w:link w:val="Paragrafo"/>
    <w:locked/>
    <w:rsid w:val="009F4963"/>
    <w:rPr>
      <w:rFonts w:ascii="Times New Roman" w:eastAsia="Times New Roman" w:hAnsi="Times New Roman" w:cs="Arial"/>
      <w:sz w:val="18"/>
      <w:szCs w:val="18"/>
    </w:rPr>
  </w:style>
  <w:style w:type="paragraph" w:customStyle="1" w:styleId="ANEXOSNome">
    <w:name w:val="# ANEXOS Nome"/>
    <w:basedOn w:val="Normal"/>
    <w:uiPriority w:val="9"/>
    <w:qFormat/>
    <w:rsid w:val="00010E68"/>
    <w:pPr>
      <w:spacing w:after="0" w:line="360" w:lineRule="auto"/>
      <w:jc w:val="center"/>
    </w:pPr>
    <w:rPr>
      <w:rFonts w:ascii="Arial" w:hAnsi="Arial" w:cs="Arial"/>
      <w:b/>
      <w:color w:val="auto"/>
      <w:sz w:val="18"/>
      <w:szCs w:val="18"/>
    </w:rPr>
  </w:style>
  <w:style w:type="paragraph" w:customStyle="1" w:styleId="ITTTULO1">
    <w:name w:val="IT TÍTULO 1"/>
    <w:basedOn w:val="Ttulo1"/>
    <w:qFormat/>
    <w:rsid w:val="000F3C57"/>
    <w:pPr>
      <w:numPr>
        <w:numId w:val="1"/>
      </w:numPr>
      <w:spacing w:before="240" w:after="120" w:line="276" w:lineRule="auto"/>
      <w:ind w:left="0" w:right="0" w:firstLine="0"/>
    </w:pPr>
    <w:rPr>
      <w:rFonts w:ascii="Times New Roman" w:hAnsi="Times New Roman"/>
      <w:sz w:val="20"/>
      <w:szCs w:val="20"/>
    </w:rPr>
  </w:style>
  <w:style w:type="paragraph" w:customStyle="1" w:styleId="ITYEXTO2">
    <w:name w:val="IT YEXTO 2"/>
    <w:basedOn w:val="Ttulo2"/>
    <w:qFormat/>
    <w:rsid w:val="0077769A"/>
    <w:pPr>
      <w:numPr>
        <w:ilvl w:val="1"/>
        <w:numId w:val="1"/>
      </w:numPr>
      <w:spacing w:before="120" w:after="120"/>
      <w:ind w:left="0" w:right="0" w:firstLine="0"/>
    </w:pPr>
    <w:rPr>
      <w:rFonts w:ascii="Times New Roman" w:eastAsia="Arial" w:hAnsi="Times New Roman"/>
      <w:b w:val="0"/>
      <w:i w:val="0"/>
      <w:sz w:val="20"/>
    </w:rPr>
  </w:style>
  <w:style w:type="paragraph" w:customStyle="1" w:styleId="ITTEXTO3">
    <w:name w:val="IT TEXTO 3"/>
    <w:basedOn w:val="Ttulo3"/>
    <w:qFormat/>
    <w:rsid w:val="0077769A"/>
    <w:pPr>
      <w:numPr>
        <w:ilvl w:val="2"/>
        <w:numId w:val="1"/>
      </w:numPr>
      <w:spacing w:before="120" w:after="120"/>
      <w:ind w:left="0" w:right="0" w:firstLine="0"/>
    </w:pPr>
    <w:rPr>
      <w:rFonts w:ascii="Times New Roman" w:hAnsi="Times New Roman"/>
      <w:b w:val="0"/>
      <w:sz w:val="20"/>
    </w:rPr>
  </w:style>
  <w:style w:type="character" w:customStyle="1" w:styleId="Ttulo2Char">
    <w:name w:val="Título 2 Char"/>
    <w:link w:val="Ttulo2"/>
    <w:uiPriority w:val="9"/>
    <w:semiHidden/>
    <w:rsid w:val="0077769A"/>
    <w:rPr>
      <w:rFonts w:ascii="Cambria" w:eastAsia="Times New Roman" w:hAnsi="Cambria" w:cs="Times New Roman"/>
      <w:b/>
      <w:bCs/>
      <w:i/>
      <w:iCs/>
      <w:color w:val="00000A"/>
      <w:sz w:val="28"/>
      <w:szCs w:val="28"/>
      <w:lang w:eastAsia="en-US"/>
    </w:rPr>
  </w:style>
  <w:style w:type="paragraph" w:customStyle="1" w:styleId="ittexto4">
    <w:name w:val="it texto 4"/>
    <w:basedOn w:val="Ttulo4"/>
    <w:qFormat/>
    <w:rsid w:val="00582DD8"/>
    <w:pPr>
      <w:numPr>
        <w:ilvl w:val="3"/>
        <w:numId w:val="1"/>
      </w:numPr>
      <w:spacing w:before="120" w:after="120"/>
      <w:ind w:left="0" w:right="0" w:firstLine="0"/>
    </w:pPr>
    <w:rPr>
      <w:rFonts w:ascii="Times New Roman" w:hAnsi="Times New Roman"/>
      <w:b w:val="0"/>
      <w:sz w:val="20"/>
    </w:rPr>
  </w:style>
  <w:style w:type="character" w:customStyle="1" w:styleId="Ttulo3Char">
    <w:name w:val="Título 3 Char"/>
    <w:link w:val="Ttulo3"/>
    <w:uiPriority w:val="9"/>
    <w:semiHidden/>
    <w:rsid w:val="0077769A"/>
    <w:rPr>
      <w:rFonts w:ascii="Cambria" w:eastAsia="Times New Roman" w:hAnsi="Cambria" w:cs="Times New Roman"/>
      <w:b/>
      <w:bCs/>
      <w:color w:val="00000A"/>
      <w:sz w:val="26"/>
      <w:szCs w:val="26"/>
      <w:lang w:eastAsia="en-US"/>
    </w:rPr>
  </w:style>
  <w:style w:type="character" w:customStyle="1" w:styleId="Ttulo4Char">
    <w:name w:val="Título 4 Char"/>
    <w:link w:val="Ttulo4"/>
    <w:uiPriority w:val="9"/>
    <w:semiHidden/>
    <w:rsid w:val="00582DD8"/>
    <w:rPr>
      <w:rFonts w:ascii="Calibri" w:eastAsia="Times New Roman" w:hAnsi="Calibri" w:cs="Times New Roman"/>
      <w:b/>
      <w:bCs/>
      <w:color w:val="00000A"/>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35FED-E5C8-4099-BDCF-A4CB85CC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3599</Words>
  <Characters>19437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IT 41 CBMAL - Vers</vt:lpstr>
    </vt:vector>
  </TitlesOfParts>
  <Company>Microsoft</Company>
  <LinksUpToDate>false</LinksUpToDate>
  <CharactersWithSpaces>22991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41 CBMAL - Vers</dc:title>
  <dc:subject/>
  <dc:creator>Rafael Barreto</dc:creator>
  <cp:keywords/>
  <cp:lastModifiedBy>EA - Eliza Castro Lopes Da Silva</cp:lastModifiedBy>
  <cp:revision>2</cp:revision>
  <cp:lastPrinted>2021-04-17T22:34:00Z</cp:lastPrinted>
  <dcterms:created xsi:type="dcterms:W3CDTF">2025-08-22T21:05:00Z</dcterms:created>
  <dcterms:modified xsi:type="dcterms:W3CDTF">2025-08-22T21:05:00Z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