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6559f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Canvas/Campaign name</w:t>
            </w:r>
          </w:p>
        </w:tc>
        <w:tc>
          <w:tcPr>
            <w:shd w:fill="6559ff"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Roboto" w:cs="Roboto" w:eastAsia="Roboto" w:hAnsi="Roboto"/>
                <w:b w:val="1"/>
                <w:color w:val="ffffff"/>
              </w:rPr>
            </w:pPr>
            <w:r w:rsidDel="00000000" w:rsidR="00000000" w:rsidRPr="00000000">
              <w:rPr>
                <w:rtl w:val="0"/>
              </w:rPr>
            </w:r>
          </w:p>
        </w:tc>
      </w:tr>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Braze Canvas/Campaign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202202-v3-Reporting-Experience-Mob</w:t>
            </w:r>
          </w:p>
        </w:tc>
      </w:tr>
      <w:tr>
        <w:trPr>
          <w:cantSplit w:val="0"/>
          <w:trHeight w:val="45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Braze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In-App [Mob]</w:t>
            </w:r>
            <w:r w:rsidDel="00000000" w:rsidR="00000000" w:rsidRPr="00000000">
              <w:rPr>
                <w:rtl w:val="0"/>
              </w:rPr>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rHeight w:val="444.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Message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In-App Message [Mob]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Trigger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iauditor.reportgenerate.view_screen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Free Teams</w:t>
            </w:r>
          </w:p>
          <w:p w:rsidR="00000000" w:rsidDel="00000000" w:rsidP="00000000" w:rsidRDefault="00000000" w:rsidRPr="00000000" w14:paraId="00000010">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created report in past 60 days</w:t>
            </w:r>
          </w:p>
          <w:p w:rsidR="00000000" w:rsidDel="00000000" w:rsidP="00000000" w:rsidRDefault="00000000" w:rsidRPr="00000000" w14:paraId="00000011">
            <w:pPr>
              <w:pageBreakBefore w:val="0"/>
              <w:widowControl w:val="0"/>
              <w:spacing w:line="240" w:lineRule="auto"/>
              <w:rPr>
                <w:rFonts w:ascii="Roboto" w:cs="Roboto" w:eastAsia="Roboto" w:hAnsi="Roboto"/>
                <w:highlight w:val="yellow"/>
              </w:rPr>
            </w:pPr>
            <w:r w:rsidDel="00000000" w:rsidR="00000000" w:rsidRPr="00000000">
              <w:rPr>
                <w:rFonts w:ascii="Roboto" w:cs="Roboto" w:eastAsia="Roboto" w:hAnsi="Roboto"/>
                <w:highlight w:val="yellow"/>
                <w:rtl w:val="0"/>
              </w:rPr>
              <w:t xml:space="preserve">Feature Flag: </w:t>
            </w:r>
          </w:p>
          <w:p w:rsidR="00000000" w:rsidDel="00000000" w:rsidP="00000000" w:rsidRDefault="00000000" w:rsidRPr="00000000" w14:paraId="00000012">
            <w:pPr>
              <w:widowControl w:val="0"/>
              <w:numPr>
                <w:ilvl w:val="0"/>
                <w:numId w:val="1"/>
              </w:numPr>
              <w:shd w:fill="ffffff" w:val="clear"/>
              <w:spacing w:after="0" w:afterAutospacing="0" w:line="240" w:lineRule="auto"/>
              <w:ind w:left="720" w:hanging="360"/>
            </w:pPr>
            <w:r w:rsidDel="00000000" w:rsidR="00000000" w:rsidRPr="00000000">
              <w:rPr>
                <w:rFonts w:ascii="Roboto" w:cs="Roboto" w:eastAsia="Roboto" w:hAnsi="Roboto"/>
                <w:color w:val="172b4d"/>
                <w:sz w:val="24"/>
                <w:szCs w:val="24"/>
                <w:rtl w:val="0"/>
              </w:rPr>
              <w:t xml:space="preserve">master_reports_offline_reporting</w:t>
            </w:r>
          </w:p>
          <w:p w:rsidR="00000000" w:rsidDel="00000000" w:rsidP="00000000" w:rsidRDefault="00000000" w:rsidRPr="00000000" w14:paraId="00000013">
            <w:pPr>
              <w:widowControl w:val="0"/>
              <w:numPr>
                <w:ilvl w:val="0"/>
                <w:numId w:val="1"/>
              </w:numPr>
              <w:shd w:fill="ffffff" w:val="clear"/>
              <w:spacing w:after="0" w:afterAutospacing="0" w:before="0" w:beforeAutospacing="0" w:line="240" w:lineRule="auto"/>
              <w:ind w:left="720" w:hanging="360"/>
            </w:pPr>
            <w:r w:rsidDel="00000000" w:rsidR="00000000" w:rsidRPr="00000000">
              <w:rPr>
                <w:rFonts w:ascii="Roboto" w:cs="Roboto" w:eastAsia="Roboto" w:hAnsi="Roboto"/>
                <w:color w:val="172b4d"/>
                <w:sz w:val="24"/>
                <w:szCs w:val="24"/>
                <w:rtl w:val="0"/>
              </w:rPr>
              <w:t xml:space="preserve">master_reports_online_reporting</w:t>
            </w:r>
          </w:p>
          <w:p w:rsidR="00000000" w:rsidDel="00000000" w:rsidP="00000000" w:rsidRDefault="00000000" w:rsidRPr="00000000" w14:paraId="00000014">
            <w:pPr>
              <w:widowControl w:val="0"/>
              <w:numPr>
                <w:ilvl w:val="0"/>
                <w:numId w:val="1"/>
              </w:numPr>
              <w:shd w:fill="ffffff" w:val="clear"/>
              <w:spacing w:before="0" w:beforeAutospacing="0" w:line="240" w:lineRule="auto"/>
              <w:ind w:left="720" w:hanging="360"/>
            </w:pPr>
            <w:r w:rsidDel="00000000" w:rsidR="00000000" w:rsidRPr="00000000">
              <w:rPr>
                <w:rFonts w:ascii="Roboto" w:cs="Roboto" w:eastAsia="Roboto" w:hAnsi="Roboto"/>
                <w:color w:val="172b4d"/>
                <w:sz w:val="24"/>
                <w:szCs w:val="24"/>
                <w:rtl w:val="0"/>
              </w:rPr>
              <w:t xml:space="preserve">new_web_report_enabled</w:t>
            </w:r>
            <w:r w:rsidDel="00000000" w:rsidR="00000000" w:rsidRPr="00000000">
              <w:rPr>
                <w:rtl w:val="0"/>
              </w:rPr>
            </w:r>
          </w:p>
        </w:tc>
      </w:tr>
      <w:tr>
        <w:trPr>
          <w:cantSplit w:val="0"/>
          <w:trHeight w:val="399.04296874999994" w:hRule="atLeast"/>
          <w:tblHeader w:val="0"/>
        </w:trPr>
        <w:tc>
          <w:tcPr>
            <w:gridSpan w:val="2"/>
            <w:shd w:fill="c2c5ff"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Modal message</w:t>
            </w:r>
          </w:p>
        </w:tc>
      </w:tr>
      <w:tr>
        <w:trPr>
          <w:cantSplit w:val="0"/>
          <w:trHeight w:val="39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Slide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b w:val="1"/>
              </w:rPr>
            </w:pPr>
            <w:commentRangeStart w:id="0"/>
            <w:r w:rsidDel="00000000" w:rsidR="00000000" w:rsidRPr="00000000">
              <w:rPr>
                <w:b w:val="1"/>
                <w:rtl w:val="0"/>
              </w:rPr>
              <w:t xml:space="preserve">We’ve refreshed Reporting!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Create, download and share Reports in seconds. With the new PDF Reports preview, see exactly what you’re sending before you share it.</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t xml:space="preserve">[Next]</w:t>
            </w:r>
          </w:p>
        </w:tc>
      </w:tr>
      <w:tr>
        <w:trPr>
          <w:cantSplit w:val="0"/>
          <w:trHeight w:val="399.04296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Slide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b w:val="1"/>
              </w:rPr>
            </w:pPr>
            <w:commentRangeStart w:id="1"/>
            <w:r w:rsidDel="00000000" w:rsidR="00000000" w:rsidRPr="00000000">
              <w:rPr>
                <w:b w:val="1"/>
                <w:rtl w:val="0"/>
              </w:rPr>
              <w:t xml:space="preserve">Report anywhere and everywhere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Online or offline, you can now generate your PDF Reports from your mobile device. Whether you find yourself with poor reception or 100ft underground, you can still get your job done in iAuditor.</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[Next]</w:t>
            </w:r>
          </w:p>
        </w:tc>
      </w:tr>
      <w:tr>
        <w:trPr>
          <w:cantSplit w:val="0"/>
          <w:trHeight w:val="2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Slide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rPr>
            </w:pPr>
            <w:commentRangeStart w:id="2"/>
            <w:r w:rsidDel="00000000" w:rsidR="00000000" w:rsidRPr="00000000">
              <w:rPr>
                <w:b w:val="1"/>
                <w:rtl w:val="0"/>
              </w:rPr>
              <w:t xml:space="preserve">Report layouts set up and ready to go!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Choose from your customized Report layouts to apply your template of choice before exporting or sharing your PDF Report.</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Learn more </w:t>
            </w:r>
            <w:hyperlink r:id="rId7">
              <w:r w:rsidDel="00000000" w:rsidR="00000000" w:rsidRPr="00000000">
                <w:rPr>
                  <w:color w:val="1155cc"/>
                  <w:u w:val="single"/>
                  <w:rtl w:val="0"/>
                </w:rPr>
                <w:t xml:space="preserve">https://help.safetyculture.com/en_us/001866-S1gKEBu_t</w:t>
              </w:r>
            </w:hyperlink>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rtl w:val="0"/>
              </w:rPr>
              <w:t xml:space="preserve">[Got it]</w:t>
            </w:r>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Clement" w:id="2" w:date="2022-03-01T22:25:33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PDF report Offline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generate your PDF Report while offline. Whether you find yourself with poor reception or 100ft underground, you can still get your job done in iAuditor.</w:t>
      </w:r>
    </w:p>
  </w:comment>
  <w:comment w:author="Ryan Clement" w:id="0" w:date="2022-03-01T22:24:5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and share a PDF in a flash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download and share Reports in seconds. With the new PDF report preview, see exactly what you’re sending before you share it.</w:t>
      </w:r>
    </w:p>
  </w:comment>
  <w:comment w:author="Ryan Clement" w:id="1" w:date="2022-03-01T22:25:1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custom layout and apply them to any report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from your customized Report layouts before exporting or sharing your PDF Report.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elp.safetyculture.com/en_us/001866-S1gKEBu_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