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B8A6"/>
          <w:sz w:val="22"/>
        </w:rPr>
        <w:t>NexusFlow Technologies</w:t>
      </w:r>
    </w:p>
    <w:p>
      <w:pPr>
        <w:pStyle w:val="Title"/>
        <w:jc w:val="center"/>
      </w:pPr>
      <w:r>
        <w:t>FAQ de soporte</w:t>
      </w:r>
    </w:p>
    <w:p>
      <w:pPr>
        <w:jc w:val="center"/>
      </w:pPr>
      <w:r>
        <w:rPr>
          <w:i/>
          <w:color w:val="64748B"/>
        </w:rPr>
        <w:t>Respuestas operativas coherentes con producto, precios, privacidad y términos</w:t>
      </w:r>
    </w:p>
    <w:p>
      <w:pPr>
        <w:jc w:val="center"/>
      </w:pPr>
      <w:r>
        <w:rPr>
          <w:color w:val="64748B"/>
          <w:sz w:val="16"/>
        </w:rPr>
        <w:t>Versión 1.0 · 21 de julio de 2026 · Corpus ficticio para demostración RAG</w:t>
      </w:r>
    </w:p>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EF2FF"/>
            <w:tcMar>
              <w:top w:w="120" w:type="dxa"/>
              <w:start w:w="120" w:type="dxa"/>
              <w:bottom w:w="120" w:type="dxa"/>
              <w:end w:w="120" w:type="dxa"/>
            </w:tcMar>
            <w:vAlign w:val="center"/>
          </w:tcPr>
          <w:p>
            <w:r>
              <w:t>document_id</w:t>
            </w:r>
          </w:p>
        </w:tc>
        <w:tc>
          <w:tcPr>
            <w:tcW w:type="dxa" w:w="2520"/>
            <w:tcMar>
              <w:top w:w="120" w:type="dxa"/>
              <w:start w:w="120" w:type="dxa"/>
              <w:bottom w:w="120" w:type="dxa"/>
              <w:end w:w="120" w:type="dxa"/>
            </w:tcMar>
            <w:vAlign w:val="center"/>
          </w:tcPr>
          <w:p>
            <w:r>
              <w:t>SUPPORT-FAQ-ES</w:t>
            </w:r>
          </w:p>
        </w:tc>
        <w:tc>
          <w:tcPr>
            <w:tcW w:type="dxa" w:w="2520"/>
            <w:shd w:fill="EEF2FF"/>
            <w:tcMar>
              <w:top w:w="120" w:type="dxa"/>
              <w:start w:w="120" w:type="dxa"/>
              <w:bottom w:w="120" w:type="dxa"/>
              <w:end w:w="120" w:type="dxa"/>
            </w:tcMar>
            <w:vAlign w:val="center"/>
          </w:tcPr>
          <w:p>
            <w:r>
              <w:t>document_type</w:t>
            </w:r>
          </w:p>
        </w:tc>
        <w:tc>
          <w:tcPr>
            <w:tcW w:type="dxa" w:w="2520"/>
            <w:tcMar>
              <w:top w:w="120" w:type="dxa"/>
              <w:start w:w="120" w:type="dxa"/>
              <w:bottom w:w="120" w:type="dxa"/>
              <w:end w:w="120" w:type="dxa"/>
            </w:tcMar>
            <w:vAlign w:val="center"/>
          </w:tcPr>
          <w:p>
            <w:r>
              <w:t>support_faq</w:t>
            </w:r>
          </w:p>
        </w:tc>
      </w:tr>
      <w:tr>
        <w:tc>
          <w:tcPr>
            <w:tcW w:type="dxa" w:w="2520"/>
            <w:shd w:fill="EEF2FF"/>
            <w:tcMar>
              <w:top w:w="120" w:type="dxa"/>
              <w:start w:w="120" w:type="dxa"/>
              <w:bottom w:w="120" w:type="dxa"/>
              <w:end w:w="120" w:type="dxa"/>
            </w:tcMar>
            <w:vAlign w:val="center"/>
          </w:tcPr>
          <w:p>
            <w:r>
              <w:t>locale</w:t>
            </w:r>
          </w:p>
        </w:tc>
        <w:tc>
          <w:tcPr>
            <w:tcW w:type="dxa" w:w="2520"/>
            <w:tcMar>
              <w:top w:w="120" w:type="dxa"/>
              <w:start w:w="120" w:type="dxa"/>
              <w:bottom w:w="120" w:type="dxa"/>
              <w:end w:w="120" w:type="dxa"/>
            </w:tcMar>
            <w:vAlign w:val="center"/>
          </w:tcPr>
          <w:p>
            <w:r>
              <w:t>es-CL</w:t>
            </w:r>
          </w:p>
        </w:tc>
        <w:tc>
          <w:tcPr>
            <w:tcW w:type="dxa" w:w="2520"/>
            <w:shd w:fill="EEF2FF"/>
            <w:tcMar>
              <w:top w:w="120" w:type="dxa"/>
              <w:start w:w="120" w:type="dxa"/>
              <w:bottom w:w="120" w:type="dxa"/>
              <w:end w:w="120" w:type="dxa"/>
            </w:tcMar>
            <w:vAlign w:val="center"/>
          </w:tcPr>
          <w:p>
            <w:r>
              <w:t>version</w:t>
            </w:r>
          </w:p>
        </w:tc>
        <w:tc>
          <w:tcPr>
            <w:tcW w:type="dxa" w:w="2520"/>
            <w:tcMar>
              <w:top w:w="120" w:type="dxa"/>
              <w:start w:w="120" w:type="dxa"/>
              <w:bottom w:w="120" w:type="dxa"/>
              <w:end w:w="120" w:type="dxa"/>
            </w:tcMar>
            <w:vAlign w:val="center"/>
          </w:tcPr>
          <w:p>
            <w:r>
              <w:t>1.0</w:t>
            </w:r>
          </w:p>
        </w:tc>
      </w:tr>
    </w:tbl>
    <w:p/>
    <w:p>
      <w:pPr>
        <w:pStyle w:val="Heading1"/>
      </w:pPr>
      <w:r>
        <w:t>Cómo usar este documento</w:t>
      </w:r>
    </w:p>
    <w:p>
      <w:r>
        <w:t>Busca por identificador, categoría o pregunta. En una implementación RAG, conserva faq_id y category como metadatos y devuelve el identificador junto con la respuesta.</w:t>
      </w:r>
    </w:p>
    <w:p>
      <w:pPr>
        <w:pStyle w:val="Heading2"/>
      </w:pPr>
      <w:r>
        <w:t>FAQ-001 · ¿Cómo restablezco mi contraseña?</w:t>
      </w:r>
    </w:p>
    <w:p>
      <w:r>
        <w:rPr>
          <w:b/>
          <w:color w:val="14B8A6"/>
        </w:rPr>
        <w:t>Categoría: cuenta</w:t>
      </w:r>
    </w:p>
    <w:p>
      <w:r>
        <w:t>En la pantalla de acceso selecciona “Olvidé mi contraseña”, introduce el correo de la cuenta y sigue el enlace recibido. Si usas SSO, contacta con el administrador de tu organización.</w:t>
      </w:r>
    </w:p>
    <w:p>
      <w:pPr>
        <w:pStyle w:val="Heading2"/>
      </w:pPr>
      <w:r>
        <w:t>FAQ-002 · No recibo el correo de invitación.</w:t>
      </w:r>
    </w:p>
    <w:p>
      <w:r>
        <w:rPr>
          <w:b/>
          <w:color w:val="14B8A6"/>
        </w:rPr>
        <w:t>Categoría: acceso</w:t>
      </w:r>
    </w:p>
    <w:p>
      <w:r>
        <w:t>Revisa spam y confirma que el administrador usó la dirección correcta. Pídele que reenvíe la invitación. Si el dominio bloquea correos, autoriza el remitente de NexusFlow.</w:t>
      </w:r>
    </w:p>
    <w:p>
      <w:pPr>
        <w:pStyle w:val="Heading2"/>
      </w:pPr>
      <w:r>
        <w:t>FAQ-003 · ¿Puedo recuperar una tarea eliminada?</w:t>
      </w:r>
    </w:p>
    <w:p>
      <w:r>
        <w:rPr>
          <w:b/>
          <w:color w:val="14B8A6"/>
        </w:rPr>
        <w:t>Categoría: proyectos</w:t>
      </w:r>
    </w:p>
    <w:p>
      <w:r>
        <w:t>Los administradores pueden restaurar elementos desde la papelera durante 30 días. Después de ese plazo, la recuperación no está garantizada.</w:t>
      </w:r>
    </w:p>
    <w:p>
      <w:pPr>
        <w:pStyle w:val="Heading2"/>
      </w:pPr>
      <w:r>
        <w:t>FAQ-004 · Una automatización no se ejecutó.</w:t>
      </w:r>
    </w:p>
    <w:p>
      <w:r>
        <w:rPr>
          <w:b/>
          <w:color w:val="14B8A6"/>
        </w:rPr>
        <w:t>Categoría: automatización</w:t>
      </w:r>
    </w:p>
    <w:p>
      <w:r>
        <w:t>Verifica que la regla esté activa, que el disparador se haya producido, que las condiciones coincidan y que el espacio no haya agotado el límite mensual. Revisa el historial de automatización para ver el motivo.</w:t>
      </w:r>
    </w:p>
    <w:p>
      <w:pPr>
        <w:pStyle w:val="Heading2"/>
      </w:pPr>
      <w:r>
        <w:t>FAQ-005 · ¿Cómo cambio de plan?</w:t>
      </w:r>
    </w:p>
    <w:p>
      <w:r>
        <w:rPr>
          <w:b/>
          <w:color w:val="14B8A6"/>
        </w:rPr>
        <w:t>Categoría: facturación</w:t>
      </w:r>
    </w:p>
    <w:p>
      <w:r>
        <w:t>El propietario abre Configuración, Facturación y Plan. Las subidas se aplican inmediatamente con prorrateo; las bajadas se programan para la próxima renovación.</w:t>
      </w:r>
    </w:p>
    <w:p>
      <w:pPr>
        <w:pStyle w:val="Heading2"/>
      </w:pPr>
      <w:r>
        <w:t>FAQ-006 · ¿Cómo descargo una factura?</w:t>
      </w:r>
    </w:p>
    <w:p>
      <w:r>
        <w:rPr>
          <w:b/>
          <w:color w:val="14B8A6"/>
        </w:rPr>
        <w:t>Categoría: facturación</w:t>
      </w:r>
    </w:p>
    <w:p>
      <w:r>
        <w:t>El propietario puede descargar facturas desde Configuración, Facturación e Historial. Si la compra se realizó por contrato, debe usar el canal administrativo indicado en la orden de compra.</w:t>
      </w:r>
    </w:p>
    <w:p>
      <w:pPr>
        <w:pStyle w:val="Heading2"/>
      </w:pPr>
      <w:r>
        <w:t>FAQ-007 · ¿NexusFlow ofrece SSO?</w:t>
      </w:r>
    </w:p>
    <w:p>
      <w:r>
        <w:rPr>
          <w:b/>
          <w:color w:val="14B8A6"/>
        </w:rPr>
        <w:t>Categoría: seguridad</w:t>
      </w:r>
    </w:p>
    <w:p>
      <w:r>
        <w:t>Business y Enterprise admiten SSO mediante SAML u OIDC. Enterprise puede añadir SCIM según contrato.</w:t>
      </w:r>
    </w:p>
    <w:p>
      <w:pPr>
        <w:pStyle w:val="Heading2"/>
      </w:pPr>
      <w:r>
        <w:t>FAQ-008 · ¿Cómo exporto mis proyectos?</w:t>
      </w:r>
    </w:p>
    <w:p>
      <w:r>
        <w:rPr>
          <w:b/>
          <w:color w:val="14B8A6"/>
        </w:rPr>
        <w:t>Categoría: datos</w:t>
      </w:r>
    </w:p>
    <w:p>
      <w:r>
        <w:t>En el menú del proyecto selecciona Exportar y elige CSV. Para una exportación completa del espacio, un administrador puede iniciar una solicitud desde Configuración de datos.</w:t>
      </w:r>
    </w:p>
    <w:p>
      <w:pPr>
        <w:pStyle w:val="Heading2"/>
      </w:pPr>
      <w:r>
        <w:t>FAQ-009 · Mi integración dejó de sincronizar.</w:t>
      </w:r>
    </w:p>
    <w:p>
      <w:r>
        <w:rPr>
          <w:b/>
          <w:color w:val="14B8A6"/>
        </w:rPr>
        <w:t>Categoría: integraciones</w:t>
      </w:r>
    </w:p>
    <w:p>
      <w:r>
        <w:t>Comprueba que la conexión siga autorizada, que el token no haya caducado y que el usuario conserve permisos en ambos sistemas. Reautoriza la conexión y revisa el registro de errores.</w:t>
      </w:r>
    </w:p>
    <w:p>
      <w:pPr>
        <w:pStyle w:val="Heading2"/>
      </w:pPr>
      <w:r>
        <w:t>FAQ-010 · La aplicación está lenta.</w:t>
      </w:r>
    </w:p>
    <w:p>
      <w:r>
        <w:rPr>
          <w:b/>
          <w:color w:val="14B8A6"/>
        </w:rPr>
        <w:t>Categoría: rendimiento</w:t>
      </w:r>
    </w:p>
    <w:p>
      <w:r>
        <w:t>Confirma el estado del servicio, prueba una ventana privada y desactiva extensiones del navegador. Registra hora, zona horaria, URL del proyecto y pasos reproducibles antes de contactar con soporte.</w:t>
      </w:r>
    </w:p>
    <w:p>
      <w:pPr>
        <w:pStyle w:val="Heading2"/>
      </w:pPr>
      <w:r>
        <w:t>FAQ-011 · ¿Cómo solicito acceso o eliminación de mis datos?</w:t>
      </w:r>
    </w:p>
    <w:p>
      <w:r>
        <w:rPr>
          <w:b/>
          <w:color w:val="14B8A6"/>
        </w:rPr>
        <w:t>Categoría: privacidad</w:t>
      </w:r>
    </w:p>
    <w:p>
      <w:r>
        <w:t>Envía la solicitud desde el formulario de privacidad o a privacy@nexusflow.example. Verificaremos la identidad antes de procesarla y responderemos conforme a la normativa aplicable.</w:t>
      </w:r>
    </w:p>
    <w:p>
      <w:pPr>
        <w:pStyle w:val="Heading2"/>
      </w:pPr>
      <w:r>
        <w:t>FAQ-012 · ¿Qué ocurre al cancelar?</w:t>
      </w:r>
    </w:p>
    <w:p>
      <w:r>
        <w:rPr>
          <w:b/>
          <w:color w:val="14B8A6"/>
        </w:rPr>
        <w:t>Categoría: cancelación</w:t>
      </w:r>
    </w:p>
    <w:p>
      <w:r>
        <w:t>El acceso continúa hasta finalizar el periodo pagado. Después el espacio pasa a modo restringido y se conserva temporalmente para permitir exportación o reactivación antes de la eliminación programada.</w:t>
      </w:r>
    </w:p>
    <w:p>
      <w:pPr>
        <w:pStyle w:val="Heading2"/>
      </w:pPr>
      <w:r>
        <w:t>FAQ-013 · ¿Qué debo incluir en un ticket?</w:t>
      </w:r>
    </w:p>
    <w:p>
      <w:r>
        <w:rPr>
          <w:b/>
          <w:color w:val="14B8A6"/>
        </w:rPr>
        <w:t>Categoría: soporte</w:t>
      </w:r>
    </w:p>
    <w:p>
      <w:r>
        <w:t>Incluye ID del espacio, proyecto afectado, fecha y hora con zona horaria, pasos, resultado esperado, resultado real y capturas sin contraseñas, tokens ni información sensible.</w:t>
      </w:r>
    </w:p>
    <w:p>
      <w:pPr>
        <w:pStyle w:val="Heading2"/>
      </w:pPr>
      <w:r>
        <w:t>FAQ-014 · ¿Cómo revoco un token de API?</w:t>
      </w:r>
    </w:p>
    <w:p>
      <w:r>
        <w:rPr>
          <w:b/>
          <w:color w:val="14B8A6"/>
        </w:rPr>
        <w:t>Categoría: api</w:t>
      </w:r>
    </w:p>
    <w:p>
      <w:r>
        <w:t>Abre Configuración personal, Desarrolladores y Tokens. Selecciona el token y elige Revocar. Las llamadas posteriores con ese token dejarán de funcionar.</w:t>
      </w:r>
    </w:p>
    <w:p>
      <w:pPr>
        <w:pStyle w:val="Heading1"/>
      </w:pPr>
      <w:r>
        <w:t>Escalado a soporte</w:t>
      </w:r>
    </w:p>
    <w:p>
      <w:r>
        <w:t>Si la respuesta no resuelve el caso, crea un ticket con información reproducible. No incluyas contraseñas, códigos de autenticación, tokens de API ni datos personales innecesarios. Los objetivos de primera respuesta dependen del plan contratado.</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NexusFlow Technologies · Documentación de ejemplo · nexusflow.example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554"/>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46E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4B8A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4F46E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