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B8A6"/>
          <w:sz w:val="20"/>
        </w:rPr>
        <w:t>NEXUSFLOW TECHNOLOGIES</w:t>
      </w:r>
    </w:p>
    <w:p>
      <w:pPr>
        <w:pStyle w:val="Title"/>
        <w:jc w:val="center"/>
      </w:pPr>
      <w:r>
        <w:t>Política de trabajo remoto e híbrido</w:t>
      </w:r>
    </w:p>
    <w:p>
      <w:pPr>
        <w:jc w:val="center"/>
      </w:pPr>
      <w:r>
        <w:rPr>
          <w:i/>
          <w:color w:val="64748B"/>
        </w:rPr>
        <w:t>Criterios de colaboración, seguridad y coordinación</w:t>
      </w:r>
    </w:p>
    <w:p>
      <w:pPr>
        <w:jc w:val="center"/>
      </w:pPr>
      <w:r>
        <w:rPr>
          <w:color w:val="64748B"/>
          <w:sz w:val="16"/>
        </w:rPr>
        <w:t>Versión 1.1 · 21 de julio de 2026 · Documento ficticio para demostración RAG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2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document_id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RH-REMOTE-WORK-ES</w:t>
            </w:r>
          </w:p>
        </w:tc>
        <w:tc>
          <w:tcPr>
            <w:tcW w:type="dxa" w:w="2520"/>
            <w:shd w:fill="EEF2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document_type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remote_work_policy</w:t>
            </w:r>
          </w:p>
        </w:tc>
      </w:tr>
      <w:tr>
        <w:tc>
          <w:tcPr>
            <w:tcW w:type="dxa" w:w="2520"/>
            <w:shd w:fill="EEF2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department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rh</w:t>
            </w:r>
          </w:p>
        </w:tc>
        <w:tc>
          <w:tcPr>
            <w:tcW w:type="dxa" w:w="2520"/>
            <w:shd w:fill="EEF2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locale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es-CL</w:t>
            </w:r>
          </w:p>
        </w:tc>
      </w:tr>
    </w:tbl>
    <w:p/>
    <w:p>
      <w:pPr>
        <w:pStyle w:val="IntenseQuote"/>
      </w:pPr>
      <w:r>
        <w:t>Nota: texto ficticio. Debe adaptarse a contratos, acuerdos y legislación aplicable antes de uso real.</w:t>
      </w:r>
    </w:p>
    <w:p>
      <w:pPr>
        <w:pStyle w:val="Heading1"/>
      </w:pPr>
      <w:r>
        <w:t>RH-REM-001 · Objeto y alcance</w:t>
      </w:r>
    </w:p>
    <w:p>
      <w:r>
        <w:t>Esta política ficticia establece criterios generales para trabajo remoto o híbrido cuando el cargo y el acuerdo laboral lo permitan. No modifica por sí sola el contrato de trabajo ni crea un derecho permanente a una modalidad específica.</w:t>
      </w:r>
    </w:p>
    <w:p>
      <w:pPr>
        <w:pStyle w:val="Heading1"/>
      </w:pPr>
      <w:r>
        <w:t>RH-REM-002 · Acuerdo de modalidad</w:t>
      </w:r>
    </w:p>
    <w:p>
      <w:r>
        <w:t>La modalidad, lugar habitual, jornada y disponibilidad se documentan por el canal correspondiente. Cualquier cambio debe ser coordinado con la persona responsable y Recursos Humanos.</w:t>
      </w:r>
    </w:p>
    <w:p>
      <w:pPr>
        <w:pStyle w:val="Heading1"/>
      </w:pPr>
      <w:r>
        <w:t>RH-REM-003 · Disponibilidad y resultados</w:t>
      </w:r>
    </w:p>
    <w:p>
      <w:r>
        <w:t>Cada equipo define ventanas de coordinación compatibles con su operación. El trabajo se organiza por objetivos y entregables, respetando jornada, descansos y desconexión conforme al contrato y la normativa aplicable.</w:t>
      </w:r>
    </w:p>
    <w:p>
      <w:pPr>
        <w:pStyle w:val="Heading1"/>
      </w:pPr>
      <w:r>
        <w:t>RH-REM-004 · Lugar y condiciones</w:t>
      </w:r>
    </w:p>
    <w:p>
      <w:r>
        <w:t>La persona debe procurar un espacio seguro, razonablemente privado y adecuado para sus funciones. Las necesidades de accesibilidad o adaptación se gestionan confidencialmente con Recursos Humanos.</w:t>
      </w:r>
    </w:p>
    <w:p>
      <w:pPr>
        <w:pStyle w:val="Heading1"/>
      </w:pPr>
      <w:r>
        <w:t>RH-REM-005 · Equipos y gastos</w:t>
      </w:r>
    </w:p>
    <w:p>
      <w:r>
        <w:t>Los equipos, servicios y reembolsos se rigen por contrato, anexos y políticas vigentes. Los activos entregados deben cuidarse, mantenerse actualizados y devolverse cuando corresponda.</w:t>
      </w:r>
    </w:p>
    <w:p>
      <w:pPr>
        <w:pStyle w:val="Heading1"/>
      </w:pPr>
      <w:r>
        <w:t>RH-REM-006 · Seguridad de la información</w:t>
      </w:r>
    </w:p>
    <w:p>
      <w:r>
        <w:t>Se deben usar dispositivos y conexiones autorizados, bloqueo de pantalla, autenticación multifactor y almacenamiento corporativo. Está prohibido compartir credenciales o trabajar con información sensible en condiciones que permitan acceso no autorizado.</w:t>
      </w:r>
    </w:p>
    <w:p>
      <w:pPr>
        <w:pStyle w:val="Heading1"/>
      </w:pPr>
      <w:r>
        <w:t>RH-REM-007 · Reuniones y documentación</w:t>
      </w:r>
    </w:p>
    <w:p>
      <w:r>
        <w:t>Las reuniones remotas deben tener propósito, participantes necesarios y acuerdos registrados. Las decisiones y entregables se documentan en NexusFlow o en el sistema corporativo definido.</w:t>
      </w:r>
    </w:p>
    <w:p>
      <w:pPr>
        <w:pStyle w:val="Heading1"/>
      </w:pPr>
      <w:r>
        <w:t>RH-REM-008 · Incidentes</w:t>
      </w:r>
    </w:p>
    <w:p>
      <w:r>
        <w:t>La pérdida de equipo, sospecha de acceso, envío erróneo o exposición de información debe reportarse inmediatamente por los canales internos de seguridad y soporte.</w:t>
      </w:r>
    </w:p>
    <w:p>
      <w:pPr>
        <w:pStyle w:val="Heading1"/>
      </w:pPr>
      <w:r>
        <w:t>RH-REM-009 · Revisión de la política</w:t>
      </w:r>
    </w:p>
    <w:p>
      <w:r>
        <w:t>Recursos Humanos puede revisar esta política junto con las áreas responsables. Los cambios materiales se comunican por canales corporativos y se registran mediante versión y fecha de vigencia.</w:t>
      </w:r>
    </w:p>
    <w:p>
      <w:pPr>
        <w:pStyle w:val="Heading1"/>
      </w:pPr>
      <w:r>
        <w:t>Referencias internas</w:t>
      </w:r>
    </w:p>
    <w:p>
      <w:r>
        <w:t>RH-ONB-005 Herramientas y seguridad · RH-COND-004 Protección de información · KB-009 Seguridad y continuidad.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NexusFlow Technologies · Recursos Humanos · Uso demostrativo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B8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4F46E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