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spacing w:after="500" w:before="0" w:line="360"/>
        <w:jc w:val="center"/>
      </w:pPr>
      <w:r>
        <w:rPr>
          <w:rFonts w:ascii="Times New Roman" w:cs="Times New Roman" w:eastAsia="Times New Roman" w:hAnsi="Times New Roman"/>
          <w:b/>
          <w:bCs/>
          <w:i w:val="false"/>
          <w:iCs w:val="false"/>
          <w:sz w:val="28"/>
          <w:szCs w:val="28"/>
        </w:rPr>
        <w:t xml:space="preserve">MÁSTER UNIVERSITARIO EN ROBÓTICA Y AUTOMATIZACIÓN DE PROCESOS</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6"/>
          <w:szCs w:val="26"/>
        </w:rPr>
        <w:t xml:space="preserve">TÍTULO:</w:t>
      </w:r>
    </w:p>
    <w:p>
      <w:pPr>
        <w:spacing w:after="500" w:before="0" w:line="360"/>
        <w:jc w:val="center"/>
      </w:pPr>
      <w:r>
        <w:rPr>
          <w:rFonts w:ascii="Times New Roman" w:cs="Times New Roman" w:eastAsia="Times New Roman" w:hAnsi="Times New Roman"/>
          <w:b w:val="false"/>
          <w:bCs w:val="false"/>
          <w:i w:val="false"/>
          <w:iCs w:val="false"/>
          <w:sz w:val="26"/>
          <w:szCs w:val="26"/>
        </w:rPr>
        <w:t xml:space="preserve">Control reactivo distribuido basado en dinámicas poblacionales para la formación autónoma de coaliciones y el transporte cooperativo de cargas heterogéneas mediante AGVs</w:t>
      </w:r>
    </w:p>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Alumno: </w:t>
      </w:r>
      <w:r>
        <w:rPr>
          <w:rFonts w:ascii="Times New Roman" w:cs="Times New Roman" w:eastAsia="Times New Roman" w:hAnsi="Times New Roman"/>
          <w:b w:val="false"/>
          <w:bCs w:val="false"/>
          <w:i w:val="false"/>
          <w:iCs w:val="false"/>
          <w:sz w:val="24"/>
          <w:szCs w:val="24"/>
        </w:rPr>
        <w:t xml:space="preserve">Jorge Luis Mayorga Taborda</w:t>
      </w:r>
    </w:p>
    <w:p>
      <w:pPr>
        <w:spacing w:after="120" w:before="0" w:line="360"/>
        <w:jc w:val="center"/>
      </w:pPr>
      <w:r>
        <w:rPr>
          <w:rFonts w:ascii="Times New Roman" w:cs="Times New Roman" w:eastAsia="Times New Roman" w:hAnsi="Times New Roman"/>
          <w:b/>
          <w:bCs/>
          <w:i w:val="false"/>
          <w:iCs w:val="false"/>
          <w:sz w:val="24"/>
          <w:szCs w:val="24"/>
        </w:rPr>
        <w:t xml:space="preserve">Director: </w:t>
      </w:r>
      <w:r>
        <w:rPr>
          <w:rFonts w:ascii="Times New Roman" w:cs="Times New Roman" w:eastAsia="Times New Roman" w:hAnsi="Times New Roman"/>
          <w:b w:val="false"/>
          <w:bCs w:val="false"/>
          <w:i w:val="false"/>
          <w:iCs w:val="false"/>
          <w:sz w:val="24"/>
          <w:szCs w:val="24"/>
        </w:rPr>
        <w:t xml:space="preserve">Jose Ignacio Iñiguez Amigot</w:t>
      </w:r>
    </w:p>
    <w:p>
      <w:pPr>
        <w:spacing w:after="300" w:before="0" w:line="360"/>
        <w:jc w:val="center"/>
      </w:pPr>
      <w:r>
        <w:rPr>
          <w:rFonts w:ascii="Times New Roman" w:cs="Times New Roman" w:eastAsia="Times New Roman" w:hAnsi="Times New Roman"/>
          <w:b/>
          <w:bCs/>
          <w:i w:val="false"/>
          <w:iCs w:val="false"/>
          <w:sz w:val="24"/>
          <w:szCs w:val="24"/>
        </w:rPr>
        <w:t xml:space="preserve">Edición: </w:t>
      </w:r>
      <w:r>
        <w:rPr>
          <w:rFonts w:ascii="Times New Roman" w:cs="Times New Roman" w:eastAsia="Times New Roman" w:hAnsi="Times New Roman"/>
          <w:b w:val="false"/>
          <w:bCs w:val="false"/>
          <w:i w:val="false"/>
          <w:iCs w:val="false"/>
          <w:sz w:val="24"/>
          <w:szCs w:val="24"/>
        </w:rPr>
        <w:t xml:space="preserve">2025-26</w:t>
      </w:r>
    </w:p>
    <w:p>
      <w:r>
        <w:br w:type="page"/>
      </w:r>
    </w:p>
    <w:p>
      <w:pPr>
        <w:pStyle w:val="Heading1"/>
        <w:spacing w:after="240" w:before="360" w:line="360"/>
      </w:pPr>
      <w:r>
        <w:rPr>
          <w:rFonts w:ascii="Times New Roman" w:cs="Times New Roman" w:eastAsia="Times New Roman" w:hAnsi="Times New Roman"/>
          <w:b/>
          <w:bCs/>
          <w:sz w:val="32"/>
          <w:szCs w:val="32"/>
        </w:rPr>
        <w:t xml:space="preserve">Resumen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Los centros logísticos automatizados operan hoy con flotas de AGVs homogéneos donde cada unidad transporta una carga individual estandarizada. Cuando las cargas varían en peso y geometría — poleas de 2 kg junto a bastidores de 40 kg — ese modelo obliga a sobredimensionar cada robot para el peor caso o a excluir las cargas pesadas del flujo automatizado. Ambas opciones son costosas. La alternativa es que los robots cooperen: que varios AGVs pequeños se agrupen para mover juntos una carga que ninguno podría mover solo, y que esa agrupación ocurra sin intervención humana ni servidor central.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Este trabajo propone un mecanismo de coordinación donde cada AGV ejecuta una única ley de control reactiva — aplicada directamente a sus motores — y la flota se auto-organiza en coaliciones del tamaño adecuado para cada carga. El mecanismo se fundamenta en dinámicas poblacionales distribuidas, un framework de la teoría de juegos evolutiva que ha demostrado convergencia formal en problemas de asignación de recursos. La contribución específica es doble. Primero, se extiende la función de payoff del juego poblacional con un umbral sigmoidal que modela el requisito de cardinalidad mínima por tarea, permitiendo que la dinámica forme coaliciones de tamaño variable. Segundo, se acopla la dinámica del juego con la cinemática del robot diferencial de modo que la revisión de estrategia y el movimiento físico sean un solo proceso, no dos capas separadas.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validación incluye análisis de convergencia para el caso simplificado con comunicación global y cargas homogéneas, simulación multi-agente en Python para el caso general con comunicación local y cargas heterogéneas, e implementación en CoppeliaSim con robots Pioneer 3-DX. Los resultados se comparan contra asignación centralizada mediante algoritmo húngaro.</w:t>
      </w:r>
    </w:p>
    <w:p>
      <w:pPr>
        <w:spacing w:after="400" w:before="0" w:line="360"/>
        <w:jc w:val="both"/>
      </w:pPr>
      <w:r>
        <w:rPr>
          <w:rFonts w:ascii="Times New Roman" w:cs="Times New Roman" w:eastAsia="Times New Roman" w:hAnsi="Times New Roman"/>
          <w:b/>
          <w:bCs/>
          <w:i w:val="false"/>
          <w:iCs w:val="false"/>
          <w:sz w:val="24"/>
          <w:szCs w:val="24"/>
        </w:rPr>
        <w:t xml:space="preserve">Palabras clave: </w:t>
      </w:r>
      <w:r>
        <w:rPr>
          <w:rFonts w:ascii="Times New Roman" w:cs="Times New Roman" w:eastAsia="Times New Roman" w:hAnsi="Times New Roman"/>
          <w:i/>
          <w:iCs/>
          <w:sz w:val="24"/>
          <w:szCs w:val="24"/>
        </w:rPr>
        <w:t xml:space="preserve">dinámicas poblacionales, formación de coaliciones, juegos de congestión, control reactivo distribuido, transporte cooperativo multi-robot</w:t>
      </w:r>
    </w:p>
    <w:p>
      <w:r>
        <w:br w:type="page"/>
      </w:r>
    </w:p>
    <w:p>
      <w:pPr>
        <w:pStyle w:val="Heading1"/>
        <w:spacing w:after="240" w:before="360" w:line="360"/>
      </w:pPr>
      <w:r>
        <w:rPr>
          <w:rFonts w:ascii="Times New Roman" w:cs="Times New Roman" w:eastAsia="Times New Roman" w:hAnsi="Times New Roman"/>
          <w:b/>
          <w:bCs/>
          <w:sz w:val="32"/>
          <w:szCs w:val="32"/>
        </w:rPr>
        <w:t xml:space="preserve">Contenido</w:t>
      </w:r>
    </w:p>
    <w:p>
      <w:pPr>
        <w:spacing w:after="200" w:before="0" w:line="360"/>
        <w:jc w:val="both"/>
      </w:pPr>
      <w:r>
        <w:rPr>
          <w:rFonts w:ascii="Times New Roman" w:cs="Times New Roman" w:eastAsia="Times New Roman" w:hAnsi="Times New Roman"/>
          <w:i/>
          <w:iCs/>
          <w:sz w:val="24"/>
          <w:szCs w:val="24"/>
        </w:rPr>
        <w:t xml:space="preserve">(Tabla de contenido — se generará automáticamente en la versión final)</w:t>
      </w:r>
    </w:p>
    <w:p>
      <w:r>
        <w:br w:type="page"/>
      </w:r>
    </w:p>
    <w:p>
      <w:pPr>
        <w:pStyle w:val="Heading1"/>
        <w:spacing w:after="240" w:before="360" w:line="360"/>
      </w:pPr>
      <w:r>
        <w:rPr>
          <w:rFonts w:ascii="Times New Roman" w:cs="Times New Roman" w:eastAsia="Times New Roman" w:hAnsi="Times New Roman"/>
          <w:b/>
          <w:bCs/>
          <w:sz w:val="32"/>
          <w:szCs w:val="32"/>
        </w:rPr>
        <w:t xml:space="preserve">1. Introducción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Una bodega automatizada es, en esencia, un problema de transporte masivo con restricciones: decenas o cientos de cargas deben moverse entre puntos de origen y destino utilizando una flota finita de robots. Los sistemas que dominan este mercado — Amazon Robotics (heredero de Kiva Systems), Geek+, Proteus — resuelven el problema imponiendo una simplificación radical: cada robot carga exactamente un módulo estandarizado, y un servidor central asigna rutas y tareas (Wurman et al., 2008). Funciona. A escala, funciona extraordinariamente bien. Pero la simplificación tiene un costo oculto.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Cuando las cargas no son homogéneas — y en manufactura real casi nunca lo son — el modelo de un-robot-una-carga se quiebra. Un engranaje de transmisión de 35 kg no cabe en el módulo estándar. Una estructura soldada de 1.5 metros requiere soporte distribuido para no deformarse durante el transporte. Un lote de piezas frágiles necesita velocidades controladas que un solo robot cargado al límite no puede garantizar. La solución industrial actual para estos casos es manual: un operario con un montacargas. Eso rompe el flujo automatizado y genera cuellos de botella.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pregunta que motiva este trabajo es directa: ¿pueden múltiples AGVs pequeños coordinarse entre sí, sin servidor central, para transportar cooperativamente cargas que exceden la capacidad individual? Y más específicamente: ¿puede esa coordinación emerger de reglas locales simples, como ocurre en las colonias de hormigas que transportan presas grandes sin que ningún individuo conozca el plan global?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literatura ofrece varias respuestas parciales. Los algoritmos de subasta distribuida como CBBA (Choi et al., 2009) asignan tareas de forma eficiente, pero asumen que la asignación y el movimiento son problemas separados. Los juegos hedónicos (Dutta et al., 2021) permiten que cada robot evalúe coaliciones posibles y decida a cuál unirse, pero la complejidad combinatoria crece rápido con el tamaño de la flota. Los enfoques recientes basados en aprendizaje por refuerzo multi-agente, como el de Bezerra et al. (2025) con MAPPO, logran coordinación impresionante pero requieren millones de episodios de entrenamiento y no ofrecen garantías de que el sistema converja a un estado deseado.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Existe, sin embargo, un framework teórico que ofrece exactamente lo que falta: convergencia demostrable, implementación distribuida, y escalabilidad. Se trata de las dinámicas poblacionales para control distribuido, desarrolladas en la última década por Quijano et al. (2017), Barreiro-Gomez et al. (2017, 2021) y Martinez-Piazuelo et al. (2020, 2022) en la Universidad de los Andes y la UPC Barcelona. En este marco, una población de agentes elige entre estrategias siguiendo reglas evolutivas (dinámicas de Smith, replicator, projection) y la distribución poblacional converge al equilibrio de Nash del juego subyacente. El esquema se ha aplicado con éxito a redes de agua, microrredes eléctricas, vehículos eléctricos y — más relevante para nosotros — al control de formación de UAVs y robots diferenciales.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Pero todas esas aplicaciones tratan con recursos continuos y divisibles, o con grupos de tamaño fijo. Nadie ha utilizado dinámicas poblacionales para el problema de formación de coaliciones donde distintas tareas requieren distinto número de agentes. La razón es técnica: la función de payoff estándar asume que la utilidad decrece suavemente con la congestión. En formación de coaliciones, la utilidad tiene un quiebre abrupto — una carga que necesita tres robots no se mueve con dos, y no se mueve mejor con seis que con tres. Modelar ese umbral dentro del framework poblacional requiere una modificación no trivial del payoff que nadie ha propuesto ni analizado.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Hay un segundo vacío. En los trabajos existentes, la dinámica poblacional opera como una capa de decisión abstracta que se ejecuta sobre el sistema de control, pero separada de él. El robot primero decide (juego poblacional), luego planifica (A*, RRT), luego ejecuta (PID en las ruedas). Tres capas, tres tasas de actualización, tres fuentes de error en las interfaces. En contraste, las hormigas no tienen capas. Su comportamiento de transporte cooperativo emerge de la interacción directa entre percepción local y acción motora, mediada por señales químicas en el entorno (Theraulaz y Bonabeau, 1999). No hay módulo de planificación.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Este TFM propone unificar la decisión y el control en un solo sistema dinámico. La idea concreta es diseñar un campo de payoff cuyo gradiente sea la ley de control de las ruedas del AGV. Cada robot evalúa las cargas cercanas, estima cuántos compañeros van a cada una mediante consenso con sus vecinos, y ajusta su trayectoria en consecuencia — todo en cada ciclo de control, con una sola ecuación. Cuando varias cargas compiten por la atención de los robots, la dinámica de Smith redistribuye la flota hasta que cada carga tiene el número correcto de agentes. Cuando los robots asignados a una carga pesada se acercan a ella, un potencial de formación los organiza alrededor del perímetro. No hay servidor. No hay planificador. Las ruedas siguen el gradiente y la colonia se organiza.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 documento se organiza como sigue. La Sección 2 enuncia los objetivos. La Sección 3 plantea la hipótesis. La Sección 4 presenta la metodología de trabajo, incluyendo las cuatro fases de desarrollo y las herramientas de validación. Las secciones 5 a 8 — marco teórico, resultados, conclusiones y referencias — se desarrollarán en entregas posteriores.</w:t>
      </w:r>
    </w:p>
    <w:p>
      <w:r>
        <w:br w:type="page"/>
      </w:r>
    </w:p>
    <w:p>
      <w:pPr>
        <w:pStyle w:val="Heading1"/>
        <w:spacing w:after="240" w:before="360" w:line="360"/>
      </w:pPr>
      <w:r>
        <w:rPr>
          <w:rFonts w:ascii="Times New Roman" w:cs="Times New Roman" w:eastAsia="Times New Roman" w:hAnsi="Times New Roman"/>
          <w:b/>
          <w:bCs/>
          <w:sz w:val="32"/>
          <w:szCs w:val="32"/>
        </w:rPr>
        <w:t xml:space="preserve">2. Objetivos</w:t>
      </w:r>
    </w:p>
    <w:p>
      <w:pPr>
        <w:pStyle w:val="Heading2"/>
        <w:spacing w:after="200" w:before="280" w:line="360"/>
      </w:pPr>
      <w:r>
        <w:rPr>
          <w:rFonts w:ascii="Times New Roman" w:cs="Times New Roman" w:eastAsia="Times New Roman" w:hAnsi="Times New Roman"/>
          <w:b/>
          <w:bCs/>
          <w:sz w:val="28"/>
          <w:szCs w:val="28"/>
        </w:rPr>
        <w:t xml:space="preserve">2.1. Objetivo general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Diseñar y validar un framework de control reactivo distribuido, basado en dinámicas poblacionales en tiempo discreto con restricciones de cardinalidad, que permita a una flota de AGVs diferenciales auto-organizarse en coaliciones de tamaño variable para el transporte cooperativo de cargas heterogéneas, utilizando exclusivamente comunicación local entre vecinos.</w:t>
      </w:r>
    </w:p>
    <w:p>
      <w:pPr>
        <w:pStyle w:val="Heading2"/>
        <w:spacing w:after="200" w:before="280" w:line="360"/>
      </w:pPr>
      <w:r>
        <w:rPr>
          <w:rFonts w:ascii="Times New Roman" w:cs="Times New Roman" w:eastAsia="Times New Roman" w:hAnsi="Times New Roman"/>
          <w:b/>
          <w:bCs/>
          <w:sz w:val="28"/>
          <w:szCs w:val="28"/>
        </w:rPr>
        <w:t xml:space="preserve">2.2. Objetivos específicos</w:t>
      </w:r>
    </w:p>
    <w:p>
      <w:pPr>
        <w:spacing w:after="200" w:before="0" w:line="360"/>
        <w:jc w:val="both"/>
      </w:pPr>
      <w:r>
        <w:rPr>
          <w:rFonts w:ascii="Times New Roman" w:cs="Times New Roman" w:eastAsia="Times New Roman" w:hAnsi="Times New Roman"/>
          <w:b/>
          <w:bCs/>
          <w:i w:val="false"/>
          <w:iCs w:val="false"/>
          <w:sz w:val="24"/>
          <w:szCs w:val="24"/>
        </w:rPr>
        <w:t xml:space="preserve">OE1. </w:t>
      </w:r>
      <w:r>
        <w:rPr>
          <w:rFonts w:ascii="Times New Roman" w:cs="Times New Roman" w:eastAsia="Times New Roman" w:hAnsi="Times New Roman"/>
          <w:b w:val="false"/>
          <w:bCs w:val="false"/>
          <w:i w:val="false"/>
          <w:iCs w:val="false"/>
          <w:sz w:val="24"/>
          <w:szCs w:val="24"/>
        </w:rPr>
        <w:t xml:space="preserve">Formalizar el sistema como un juego poblacional sobre un espacio métrico: definir el modelo cinemático del AGV (unicycle), el grafo de comunicación variable con radio R, y la representación de cargas heterogéneas por masa, geometría y número mínimo de agentes requeridos.</w:t>
      </w:r>
    </w:p>
    <w:p>
      <w:pPr>
        <w:spacing w:after="200" w:before="0" w:line="360"/>
        <w:jc w:val="both"/>
      </w:pPr>
      <w:r>
        <w:rPr>
          <w:rFonts w:ascii="Times New Roman" w:cs="Times New Roman" w:eastAsia="Times New Roman" w:hAnsi="Times New Roman"/>
          <w:b/>
          <w:bCs/>
          <w:i w:val="false"/>
          <w:iCs w:val="false"/>
          <w:sz w:val="24"/>
          <w:szCs w:val="24"/>
        </w:rPr>
        <w:t xml:space="preserve">OE2. </w:t>
      </w:r>
      <w:r>
        <w:rPr>
          <w:rFonts w:ascii="Times New Roman" w:cs="Times New Roman" w:eastAsia="Times New Roman" w:hAnsi="Times New Roman"/>
          <w:b w:val="false"/>
          <w:bCs w:val="false"/>
          <w:i w:val="false"/>
          <w:iCs w:val="false"/>
          <w:sz w:val="24"/>
          <w:szCs w:val="24"/>
        </w:rPr>
        <w:t xml:space="preserve">Diseñar la función de payoff del juego con una componente de demanda de coalición basada en una sigmoide parametrizada por la cardinalidad mínima de cada tarea, y una componente de descuento espacial que acopla la decisión estratégica con la posición física del robot.</w:t>
      </w:r>
    </w:p>
    <w:p>
      <w:pPr>
        <w:spacing w:after="200" w:before="0" w:line="360"/>
        <w:jc w:val="both"/>
      </w:pPr>
      <w:r>
        <w:rPr>
          <w:rFonts w:ascii="Times New Roman" w:cs="Times New Roman" w:eastAsia="Times New Roman" w:hAnsi="Times New Roman"/>
          <w:b/>
          <w:bCs/>
          <w:i w:val="false"/>
          <w:iCs w:val="false"/>
          <w:sz w:val="24"/>
          <w:szCs w:val="24"/>
        </w:rPr>
        <w:t xml:space="preserve">OE3. </w:t>
      </w:r>
      <w:r>
        <w:rPr>
          <w:rFonts w:ascii="Times New Roman" w:cs="Times New Roman" w:eastAsia="Times New Roman" w:hAnsi="Times New Roman"/>
          <w:b w:val="false"/>
          <w:bCs w:val="false"/>
          <w:i w:val="false"/>
          <w:iCs w:val="false"/>
          <w:sz w:val="24"/>
          <w:szCs w:val="24"/>
        </w:rPr>
        <w:t xml:space="preserve">Establecer condiciones suficientes sobre los parámetros del sistema (pendiente de la sigmoide, tasa de revisión, ganancia de atracción) bajo las cuales la dinámica de Smith distribuida en tiempo discreto converge a un equilibrio de Nash que corresponde a una partición en coaliciones factibles. Demostrar formalmente el caso simplificado (cargas homogéneas, comunicación global) y validar el caso general por simulación.</w:t>
      </w:r>
    </w:p>
    <w:p>
      <w:pPr>
        <w:spacing w:after="200" w:before="0" w:line="360"/>
        <w:jc w:val="both"/>
      </w:pPr>
      <w:r>
        <w:rPr>
          <w:rFonts w:ascii="Times New Roman" w:cs="Times New Roman" w:eastAsia="Times New Roman" w:hAnsi="Times New Roman"/>
          <w:b/>
          <w:bCs/>
          <w:i w:val="false"/>
          <w:iCs w:val="false"/>
          <w:sz w:val="24"/>
          <w:szCs w:val="24"/>
        </w:rPr>
        <w:t xml:space="preserve">OE4. </w:t>
      </w:r>
      <w:r>
        <w:rPr>
          <w:rFonts w:ascii="Times New Roman" w:cs="Times New Roman" w:eastAsia="Times New Roman" w:hAnsi="Times New Roman"/>
          <w:b w:val="false"/>
          <w:bCs w:val="false"/>
          <w:i w:val="false"/>
          <w:iCs w:val="false"/>
          <w:sz w:val="24"/>
          <w:szCs w:val="24"/>
        </w:rPr>
        <w:t xml:space="preserve">Implementar el framework en un simulador multi-agente en Python y en el entorno robótico CoppeliaSim (robots Pioneer 3-DX), ejecutando escenarios con mezclas de cargas ligeras y pesadas y variando el radio de comunicación desde información global hasta comunicación estrictamente local.</w:t>
      </w:r>
    </w:p>
    <w:p>
      <w:pPr>
        <w:spacing w:after="200" w:before="0" w:line="360"/>
        <w:jc w:val="both"/>
      </w:pPr>
      <w:r>
        <w:rPr>
          <w:rFonts w:ascii="Times New Roman" w:cs="Times New Roman" w:eastAsia="Times New Roman" w:hAnsi="Times New Roman"/>
          <w:b/>
          <w:bCs/>
          <w:i w:val="false"/>
          <w:iCs w:val="false"/>
          <w:sz w:val="24"/>
          <w:szCs w:val="24"/>
        </w:rPr>
        <w:t xml:space="preserve">OE5. </w:t>
      </w:r>
      <w:r>
        <w:rPr>
          <w:rFonts w:ascii="Times New Roman" w:cs="Times New Roman" w:eastAsia="Times New Roman" w:hAnsi="Times New Roman"/>
          <w:b w:val="false"/>
          <w:bCs w:val="false"/>
          <w:i w:val="false"/>
          <w:iCs w:val="false"/>
          <w:sz w:val="24"/>
          <w:szCs w:val="24"/>
        </w:rPr>
        <w:t xml:space="preserve">Comparar el rendimiento del sistema (throughput, tiempo de formación de coalición, robustez ante fallos) contra un baseline de asignación centralizada con algoritmo húngaro y control PID, para cuantificar el costo de la descentralización.</w:t>
      </w:r>
    </w:p>
    <w:p>
      <w:r>
        <w:br w:type="page"/>
      </w:r>
    </w:p>
    <w:p>
      <w:pPr>
        <w:pStyle w:val="Heading1"/>
        <w:spacing w:after="240" w:before="360" w:line="360"/>
      </w:pPr>
      <w:r>
        <w:rPr>
          <w:rFonts w:ascii="Times New Roman" w:cs="Times New Roman" w:eastAsia="Times New Roman" w:hAnsi="Times New Roman"/>
          <w:b/>
          <w:bCs/>
          <w:sz w:val="32"/>
          <w:szCs w:val="32"/>
        </w:rPr>
        <w:t xml:space="preserve">3. Hipótesis de partida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Una ley de control reactiva derivada del gradiente de un campo de payoff poblacional con umbral de cardinalidad, ejecutada de forma distribuida en cada AGV con información exclusivamente local, produce como comportamiento emergente la formación de coaliciones de tamaño adecuado y el transporte cooperativo de cargas heterogéneas, con un throughput no inferior al 80% del obtenido mediante asignación centralizada óptima.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Tres observaciones respaldan esta hipótesis. La primera es empírica: las colonias de hormigas cortadoras de hojas (</w:t>
      </w:r>
      <w:r>
        <w:rPr>
          <w:rFonts w:ascii="Times New Roman" w:cs="Times New Roman" w:eastAsia="Times New Roman" w:hAnsi="Times New Roman"/>
          <w:i/>
          <w:iCs/>
          <w:sz w:val="24"/>
          <w:szCs w:val="24"/>
        </w:rPr>
        <w:t xml:space="preserve">Atta</w:t>
      </w:r>
      <w:r>
        <w:rPr>
          <w:rFonts w:ascii="Times New Roman" w:cs="Times New Roman" w:eastAsia="Times New Roman" w:hAnsi="Times New Roman"/>
          <w:b w:val="false"/>
          <w:bCs w:val="false"/>
          <w:i w:val="false"/>
          <w:iCs w:val="false"/>
          <w:sz w:val="24"/>
          <w:szCs w:val="24"/>
        </w:rPr>
        <w:t xml:space="preserve">) reclutan cooperadores para fragmentos grandes mediante señales locales de feromona — más recientemente cuantificado por Czaczkes et al. (2013) — y la eficiencia del transporte colectivo se acerca a la del caso con información perfecta. La segunda es teórica: las dinámicas poblacionales distribuidas convergen a equilibrios de Nash en juegos potenciales bajo condiciones de conectividad del grafo que no requieren comunicación global (Barreiro-Gomez et al., 2017; Martinez-Piazuelo et al., 2022). La tercera es experimental: Barreiro-Gomez et al. (2021) demostraron en vuelos reales de UAVs que las dinámicas evolutivas pueden servir como ley de control directa con estabilidad ante cambios en la topología de comunicación.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hipótesis será contrastada mediante los escenarios de simulación definidos en la metodología. Se considerará refutada si el throughput cae consistentemente por debajo del 80% del baseline centralizado, o si las coaliciones no convergen a tamaños factibles en al menos el 95% de las ejecuciones.</w:t>
      </w:r>
    </w:p>
    <w:p>
      <w:r>
        <w:br w:type="page"/>
      </w:r>
    </w:p>
    <w:p>
      <w:pPr>
        <w:pStyle w:val="Heading1"/>
        <w:spacing w:after="240" w:before="360" w:line="360"/>
      </w:pPr>
      <w:r>
        <w:rPr>
          <w:rFonts w:ascii="Times New Roman" w:cs="Times New Roman" w:eastAsia="Times New Roman" w:hAnsi="Times New Roman"/>
          <w:b/>
          <w:bCs/>
          <w:sz w:val="32"/>
          <w:szCs w:val="32"/>
        </w:rPr>
        <w:t xml:space="preserve">4. Metodología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investigación es cuantitativa y sigue el método hipotético-deductivo. Se parte de un cuerpo teórico existente (dinámicas poblacionales distribuidas), se propone una extensión (payoff con umbral de cardinalidad y acoplamiento espacial), se derivan predicciones formales (convergencia a coaliciones factibles), y se contrastan esas predicciones mediante simulación controlada. El trabajo se organiza en cuatro fases.</w:t>
      </w:r>
    </w:p>
    <w:p>
      <w:pPr>
        <w:pStyle w:val="Heading2"/>
        <w:spacing w:after="200" w:before="280" w:line="360"/>
      </w:pPr>
      <w:r>
        <w:rPr>
          <w:rFonts w:ascii="Times New Roman" w:cs="Times New Roman" w:eastAsia="Times New Roman" w:hAnsi="Times New Roman"/>
          <w:b/>
          <w:bCs/>
          <w:sz w:val="28"/>
          <w:szCs w:val="28"/>
        </w:rPr>
        <w:t xml:space="preserve">4.1. Fase 1 — Modelo formal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Se formalizan tres componentes del sistema que luego se acoplan en las fases siguientes.</w:t>
      </w:r>
    </w:p>
    <w:p>
      <w:pPr>
        <w:pStyle w:val="Heading3"/>
        <w:spacing w:after="160" w:before="200" w:line="360"/>
      </w:pPr>
      <w:r>
        <w:rPr>
          <w:rFonts w:ascii="Times New Roman" w:cs="Times New Roman" w:eastAsia="Times New Roman" w:hAnsi="Times New Roman"/>
          <w:b/>
          <w:bCs/>
          <w:i/>
          <w:iCs/>
          <w:sz w:val="26"/>
          <w:szCs w:val="26"/>
        </w:rPr>
        <w:t xml:space="preserve">4.1.1. Cinemática del AGV</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Cada AGV se modela como un robot diferencial con estado q</w:t>
      </w:r>
      <w:r>
        <w:rPr>
          <w:rFonts w:ascii="Times New Roman" w:cs="Times New Roman" w:eastAsia="Times New Roman" w:hAnsi="Times New Roman"/>
          <w:i/>
          <w:iCs/>
          <w:sz w:val="24"/>
          <w:szCs w:val="24"/>
        </w:rPr>
        <w:t xml:space="preserve">ᵢ</w:t>
      </w:r>
      <w:r>
        <w:rPr>
          <w:rFonts w:ascii="Times New Roman" w:cs="Times New Roman" w:eastAsia="Times New Roman" w:hAnsi="Times New Roman"/>
          <w:b w:val="false"/>
          <w:bCs w:val="false"/>
          <w:i w:val="false"/>
          <w:iCs w:val="false"/>
          <w:sz w:val="24"/>
          <w:szCs w:val="24"/>
        </w:rPr>
        <w:t xml:space="preserve"> = (x</w:t>
      </w:r>
      <w:r>
        <w:rPr>
          <w:rFonts w:ascii="Times New Roman" w:cs="Times New Roman" w:eastAsia="Times New Roman" w:hAnsi="Times New Roman"/>
          <w:i/>
          <w:iCs/>
          <w:sz w:val="24"/>
          <w:szCs w:val="24"/>
        </w:rPr>
        <w:t xml:space="preserve">ᵢ</w:t>
      </w:r>
      <w:r>
        <w:rPr>
          <w:rFonts w:ascii="Times New Roman" w:cs="Times New Roman" w:eastAsia="Times New Roman" w:hAnsi="Times New Roman"/>
          <w:b w:val="false"/>
          <w:bCs w:val="false"/>
          <w:i w:val="false"/>
          <w:iCs w:val="false"/>
          <w:sz w:val="24"/>
          <w:szCs w:val="24"/>
        </w:rPr>
        <w:t xml:space="preserve">, y</w:t>
      </w:r>
      <w:r>
        <w:rPr>
          <w:rFonts w:ascii="Times New Roman" w:cs="Times New Roman" w:eastAsia="Times New Roman" w:hAnsi="Times New Roman"/>
          <w:i/>
          <w:iCs/>
          <w:sz w:val="24"/>
          <w:szCs w:val="24"/>
        </w:rPr>
        <w:t xml:space="preserve">ᵢ</w:t>
      </w:r>
      <w:r>
        <w:rPr>
          <w:rFonts w:ascii="Times New Roman" w:cs="Times New Roman" w:eastAsia="Times New Roman" w:hAnsi="Times New Roman"/>
          <w:b w:val="false"/>
          <w:bCs w:val="false"/>
          <w:i w:val="false"/>
          <w:iCs w:val="false"/>
          <w:sz w:val="24"/>
          <w:szCs w:val="24"/>
        </w:rPr>
        <w:t xml:space="preserve">, θ</w:t>
      </w:r>
      <w:r>
        <w:rPr>
          <w:rFonts w:ascii="Times New Roman" w:cs="Times New Roman" w:eastAsia="Times New Roman" w:hAnsi="Times New Roman"/>
          <w:i/>
          <w:iCs/>
          <w:sz w:val="24"/>
          <w:szCs w:val="24"/>
        </w:rPr>
        <w:t xml:space="preserve">ᵢ</w:t>
      </w:r>
      <w:r>
        <w:rPr>
          <w:rFonts w:ascii="Times New Roman" w:cs="Times New Roman" w:eastAsia="Times New Roman" w:hAnsi="Times New Roman"/>
          <w:b w:val="false"/>
          <w:bCs w:val="false"/>
          <w:i w:val="false"/>
          <w:iCs w:val="false"/>
          <w:sz w:val="24"/>
          <w:szCs w:val="24"/>
        </w:rPr>
        <w:t xml:space="preserve">) y entradas de control v</w:t>
      </w:r>
      <w:r>
        <w:rPr>
          <w:rFonts w:ascii="Times New Roman" w:cs="Times New Roman" w:eastAsia="Times New Roman" w:hAnsi="Times New Roman"/>
          <w:i/>
          <w:iCs/>
          <w:sz w:val="24"/>
          <w:szCs w:val="24"/>
        </w:rPr>
        <w:t xml:space="preserve">ᵢ</w:t>
      </w:r>
      <w:r>
        <w:rPr>
          <w:rFonts w:ascii="Times New Roman" w:cs="Times New Roman" w:eastAsia="Times New Roman" w:hAnsi="Times New Roman"/>
          <w:b w:val="false"/>
          <w:bCs w:val="false"/>
          <w:i w:val="false"/>
          <w:iCs w:val="false"/>
          <w:sz w:val="24"/>
          <w:szCs w:val="24"/>
        </w:rPr>
        <w:t xml:space="preserve"> (velocidad lineal) y ω</w:t>
      </w:r>
      <w:r>
        <w:rPr>
          <w:rFonts w:ascii="Times New Roman" w:cs="Times New Roman" w:eastAsia="Times New Roman" w:hAnsi="Times New Roman"/>
          <w:i/>
          <w:iCs/>
          <w:sz w:val="24"/>
          <w:szCs w:val="24"/>
        </w:rPr>
        <w:t xml:space="preserve">ᵢ</w:t>
      </w:r>
      <w:r>
        <w:rPr>
          <w:rFonts w:ascii="Times New Roman" w:cs="Times New Roman" w:eastAsia="Times New Roman" w:hAnsi="Times New Roman"/>
          <w:b w:val="false"/>
          <w:bCs w:val="false"/>
          <w:i w:val="false"/>
          <w:iCs w:val="false"/>
          <w:sz w:val="24"/>
          <w:szCs w:val="24"/>
        </w:rPr>
        <w:t xml:space="preserve"> (velocidad angular). Las ecuaciones cinemáticas son las del modelo unicycle estándar. Se trabaja en tiempo discreto con periodo T</w:t>
      </w:r>
      <w:r>
        <w:rPr>
          <w:rFonts w:ascii="Times New Roman" w:cs="Times New Roman" w:eastAsia="Times New Roman" w:hAnsi="Times New Roman"/>
          <w:i/>
          <w:iCs/>
          <w:sz w:val="24"/>
          <w:szCs w:val="24"/>
        </w:rPr>
        <w:t xml:space="preserve">s</w:t>
      </w:r>
      <w:r>
        <w:rPr>
          <w:rFonts w:ascii="Times New Roman" w:cs="Times New Roman" w:eastAsia="Times New Roman" w:hAnsi="Times New Roman"/>
          <w:b w:val="false"/>
          <w:bCs w:val="false"/>
          <w:i w:val="false"/>
          <w:iCs w:val="false"/>
          <w:sz w:val="24"/>
          <w:szCs w:val="24"/>
        </w:rPr>
        <w:t xml:space="preserve"> = 0.1 s, consistente con el ciclo de control del Pioneer 3-DX en CoppeliaSim.</w:t>
      </w:r>
    </w:p>
    <w:p>
      <w:pPr>
        <w:pStyle w:val="Heading3"/>
        <w:spacing w:after="160" w:before="200" w:line="360"/>
      </w:pPr>
      <w:r>
        <w:rPr>
          <w:rFonts w:ascii="Times New Roman" w:cs="Times New Roman" w:eastAsia="Times New Roman" w:hAnsi="Times New Roman"/>
          <w:b/>
          <w:bCs/>
          <w:i/>
          <w:iCs/>
          <w:sz w:val="26"/>
          <w:szCs w:val="26"/>
        </w:rPr>
        <w:t xml:space="preserve">4.1.2. Grafo de comunicación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Los robots se comunican con vecinos dentro de un radio R. El grafo resultante G(t) cambia con el tiempo a medida que los robots se mueven. No se exige que G(t) sea conexo en cada instante — basta con que la unión de grafos en cualquier ventana temporal de T</w:t>
      </w:r>
      <w:r>
        <w:rPr>
          <w:rFonts w:ascii="Times New Roman" w:cs="Times New Roman" w:eastAsia="Times New Roman" w:hAnsi="Times New Roman"/>
          <w:i/>
          <w:iCs/>
          <w:sz w:val="24"/>
          <w:szCs w:val="24"/>
        </w:rPr>
        <w:t xml:space="preserve">c</w:t>
      </w:r>
      <w:r>
        <w:rPr>
          <w:rFonts w:ascii="Times New Roman" w:cs="Times New Roman" w:eastAsia="Times New Roman" w:hAnsi="Times New Roman"/>
          <w:b w:val="false"/>
          <w:bCs w:val="false"/>
          <w:i w:val="false"/>
          <w:iCs w:val="false"/>
          <w:sz w:val="24"/>
          <w:szCs w:val="24"/>
        </w:rPr>
        <w:t xml:space="preserve"> segundos sea conexa (conectividad persistente). Esta condición es realista: los robots se cruzan periódicamente y la información se propaga eventualmente. R es el parámetro experimental principal. Variándolo desde R = ∞ (todos se ven) hasta R pequeño (solo vecinos inmediatos), se estudia cuánta comunicación necesita el sistema para funcionar.</w:t>
      </w:r>
    </w:p>
    <w:p>
      <w:pPr>
        <w:pStyle w:val="Heading3"/>
        <w:spacing w:after="160" w:before="200" w:line="360"/>
      </w:pPr>
      <w:r>
        <w:rPr>
          <w:rFonts w:ascii="Times New Roman" w:cs="Times New Roman" w:eastAsia="Times New Roman" w:hAnsi="Times New Roman"/>
          <w:b/>
          <w:bCs/>
          <w:i/>
          <w:iCs/>
          <w:sz w:val="26"/>
          <w:szCs w:val="26"/>
        </w:rPr>
        <w:t xml:space="preserve">4.1.3. Cargas heterogéneas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Cada carga k tiene posición l</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destino d</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recompensa r</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y requisito de cardinalidad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⌈m</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m</w:t>
      </w:r>
      <w:r>
        <w:rPr>
          <w:rFonts w:ascii="Times New Roman" w:cs="Times New Roman" w:eastAsia="Times New Roman" w:hAnsi="Times New Roman"/>
          <w:i/>
          <w:iCs/>
          <w:sz w:val="24"/>
          <w:szCs w:val="24"/>
        </w:rPr>
        <w:t xml:space="preserve">max</w:t>
      </w:r>
      <w:r>
        <w:rPr>
          <w:rFonts w:ascii="Times New Roman" w:cs="Times New Roman" w:eastAsia="Times New Roman" w:hAnsi="Times New Roman"/>
          <w:b w:val="false"/>
          <w:bCs w:val="false"/>
          <w:i w:val="false"/>
          <w:iCs w:val="false"/>
          <w:sz w:val="24"/>
          <w:szCs w:val="24"/>
        </w:rPr>
        <w:t xml:space="preserve">⌉, donde m</w:t>
      </w:r>
      <w:r>
        <w:rPr>
          <w:rFonts w:ascii="Times New Roman" w:cs="Times New Roman" w:eastAsia="Times New Roman" w:hAnsi="Times New Roman"/>
          <w:i/>
          <w:iCs/>
          <w:sz w:val="24"/>
          <w:szCs w:val="24"/>
        </w:rPr>
        <w:t xml:space="preserve">max</w:t>
      </w:r>
      <w:r>
        <w:rPr>
          <w:rFonts w:ascii="Times New Roman" w:cs="Times New Roman" w:eastAsia="Times New Roman" w:hAnsi="Times New Roman"/>
          <w:b w:val="false"/>
          <w:bCs w:val="false"/>
          <w:i w:val="false"/>
          <w:iCs w:val="false"/>
          <w:sz w:val="24"/>
          <w:szCs w:val="24"/>
        </w:rPr>
        <w:t xml:space="preserve"> es la capacidad individual de un AGV. Una carga de 10 kg con robots que cargan 5 kg necesita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2. Una de 25 kg necesita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5. Las cargas con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1 se transportan individualmente; el resto requiere coalición.</w:t>
      </w:r>
    </w:p>
    <w:p>
      <w:pPr>
        <w:pStyle w:val="Heading2"/>
        <w:spacing w:after="200" w:before="280" w:line="360"/>
      </w:pPr>
      <w:r>
        <w:rPr>
          <w:rFonts w:ascii="Times New Roman" w:cs="Times New Roman" w:eastAsia="Times New Roman" w:hAnsi="Times New Roman"/>
          <w:b/>
          <w:bCs/>
          <w:sz w:val="28"/>
          <w:szCs w:val="28"/>
        </w:rPr>
        <w:t xml:space="preserve">4.2. Fase 2 — Diseño del campo de payoff</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Esta fase contiene la contribución teórica central. Se define una función de payoff f</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que cada robot evalúa para decidir a qué carga dirigirse, y cuyo gradiente espacial genera directamente los comandos de velocidad.</w:t>
      </w:r>
    </w:p>
    <w:p>
      <w:pPr>
        <w:pStyle w:val="Heading3"/>
        <w:spacing w:after="160" w:before="200" w:line="360"/>
      </w:pPr>
      <w:r>
        <w:rPr>
          <w:rFonts w:ascii="Times New Roman" w:cs="Times New Roman" w:eastAsia="Times New Roman" w:hAnsi="Times New Roman"/>
          <w:b/>
          <w:bCs/>
          <w:i/>
          <w:iCs/>
          <w:sz w:val="26"/>
          <w:szCs w:val="26"/>
        </w:rPr>
        <w:t xml:space="preserve">4.2.1. Componente de demanda de coalición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atracción de la carga k se modula con una sigmoide Φ(z,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1/(1 + exp(β(z −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donde z es el número estimado de robots yendo a k. Cuando z &lt;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la carga necesita más robots y Φ ≈ 1. Cuando z &gt;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la carga tiene suficientes y Φ ≈ 0. El parámetro β controla la nitidez de la transición. Valores altos de β aproximan un escalón puro; valores bajos dan una transición suave que facilita el análisis de convergencia.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¿Cómo conoce el robot z si solo habla con sus vecinos? No lo conoce exactamente. Mantiene una estimación local x̂</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que actualiza mediante consenso promedio con los vecinos. Si el grafo es persistentemente conexo, las estimaciones de todos los robots convergen al valor real. El error transitorio es parte del análisis.</w:t>
      </w:r>
    </w:p>
    <w:p>
      <w:pPr>
        <w:pStyle w:val="Heading3"/>
        <w:spacing w:after="160" w:before="200" w:line="360"/>
      </w:pPr>
      <w:r>
        <w:rPr>
          <w:rFonts w:ascii="Times New Roman" w:cs="Times New Roman" w:eastAsia="Times New Roman" w:hAnsi="Times New Roman"/>
          <w:b/>
          <w:bCs/>
          <w:i/>
          <w:iCs/>
          <w:sz w:val="26"/>
          <w:szCs w:val="26"/>
        </w:rPr>
        <w:t xml:space="preserve">4.2.2. Componente de descuento espacial</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Cargas lejanas atraen menos que cargas cercanas. Se usa una gaussiana Ψ(d) = exp(−d²/(2λ²)) donde d es la distancia del robot a la carga y λ escala el rango de percepción. Esto hace que el payoff dependa de la posición del robot — a diferencia de los juegos poblacionales estándar donde el payoff depende solo de la distribución poblacional. El acoplamiento entre posición y decisión es lo que permite que la dinámica del juego sea simultáneamente la ley de movimiento.</w:t>
      </w:r>
    </w:p>
    <w:p>
      <w:pPr>
        <w:pStyle w:val="Heading3"/>
        <w:spacing w:after="160" w:before="200" w:line="360"/>
      </w:pPr>
      <w:r>
        <w:rPr>
          <w:rFonts w:ascii="Times New Roman" w:cs="Times New Roman" w:eastAsia="Times New Roman" w:hAnsi="Times New Roman"/>
          <w:b/>
          <w:bCs/>
          <w:i/>
          <w:iCs/>
          <w:sz w:val="26"/>
          <w:szCs w:val="26"/>
        </w:rPr>
        <w:t xml:space="preserve">4.2.3. Tasa de revisión espacialmente modulada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Un robot que ya casi llega a su carga no debería cambiar de opinión. Un robot que acaba de salir y está lejos puede reconsiderar. Se modula la probabilidad de revisión de estrategia con un factor que crece con la distancia al objetivo actual: μ</w:t>
      </w:r>
      <w:r>
        <w:rPr>
          <w:rFonts w:ascii="Times New Roman" w:cs="Times New Roman" w:eastAsia="Times New Roman" w:hAnsi="Times New Roman"/>
          <w:i/>
          <w:iCs/>
          <w:sz w:val="24"/>
          <w:szCs w:val="24"/>
        </w:rPr>
        <w:t xml:space="preserve">i</w:t>
      </w:r>
      <w:r>
        <w:rPr>
          <w:rFonts w:ascii="Times New Roman" w:cs="Times New Roman" w:eastAsia="Times New Roman" w:hAnsi="Times New Roman"/>
          <w:b w:val="false"/>
          <w:bCs w:val="false"/>
          <w:i w:val="false"/>
          <w:iCs w:val="false"/>
          <w:sz w:val="24"/>
          <w:szCs w:val="24"/>
        </w:rPr>
        <w:t xml:space="preserve">(t) = μ₀(1 − exp(−‖p</w:t>
      </w:r>
      <w:r>
        <w:rPr>
          <w:rFonts w:ascii="Times New Roman" w:cs="Times New Roman" w:eastAsia="Times New Roman" w:hAnsi="Times New Roman"/>
          <w:i/>
          <w:iCs/>
          <w:sz w:val="24"/>
          <w:szCs w:val="24"/>
        </w:rPr>
        <w:t xml:space="preserve">i</w:t>
      </w:r>
      <w:r>
        <w:rPr>
          <w:rFonts w:ascii="Times New Roman" w:cs="Times New Roman" w:eastAsia="Times New Roman" w:hAnsi="Times New Roman"/>
          <w:b w:val="false"/>
          <w:bCs w:val="false"/>
          <w:i w:val="false"/>
          <w:iCs w:val="false"/>
          <w:sz w:val="24"/>
          <w:szCs w:val="24"/>
        </w:rPr>
        <w:t xml:space="preserve"> − l</w:t>
      </w:r>
      <w:r>
        <w:rPr>
          <w:rFonts w:ascii="Times New Roman" w:cs="Times New Roman" w:eastAsia="Times New Roman" w:hAnsi="Times New Roman"/>
          <w:i/>
          <w:iCs/>
          <w:sz w:val="24"/>
          <w:szCs w:val="24"/>
        </w:rPr>
        <w:t xml:space="preserve">s</w:t>
      </w:r>
      <w:r>
        <w:rPr>
          <w:rFonts w:ascii="Times New Roman" w:cs="Times New Roman" w:eastAsia="Times New Roman" w:hAnsi="Times New Roman"/>
          <w:b w:val="false"/>
          <w:bCs w:val="false"/>
          <w:i w:val="false"/>
          <w:iCs w:val="false"/>
          <w:sz w:val="24"/>
          <w:szCs w:val="24"/>
        </w:rPr>
        <w:t xml:space="preserve">‖²/(2σ²))). Esto evita oscilaciones y tiene un paralelo biológico directo: las hormigas que transportan carga están comprometidas y no responden a señales nuevas.</w:t>
      </w:r>
    </w:p>
    <w:p>
      <w:pPr>
        <w:pStyle w:val="Heading3"/>
        <w:spacing w:after="160" w:before="200" w:line="360"/>
      </w:pPr>
      <w:r>
        <w:rPr>
          <w:rFonts w:ascii="Times New Roman" w:cs="Times New Roman" w:eastAsia="Times New Roman" w:hAnsi="Times New Roman"/>
          <w:b/>
          <w:bCs/>
          <w:i/>
          <w:iCs/>
          <w:sz w:val="26"/>
          <w:szCs w:val="26"/>
        </w:rPr>
        <w:t xml:space="preserve">4.2.4. Ley de control unificada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 el payoff definido, la ley de control de cada robot es el gradiente negativo del campo de payoff evaluado en su posición, más un potencial repulsivo para evitar colisiones y un potencial de formación que activa cuando los robots de una misma coalición se acercan a la carga. Los comandos de velocidad lineal y angular se derivan de la magnitud y dirección del gradiente resultante. Una sola ecuación vectorial produce el comando de las ruedas, y la flota se auto-organiza.</w:t>
      </w:r>
    </w:p>
    <w:p>
      <w:pPr>
        <w:pStyle w:val="Heading2"/>
        <w:spacing w:after="200" w:before="280" w:line="360"/>
      </w:pPr>
      <w:r>
        <w:rPr>
          <w:rFonts w:ascii="Times New Roman" w:cs="Times New Roman" w:eastAsia="Times New Roman" w:hAnsi="Times New Roman"/>
          <w:b/>
          <w:bCs/>
          <w:sz w:val="28"/>
          <w:szCs w:val="28"/>
        </w:rPr>
        <w:t xml:space="preserve">4.3. Fase 3 — Análisis de convergencia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Se plantean dos niveles de análisis.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 primero es una demostración formal para el caso simplificado: todas las cargas con el mismo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n, comunicación global (R = ∞, no se necesita consenso), y posiciones iniciales simétricas. Bajo estas condiciones el juego es un juego de congestión homogéneo con función potencial conocida, y la convergencia de la dinámica de Smith se obtiene por el argumento de Lyapunov de Sandholm (2010) adaptado al tiempo discreto por Martinez-Piazuelo et al. (2022). La condición clave que se debe verificar es que la pendiente β de la sigmoide sea suficientemente grande para que la diferencia de payoff entre una carga con z = n−1 y otra con z = n+1 domine las diferencias de recompensa y distancia.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 segundo nivel es computacional: para el caso general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heterogéneos, comunicación local, posiciones arbitrarias) se realizan barridos paramétricos en simulación, variando β, R, N/K y la distribución espacial de las cargas. Se registra en cada ejecución si las coaliciones convergen a tamaños factibles, el número de iteraciones hasta convergencia, y la sensibilidad a los parámetros. Si se identifican regiones de parámetros donde el sistema no converge, se caracterizan y se documentan como limitaciones.</w:t>
      </w:r>
    </w:p>
    <w:p>
      <w:pPr>
        <w:pStyle w:val="Heading2"/>
        <w:spacing w:after="200" w:before="280" w:line="360"/>
      </w:pPr>
      <w:r>
        <w:rPr>
          <w:rFonts w:ascii="Times New Roman" w:cs="Times New Roman" w:eastAsia="Times New Roman" w:hAnsi="Times New Roman"/>
          <w:b/>
          <w:bCs/>
          <w:sz w:val="28"/>
          <w:szCs w:val="28"/>
        </w:rPr>
        <w:t xml:space="preserve">4.4. Fase 4 — Validación en simulación</w:t>
      </w:r>
    </w:p>
    <w:p>
      <w:pPr>
        <w:pStyle w:val="Heading3"/>
        <w:spacing w:after="160" w:before="200" w:line="360"/>
      </w:pPr>
      <w:r>
        <w:rPr>
          <w:rFonts w:ascii="Times New Roman" w:cs="Times New Roman" w:eastAsia="Times New Roman" w:hAnsi="Times New Roman"/>
          <w:b/>
          <w:bCs/>
          <w:i/>
          <w:iCs/>
          <w:sz w:val="26"/>
          <w:szCs w:val="26"/>
        </w:rPr>
        <w:t xml:space="preserve">4.4.1. Simulador multi-agente en Python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Se implementa un simulador propio usando NumPy para la integración, NetworkX para los grafos de comunicación y Matplotlib para la visualización en tiempo real. Los agentes son puntuales con cinemática unicycle discretizada. Se definen cuatro escenarios de complejidad creciente:</w:t>
      </w:r>
    </w:p>
    <w:p>
      <w:pPr>
        <w:spacing w:after="200" w:before="0" w:line="360"/>
        <w:jc w:val="both"/>
      </w:pPr>
      <w:r>
        <w:rPr>
          <w:rFonts w:ascii="Times New Roman" w:cs="Times New Roman" w:eastAsia="Times New Roman" w:hAnsi="Times New Roman"/>
          <w:b/>
          <w:bCs/>
          <w:i w:val="false"/>
          <w:iCs w:val="false"/>
          <w:sz w:val="24"/>
          <w:szCs w:val="24"/>
        </w:rPr>
        <w:t xml:space="preserve">Escenario A — Asignación básica. </w:t>
      </w:r>
      <w:r>
        <w:rPr>
          <w:rFonts w:ascii="Times New Roman" w:cs="Times New Roman" w:eastAsia="Times New Roman" w:hAnsi="Times New Roman"/>
          <w:b w:val="false"/>
          <w:bCs w:val="false"/>
          <w:i w:val="false"/>
          <w:iCs w:val="false"/>
          <w:sz w:val="24"/>
          <w:szCs w:val="24"/>
        </w:rPr>
        <w:t xml:space="preserve">5 AGVs, 3 cargas ligeras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1 cada una). Verifica que la dinámica asigna un robot a cada carga sin conflictos y los dos restantes quedan en estado idle.</w:t>
      </w:r>
    </w:p>
    <w:p>
      <w:pPr>
        <w:spacing w:after="200" w:before="0" w:line="360"/>
        <w:jc w:val="both"/>
      </w:pPr>
      <w:r>
        <w:rPr>
          <w:rFonts w:ascii="Times New Roman" w:cs="Times New Roman" w:eastAsia="Times New Roman" w:hAnsi="Times New Roman"/>
          <w:b/>
          <w:bCs/>
          <w:i w:val="false"/>
          <w:iCs w:val="false"/>
          <w:sz w:val="24"/>
          <w:szCs w:val="24"/>
        </w:rPr>
        <w:t xml:space="preserve">Escenario B — Coalición simple. </w:t>
      </w:r>
      <w:r>
        <w:rPr>
          <w:rFonts w:ascii="Times New Roman" w:cs="Times New Roman" w:eastAsia="Times New Roman" w:hAnsi="Times New Roman"/>
          <w:b w:val="false"/>
          <w:bCs w:val="false"/>
          <w:i w:val="false"/>
          <w:iCs w:val="false"/>
          <w:sz w:val="24"/>
          <w:szCs w:val="24"/>
        </w:rPr>
        <w:t xml:space="preserve">6 AGVs, 1 carga ligera y 1 carga pesada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3). Verifica que emergen dos grupos: uno de 1 y otro de 3, con los 2 restantes en idle. Es la prueba mínima de formación de coalición.</w:t>
      </w:r>
    </w:p>
    <w:p>
      <w:pPr>
        <w:spacing w:after="200" w:before="0" w:line="360"/>
        <w:jc w:val="both"/>
      </w:pPr>
      <w:r>
        <w:rPr>
          <w:rFonts w:ascii="Times New Roman" w:cs="Times New Roman" w:eastAsia="Times New Roman" w:hAnsi="Times New Roman"/>
          <w:b/>
          <w:bCs/>
          <w:i w:val="false"/>
          <w:iCs w:val="false"/>
          <w:sz w:val="24"/>
          <w:szCs w:val="24"/>
        </w:rPr>
        <w:t xml:space="preserve">Escenario C — Mezcla heterogénea. </w:t>
      </w:r>
      <w:r>
        <w:rPr>
          <w:rFonts w:ascii="Times New Roman" w:cs="Times New Roman" w:eastAsia="Times New Roman" w:hAnsi="Times New Roman"/>
          <w:b w:val="false"/>
          <w:bCs w:val="false"/>
          <w:i w:val="false"/>
          <w:iCs w:val="false"/>
          <w:sz w:val="24"/>
          <w:szCs w:val="24"/>
        </w:rPr>
        <w:t xml:space="preserve">12 AGVs, 5 cargas con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 {1, 1, 2, 3, 4}. Requiere 11 robots asignados y 1 idle. Aquí se evalúa si la dinámica resuelve correctamente la competencia entre cargas por robots y se miden throughput y tiempo de coalición.</w:t>
      </w:r>
    </w:p>
    <w:p>
      <w:pPr>
        <w:spacing w:after="200" w:before="0" w:line="360"/>
        <w:jc w:val="both"/>
      </w:pPr>
      <w:r>
        <w:rPr>
          <w:rFonts w:ascii="Times New Roman" w:cs="Times New Roman" w:eastAsia="Times New Roman" w:hAnsi="Times New Roman"/>
          <w:b/>
          <w:bCs/>
          <w:i w:val="false"/>
          <w:iCs w:val="false"/>
          <w:sz w:val="24"/>
          <w:szCs w:val="24"/>
        </w:rPr>
        <w:t xml:space="preserve">Escenario D — Barrido de radio. </w:t>
      </w:r>
      <w:r>
        <w:rPr>
          <w:rFonts w:ascii="Times New Roman" w:cs="Times New Roman" w:eastAsia="Times New Roman" w:hAnsi="Times New Roman"/>
          <w:b w:val="false"/>
          <w:bCs w:val="false"/>
          <w:i w:val="false"/>
          <w:iCs w:val="false"/>
          <w:sz w:val="24"/>
          <w:szCs w:val="24"/>
        </w:rPr>
        <w:t xml:space="preserve">15 AGVs, 5 cargas heterogéneas, con R variando de ∞ a 2 metros en 10 pasos. Se construye la curva de degradación del throughput como función de R. Esta curva es el resultado experimental más importante del TFM porque cuantifica cuánta comunicación necesita realmente el sistema.</w:t>
      </w:r>
    </w:p>
    <w:p>
      <w:pPr>
        <w:pStyle w:val="Heading3"/>
        <w:spacing w:after="160" w:before="200" w:line="360"/>
      </w:pPr>
      <w:r>
        <w:rPr>
          <w:rFonts w:ascii="Times New Roman" w:cs="Times New Roman" w:eastAsia="Times New Roman" w:hAnsi="Times New Roman"/>
          <w:b/>
          <w:bCs/>
          <w:i/>
          <w:iCs/>
          <w:sz w:val="26"/>
          <w:szCs w:val="26"/>
        </w:rPr>
        <w:t xml:space="preserve">4.4.2. Implementación en CoppeliaSim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Para validar que el framework funciona con dinámica robótica realista — inercias, fricciones, latencias del sensor —, se implementa un escenario reducido en CoppeliaSim v4.6 con la API ZeroMQ de Python. Se usan 4 a 6 robots Pioneer 3-DX en un espacio de 10×10 metros con estanterías estáticas. Se colocan 2 cargas: una ligera (n = 1) y una pesada (n = 3). La comunicación se implementa por software con radio configurable. El objetivo no es una réplica industrial; es verificar que la ley de control reactiva, derivada del análisis teórico, produce el comportamiento cooperativo esperado cuando se enfrenta a ruido de sensores, saturación de actuadores y retardos de comunicación no modelados.</w:t>
      </w:r>
    </w:p>
    <w:p>
      <w:pPr>
        <w:pStyle w:val="Heading2"/>
        <w:spacing w:after="200" w:before="280" w:line="360"/>
      </w:pPr>
      <w:r>
        <w:rPr>
          <w:rFonts w:ascii="Times New Roman" w:cs="Times New Roman" w:eastAsia="Times New Roman" w:hAnsi="Times New Roman"/>
          <w:b/>
          <w:bCs/>
          <w:sz w:val="28"/>
          <w:szCs w:val="28"/>
        </w:rPr>
        <w:t xml:space="preserve">4.5. Métricas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Se definen seis métricas. El </w:t>
      </w:r>
      <w:r>
        <w:rPr>
          <w:rFonts w:ascii="Times New Roman" w:cs="Times New Roman" w:eastAsia="Times New Roman" w:hAnsi="Times New Roman"/>
          <w:b/>
          <w:bCs/>
          <w:i w:val="false"/>
          <w:iCs w:val="false"/>
          <w:sz w:val="24"/>
          <w:szCs w:val="24"/>
        </w:rPr>
        <w:t xml:space="preserve">throughput</w:t>
      </w:r>
      <w:r>
        <w:rPr>
          <w:rFonts w:ascii="Times New Roman" w:cs="Times New Roman" w:eastAsia="Times New Roman" w:hAnsi="Times New Roman"/>
          <w:b w:val="false"/>
          <w:bCs w:val="false"/>
          <w:i w:val="false"/>
          <w:iCs w:val="false"/>
          <w:sz w:val="24"/>
          <w:szCs w:val="24"/>
        </w:rPr>
        <w:t xml:space="preserve"> (τ) mide cargas entregadas por minuto. El </w:t>
      </w:r>
      <w:r>
        <w:rPr>
          <w:rFonts w:ascii="Times New Roman" w:cs="Times New Roman" w:eastAsia="Times New Roman" w:hAnsi="Times New Roman"/>
          <w:b/>
          <w:bCs/>
          <w:i w:val="false"/>
          <w:iCs w:val="false"/>
          <w:sz w:val="24"/>
          <w:szCs w:val="24"/>
        </w:rPr>
        <w:t xml:space="preserve">tiempo medio de entrega</w:t>
      </w:r>
      <w:r>
        <w:rPr>
          <w:rFonts w:ascii="Times New Roman" w:cs="Times New Roman" w:eastAsia="Times New Roman" w:hAnsi="Times New Roman"/>
          <w:b w:val="false"/>
          <w:bCs w:val="false"/>
          <w:i w:val="false"/>
          <w:iCs w:val="false"/>
          <w:sz w:val="24"/>
          <w:szCs w:val="24"/>
        </w:rPr>
        <w:t xml:space="preserve"> (T̄) mide el tiempo desde que aparece una carga hasta que se deposita en su destino. El </w:t>
      </w:r>
      <w:r>
        <w:rPr>
          <w:rFonts w:ascii="Times New Roman" w:cs="Times New Roman" w:eastAsia="Times New Roman" w:hAnsi="Times New Roman"/>
          <w:b/>
          <w:bCs/>
          <w:i w:val="false"/>
          <w:iCs w:val="false"/>
          <w:sz w:val="24"/>
          <w:szCs w:val="24"/>
        </w:rPr>
        <w:t xml:space="preserve">tiempo de formación de coalición</w:t>
      </w:r>
      <w:r>
        <w:rPr>
          <w:rFonts w:ascii="Times New Roman" w:cs="Times New Roman" w:eastAsia="Times New Roman" w:hAnsi="Times New Roman"/>
          <w:b w:val="false"/>
          <w:bCs w:val="false"/>
          <w:i w:val="false"/>
          <w:iCs w:val="false"/>
          <w:sz w:val="24"/>
          <w:szCs w:val="24"/>
        </w:rPr>
        <w:t xml:space="preserve"> (T</w:t>
      </w:r>
      <w:r>
        <w:rPr>
          <w:rFonts w:ascii="Times New Roman" w:cs="Times New Roman" w:eastAsia="Times New Roman" w:hAnsi="Times New Roman"/>
          <w:i/>
          <w:iCs/>
          <w:sz w:val="24"/>
          <w:szCs w:val="24"/>
        </w:rPr>
        <w:t xml:space="preserve">coal</w:t>
      </w:r>
      <w:r>
        <w:rPr>
          <w:rFonts w:ascii="Times New Roman" w:cs="Times New Roman" w:eastAsia="Times New Roman" w:hAnsi="Times New Roman"/>
          <w:b w:val="false"/>
          <w:bCs w:val="false"/>
          <w:i w:val="false"/>
          <w:iCs w:val="false"/>
          <w:sz w:val="24"/>
          <w:szCs w:val="24"/>
        </w:rPr>
        <w:t xml:space="preserve">) mide cuánto tarda en formarse un grupo del tamaño correcto — es la métrica que evalúa específicamente la dinámica poblacional, independiente de la distancia de transporte. El </w:t>
      </w:r>
      <w:r>
        <w:rPr>
          <w:rFonts w:ascii="Times New Roman" w:cs="Times New Roman" w:eastAsia="Times New Roman" w:hAnsi="Times New Roman"/>
          <w:b/>
          <w:bCs/>
          <w:i w:val="false"/>
          <w:iCs w:val="false"/>
          <w:sz w:val="24"/>
          <w:szCs w:val="24"/>
        </w:rPr>
        <w:t xml:space="preserve">overhead de comunicación</w:t>
      </w:r>
      <w:r>
        <w:rPr>
          <w:rFonts w:ascii="Times New Roman" w:cs="Times New Roman" w:eastAsia="Times New Roman" w:hAnsi="Times New Roman"/>
          <w:b w:val="false"/>
          <w:bCs w:val="false"/>
          <w:i w:val="false"/>
          <w:iCs w:val="false"/>
          <w:sz w:val="24"/>
          <w:szCs w:val="24"/>
        </w:rPr>
        <w:t xml:space="preserve"> (C) es el número promedio de mensajes por agente por paso de tiempo. La </w:t>
      </w:r>
      <w:r>
        <w:rPr>
          <w:rFonts w:ascii="Times New Roman" w:cs="Times New Roman" w:eastAsia="Times New Roman" w:hAnsi="Times New Roman"/>
          <w:b/>
          <w:bCs/>
          <w:i w:val="false"/>
          <w:iCs w:val="false"/>
          <w:sz w:val="24"/>
          <w:szCs w:val="24"/>
        </w:rPr>
        <w:t xml:space="preserve">degradación por radio</w:t>
      </w:r>
      <w:r>
        <w:rPr>
          <w:rFonts w:ascii="Times New Roman" w:cs="Times New Roman" w:eastAsia="Times New Roman" w:hAnsi="Times New Roman"/>
          <w:b w:val="false"/>
          <w:bCs w:val="false"/>
          <w:i w:val="false"/>
          <w:iCs w:val="false"/>
          <w:sz w:val="24"/>
          <w:szCs w:val="24"/>
        </w:rPr>
        <w:t xml:space="preserve"> (D(R) = τ(R)/τ(∞)) cuantifica cuánto pierde el sistema al restringir la comunicación. Finalmente, la </w:t>
      </w:r>
      <w:r>
        <w:rPr>
          <w:rFonts w:ascii="Times New Roman" w:cs="Times New Roman" w:eastAsia="Times New Roman" w:hAnsi="Times New Roman"/>
          <w:b/>
          <w:bCs/>
          <w:i w:val="false"/>
          <w:iCs w:val="false"/>
          <w:sz w:val="24"/>
          <w:szCs w:val="24"/>
        </w:rPr>
        <w:t xml:space="preserve">factibilidad</w:t>
      </w:r>
      <w:r>
        <w:rPr>
          <w:rFonts w:ascii="Times New Roman" w:cs="Times New Roman" w:eastAsia="Times New Roman" w:hAnsi="Times New Roman"/>
          <w:b w:val="false"/>
          <w:bCs w:val="false"/>
          <w:i w:val="false"/>
          <w:iCs w:val="false"/>
          <w:sz w:val="24"/>
          <w:szCs w:val="24"/>
        </w:rPr>
        <w:t xml:space="preserve"> (F) es el porcentaje de cargas que logran reclutar al menos n</w:t>
      </w:r>
      <w:r>
        <w:rPr>
          <w:rFonts w:ascii="Times New Roman" w:cs="Times New Roman" w:eastAsia="Times New Roman" w:hAnsi="Times New Roman"/>
          <w:i/>
          <w:iCs/>
          <w:sz w:val="24"/>
          <w:szCs w:val="24"/>
        </w:rPr>
        <w:t xml:space="preserve">k</w:t>
      </w:r>
      <w:r>
        <w:rPr>
          <w:rFonts w:ascii="Times New Roman" w:cs="Times New Roman" w:eastAsia="Times New Roman" w:hAnsi="Times New Roman"/>
          <w:b w:val="false"/>
          <w:bCs w:val="false"/>
          <w:i w:val="false"/>
          <w:iCs w:val="false"/>
          <w:sz w:val="24"/>
          <w:szCs w:val="24"/>
        </w:rPr>
        <w:t xml:space="preserve"> robots dentro de un tiempo acotado.</w:t>
      </w:r>
    </w:p>
    <w:p>
      <w:pPr>
        <w:pStyle w:val="Heading2"/>
        <w:spacing w:after="200" w:before="280" w:line="360"/>
      </w:pPr>
      <w:r>
        <w:rPr>
          <w:rFonts w:ascii="Times New Roman" w:cs="Times New Roman" w:eastAsia="Times New Roman" w:hAnsi="Times New Roman"/>
          <w:b/>
          <w:bCs/>
          <w:sz w:val="28"/>
          <w:szCs w:val="28"/>
        </w:rPr>
        <w:t xml:space="preserve">4.6. Baseline de comparación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 baseline representa el techo de rendimiento. Usa un servidor central con información completa que resuelve la asignación óptima de robots a cargas mediante el algoritmo húngaro (para el matching bipartito) extendido a coaliciones, planifica las rutas con A* sobre el mapa de la bodega, y controla cada robot con un PID de seguimiento de trayectoria. Es un sistema que ninguna bodega real implementaría exactamente así (el servidor central es un punto único de fallo y no escala), pero sirve como referencia para saber qué tan lejos estamos del óptimo teórico.</w:t>
      </w:r>
    </w:p>
    <w:p>
      <w:pPr>
        <w:pStyle w:val="Heading2"/>
        <w:spacing w:after="200" w:before="280" w:line="360"/>
      </w:pPr>
      <w:r>
        <w:rPr>
          <w:rFonts w:ascii="Times New Roman" w:cs="Times New Roman" w:eastAsia="Times New Roman" w:hAnsi="Times New Roman"/>
          <w:b/>
          <w:bCs/>
          <w:sz w:val="28"/>
          <w:szCs w:val="28"/>
        </w:rPr>
        <w:t xml:space="preserve">4.7. Herramientas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Simulación multi-agente: Python 3.11 con NumPy, SciPy, NetworkX y Matplotlib. Simulación robótica: CoppeliaSim v4.6 con API ZeroMQ. Verificación simbólica de condiciones de convergencia: MATLAB R2024a. Gestión bibliográfica: Zotero con estilo APA 7ª edición. Control de versiones: Git/GitHub.</w:t>
      </w:r>
    </w:p>
    <w:p>
      <w:pPr>
        <w:pStyle w:val="Heading2"/>
        <w:spacing w:after="200" w:before="280" w:line="360"/>
      </w:pPr>
      <w:r>
        <w:rPr>
          <w:rFonts w:ascii="Times New Roman" w:cs="Times New Roman" w:eastAsia="Times New Roman" w:hAnsi="Times New Roman"/>
          <w:b/>
          <w:bCs/>
          <w:sz w:val="28"/>
          <w:szCs w:val="28"/>
        </w:rPr>
        <w:t xml:space="preserve">4.8. Cronograma</w:t>
      </w:r>
    </w:p>
    <w:p>
      <w:pPr>
        <w:spacing w:after="200" w:before="0" w:line="360"/>
        <w:jc w:val="both"/>
      </w:pPr>
      <w:r>
        <w:rPr>
          <w:rFonts w:ascii="Times New Roman" w:cs="Times New Roman" w:eastAsia="Times New Roman" w:hAnsi="Times New Roman"/>
          <w:b/>
          <w:bCs/>
          <w:i w:val="false"/>
          <w:iCs w:val="false"/>
          <w:sz w:val="24"/>
          <w:szCs w:val="24"/>
        </w:rPr>
        <w:t xml:space="preserve">Semanas 1-3: </w:t>
      </w:r>
      <w:r>
        <w:rPr>
          <w:rFonts w:ascii="Times New Roman" w:cs="Times New Roman" w:eastAsia="Times New Roman" w:hAnsi="Times New Roman"/>
          <w:b w:val="false"/>
          <w:bCs w:val="false"/>
          <w:i w:val="false"/>
          <w:iCs w:val="false"/>
          <w:sz w:val="24"/>
          <w:szCs w:val="24"/>
        </w:rPr>
        <w:t xml:space="preserve">Revisión de literatura (dinámicas poblacionales, coalition formation, formation control) y formalización del modelo de la Fase 1.</w:t>
      </w:r>
    </w:p>
    <w:p>
      <w:pPr>
        <w:spacing w:after="200" w:before="0" w:line="360"/>
        <w:jc w:val="both"/>
      </w:pPr>
      <w:r>
        <w:rPr>
          <w:rFonts w:ascii="Times New Roman" w:cs="Times New Roman" w:eastAsia="Times New Roman" w:hAnsi="Times New Roman"/>
          <w:b/>
          <w:bCs/>
          <w:i w:val="false"/>
          <w:iCs w:val="false"/>
          <w:sz w:val="24"/>
          <w:szCs w:val="24"/>
        </w:rPr>
        <w:t xml:space="preserve">Semanas 4-7: </w:t>
      </w:r>
      <w:r>
        <w:rPr>
          <w:rFonts w:ascii="Times New Roman" w:cs="Times New Roman" w:eastAsia="Times New Roman" w:hAnsi="Times New Roman"/>
          <w:b w:val="false"/>
          <w:bCs w:val="false"/>
          <w:i w:val="false"/>
          <w:iCs w:val="false"/>
          <w:sz w:val="24"/>
          <w:szCs w:val="24"/>
        </w:rPr>
        <w:t xml:space="preserve">Diseño del campo de payoff (Fase 2) y análisis de convergencia (Fase 3). Redacción del borrador de artículo de conferencia en paralelo.</w:t>
      </w:r>
    </w:p>
    <w:p>
      <w:pPr>
        <w:spacing w:after="200" w:before="0" w:line="360"/>
        <w:jc w:val="both"/>
      </w:pPr>
      <w:r>
        <w:rPr>
          <w:rFonts w:ascii="Times New Roman" w:cs="Times New Roman" w:eastAsia="Times New Roman" w:hAnsi="Times New Roman"/>
          <w:b/>
          <w:bCs/>
          <w:i w:val="false"/>
          <w:iCs w:val="false"/>
          <w:sz w:val="24"/>
          <w:szCs w:val="24"/>
        </w:rPr>
        <w:t xml:space="preserve">Semanas 8-11: </w:t>
      </w:r>
      <w:r>
        <w:rPr>
          <w:rFonts w:ascii="Times New Roman" w:cs="Times New Roman" w:eastAsia="Times New Roman" w:hAnsi="Times New Roman"/>
          <w:b w:val="false"/>
          <w:bCs w:val="false"/>
          <w:i w:val="false"/>
          <w:iCs w:val="false"/>
          <w:sz w:val="24"/>
          <w:szCs w:val="24"/>
        </w:rPr>
        <w:t xml:space="preserve">Implementación del simulador Python. Ejecución de escenarios A-D. Iteración sobre parámetros.</w:t>
      </w:r>
    </w:p>
    <w:p>
      <w:pPr>
        <w:spacing w:after="200" w:before="0" w:line="360"/>
        <w:jc w:val="both"/>
      </w:pPr>
      <w:r>
        <w:rPr>
          <w:rFonts w:ascii="Times New Roman" w:cs="Times New Roman" w:eastAsia="Times New Roman" w:hAnsi="Times New Roman"/>
          <w:b/>
          <w:bCs/>
          <w:i w:val="false"/>
          <w:iCs w:val="false"/>
          <w:sz w:val="24"/>
          <w:szCs w:val="24"/>
        </w:rPr>
        <w:t xml:space="preserve">Semanas 12-15: </w:t>
      </w:r>
      <w:r>
        <w:rPr>
          <w:rFonts w:ascii="Times New Roman" w:cs="Times New Roman" w:eastAsia="Times New Roman" w:hAnsi="Times New Roman"/>
          <w:b w:val="false"/>
          <w:bCs w:val="false"/>
          <w:i w:val="false"/>
          <w:iCs w:val="false"/>
          <w:sz w:val="24"/>
          <w:szCs w:val="24"/>
        </w:rPr>
        <w:t xml:space="preserve">Implementación en CoppeliaSim. Validación con Pioneer 3-DX.</w:t>
      </w:r>
    </w:p>
    <w:p>
      <w:pPr>
        <w:spacing w:after="200" w:before="0" w:line="360"/>
        <w:jc w:val="both"/>
      </w:pPr>
      <w:r>
        <w:rPr>
          <w:rFonts w:ascii="Times New Roman" w:cs="Times New Roman" w:eastAsia="Times New Roman" w:hAnsi="Times New Roman"/>
          <w:b/>
          <w:bCs/>
          <w:i w:val="false"/>
          <w:iCs w:val="false"/>
          <w:sz w:val="24"/>
          <w:szCs w:val="24"/>
        </w:rPr>
        <w:t xml:space="preserve">Semanas 16-17: </w:t>
      </w:r>
      <w:r>
        <w:rPr>
          <w:rFonts w:ascii="Times New Roman" w:cs="Times New Roman" w:eastAsia="Times New Roman" w:hAnsi="Times New Roman"/>
          <w:b w:val="false"/>
          <w:bCs w:val="false"/>
          <w:i w:val="false"/>
          <w:iCs w:val="false"/>
          <w:sz w:val="24"/>
          <w:szCs w:val="24"/>
        </w:rPr>
        <w:t xml:space="preserve">Análisis comparativo contra baseline. Generación de figuras y tablas de resultados.</w:t>
      </w:r>
    </w:p>
    <w:p>
      <w:pPr>
        <w:spacing w:after="200" w:before="0" w:line="360"/>
        <w:jc w:val="both"/>
      </w:pPr>
      <w:r>
        <w:rPr>
          <w:rFonts w:ascii="Times New Roman" w:cs="Times New Roman" w:eastAsia="Times New Roman" w:hAnsi="Times New Roman"/>
          <w:b/>
          <w:bCs/>
          <w:i w:val="false"/>
          <w:iCs w:val="false"/>
          <w:sz w:val="24"/>
          <w:szCs w:val="24"/>
        </w:rPr>
        <w:t xml:space="preserve">Semanas 18-20: </w:t>
      </w:r>
      <w:r>
        <w:rPr>
          <w:rFonts w:ascii="Times New Roman" w:cs="Times New Roman" w:eastAsia="Times New Roman" w:hAnsi="Times New Roman"/>
          <w:b w:val="false"/>
          <w:bCs w:val="false"/>
          <w:i w:val="false"/>
          <w:iCs w:val="false"/>
          <w:sz w:val="24"/>
          <w:szCs w:val="24"/>
        </w:rPr>
        <w:t xml:space="preserve">Redacción final de la memoria. Revisión del director. Preparación de la defensa.</w:t>
      </w:r>
    </w:p>
    <w:p>
      <w:r>
        <w:br w:type="page"/>
      </w:r>
    </w:p>
    <w:p>
      <w:pPr>
        <w:pStyle w:val="Heading1"/>
        <w:spacing w:after="240" w:before="360" w:line="360"/>
      </w:pPr>
      <w:r>
        <w:rPr>
          <w:rFonts w:ascii="Times New Roman" w:cs="Times New Roman" w:eastAsia="Times New Roman" w:hAnsi="Times New Roman"/>
          <w:b/>
          <w:bCs/>
          <w:sz w:val="32"/>
          <w:szCs w:val="32"/>
        </w:rPr>
        <w:t xml:space="preserve">5. Marco teórico</w:t>
      </w:r>
    </w:p>
    <w:p>
      <w:pPr>
        <w:spacing w:after="200" w:before="0" w:line="360"/>
        <w:jc w:val="both"/>
      </w:pPr>
      <w:r>
        <w:rPr>
          <w:rFonts w:ascii="Times New Roman" w:cs="Times New Roman" w:eastAsia="Times New Roman" w:hAnsi="Times New Roman"/>
          <w:i/>
          <w:iCs/>
          <w:sz w:val="24"/>
          <w:szCs w:val="24"/>
        </w:rPr>
        <w:t xml:space="preserve">(Sección a desarrollar en la siguiente entrega.)</w:t>
      </w:r>
    </w:p>
    <w:p>
      <w:r>
        <w:br w:type="page"/>
      </w:r>
    </w:p>
    <w:p>
      <w:pPr>
        <w:pStyle w:val="Heading1"/>
        <w:spacing w:after="240" w:before="360" w:line="360"/>
      </w:pPr>
      <w:r>
        <w:rPr>
          <w:rFonts w:ascii="Times New Roman" w:cs="Times New Roman" w:eastAsia="Times New Roman" w:hAnsi="Times New Roman"/>
          <w:b/>
          <w:bCs/>
          <w:sz w:val="32"/>
          <w:szCs w:val="32"/>
        </w:rPr>
        <w:t xml:space="preserve">6. Resultados y análisis</w:t>
      </w:r>
    </w:p>
    <w:p>
      <w:pPr>
        <w:spacing w:after="200" w:before="0" w:line="360"/>
        <w:jc w:val="both"/>
      </w:pPr>
      <w:r>
        <w:rPr>
          <w:rFonts w:ascii="Times New Roman" w:cs="Times New Roman" w:eastAsia="Times New Roman" w:hAnsi="Times New Roman"/>
          <w:i/>
          <w:iCs/>
          <w:sz w:val="24"/>
          <w:szCs w:val="24"/>
        </w:rPr>
        <w:t xml:space="preserve">(Sección a desarrollar tras la ejecución de las Fases 1-4.)</w:t>
      </w:r>
    </w:p>
    <w:p>
      <w:r>
        <w:br w:type="page"/>
      </w:r>
    </w:p>
    <w:p>
      <w:pPr>
        <w:pStyle w:val="Heading1"/>
        <w:spacing w:after="240" w:before="360" w:line="360"/>
      </w:pPr>
      <w:r>
        <w:rPr>
          <w:rFonts w:ascii="Times New Roman" w:cs="Times New Roman" w:eastAsia="Times New Roman" w:hAnsi="Times New Roman"/>
          <w:b/>
          <w:bCs/>
          <w:sz w:val="32"/>
          <w:szCs w:val="32"/>
        </w:rPr>
        <w:t xml:space="preserve">7. Conclusiones y recomendaciones</w:t>
      </w:r>
    </w:p>
    <w:p>
      <w:pPr>
        <w:spacing w:after="200" w:before="0" w:line="360"/>
        <w:jc w:val="both"/>
      </w:pPr>
      <w:r>
        <w:rPr>
          <w:rFonts w:ascii="Times New Roman" w:cs="Times New Roman" w:eastAsia="Times New Roman" w:hAnsi="Times New Roman"/>
          <w:i/>
          <w:iCs/>
          <w:sz w:val="24"/>
          <w:szCs w:val="24"/>
        </w:rPr>
        <w:t xml:space="preserve">(Sección a desarrollar al cierre del trabajo.)</w:t>
      </w:r>
    </w:p>
    <w:p>
      <w:r>
        <w:br w:type="page"/>
      </w:r>
    </w:p>
    <w:p>
      <w:pPr>
        <w:pStyle w:val="Heading1"/>
        <w:spacing w:after="240" w:before="360" w:line="360"/>
      </w:pPr>
      <w:r>
        <w:rPr>
          <w:rFonts w:ascii="Times New Roman" w:cs="Times New Roman" w:eastAsia="Times New Roman" w:hAnsi="Times New Roman"/>
          <w:b/>
          <w:bCs/>
          <w:sz w:val="32"/>
          <w:szCs w:val="32"/>
        </w:rPr>
        <w:t xml:space="preserve">8. Referencias bibliográficas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Barreiro-Gomez, J., Mas, I., Giribet, J. I., Moreno, P., Ocampo-Martinez, C., Sánchez-Peña, R. y Quijano, N. (2021). Distributed data-driven UAV formation control via evolutionary games: Experimental results. Journal of the Franklin Institute, 358(10), 5334-5352.</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Barreiro-Gomez, J., Obando, G. y Quijano, N. (2017). Distributed population dynamics: Optimization and control applications. IEEE Transactions on Systems, Man, and Cybernetics: Systems, 47(2), 304-314.</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Bezerra, L. C. D., dos Santos, A. M. G. y Park, S. (2025). Learning policies for dynamic coalition formation in multi-robot task allocation. IEEE Robotics and Automation Letters.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Choi, H.-L., Brunet, L. y How, J. P. (2009). Consensus-based decentralized auctions for robust task allocation. IEEE Transactions on Robotics, 25(4), 912-926.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Czaczkes, T. J., Grüter, C. y Ratnieks, F. L. W. (2013). Ant foraging on complex trails: Route learning and the role of trail pheromones in Lasius niger. Journal of Experimental Biology, 216(2), 188-197.</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Dutta, A., Ufimtsev, V. y Asaithambi, A. (2021). Distributed hedonic coalition formation for multi-robot task allocation. IEEE/RSJ International Conference on Intelligent Robots and Systems (IROS).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Martinez-Piazuelo, J., Diaz-Garcia, G., Quijano, N. y Giraldo, L. F. (2020). Distributed formation control of mobile robots using discrete-time distributed population dynamics. IFAC-PapersOnLine, 53(2), 3131-3136.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Martinez-Piazuelo, J., Diaz-Garcia, G., Quijano, N. y Giraldo, L. F. (2022). Discrete-time distributed population dynamics for optimization and control. IEEE Transactions on Systems, Man, and Cybernetics: Systems, 52(11), 6940-6951.</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Quijano, N., Ocampo-Martinez, C., Barreiro-Gomez, J., Obando, G., Pantoja, A. y Mojica-Nava, E. (2017). The role of population games and evolutionary dynamics in distributed control systems. IEEE Control Systems Magazine, 37(1), 70-97.</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Sandholm, W. H. (2010). Population Games and Evolutionary Dynamics. MIT Press.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Theraulaz, G. y Bonabeau, E. (1999). A brief history of stigmergy. Artificial Life, 5(2), 97-116.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Wurman, P. R., D'Andrea, R. y Mountz, M. (2008). Coordinating hundreds of cooperative, autonomous vehicles in warehouses. AI Magazine, 29(1), 9-20.</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before="0" w:line="240"/>
      <w:jc w:val="right"/>
    </w:pPr>
    <w:r>
      <w:rPr>
        <w:rFonts w:ascii="Times New Roman" w:cs="Times New Roman" w:eastAsia="Times New Roman" w:hAnsi="Times New Roman"/>
        <w:b w:val="false"/>
        <w:bCs w:val="false"/>
        <w:i w:val="false"/>
        <w:iCs w:val="false"/>
        <w:sz w:val="18"/>
        <w:szCs w:val="18"/>
      </w:rPr>
      <w:t xml:space="preserve">TFM — Mayorga Taborda, J.L.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20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2026-05-27T14:34:49.603Z</dcterms:created>
  <dcterms:modified xsi:type="dcterms:W3CDTF">2026-05-27T14:34:49.616Z</dcterms:modified>
</cp:coreProperties>
</file>

<file path=docProps/custom.xml><?xml version="1.0" encoding="utf-8"?>
<Properties xmlns="http://schemas.openxmlformats.org/officeDocument/2006/custom-properties" xmlns:vt="http://schemas.openxmlformats.org/officeDocument/2006/docPropsVTypes"/>
</file>