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C257E" w14:textId="0B8BA015" w:rsidR="00E17D28" w:rsidRDefault="00E17D28" w:rsidP="00E17D28">
      <w:pPr>
        <w:rPr>
          <w:b/>
          <w:bCs/>
        </w:rPr>
      </w:pPr>
      <w:proofErr w:type="spellStart"/>
      <w:r w:rsidRPr="00E17D28">
        <w:rPr>
          <w:b/>
          <w:bCs/>
        </w:rPr>
        <w:t>Astrodynamic</w:t>
      </w:r>
      <w:proofErr w:type="spellEnd"/>
      <w:r w:rsidRPr="00E17D28">
        <w:rPr>
          <w:b/>
          <w:bCs/>
        </w:rPr>
        <w:t xml:space="preserve"> Constants</w:t>
      </w:r>
    </w:p>
    <w:p w14:paraId="0688F523" w14:textId="77777777" w:rsidR="00E17D28" w:rsidRPr="00E17D28" w:rsidRDefault="00E17D28" w:rsidP="00E17D28">
      <w:pPr>
        <w:rPr>
          <w:b/>
          <w:bCs/>
        </w:rPr>
      </w:pPr>
    </w:p>
    <w:p w14:paraId="5B172126" w14:textId="77777777" w:rsidR="00E17D28" w:rsidRPr="00E17D28" w:rsidRDefault="00E17D28" w:rsidP="00E17D28">
      <w:r w:rsidRPr="00E17D28">
        <w:t xml:space="preserve">This page contains selected constants commonly used in </w:t>
      </w:r>
      <w:proofErr w:type="spellStart"/>
      <w:r w:rsidRPr="00E17D28">
        <w:t>astrodynamic</w:t>
      </w:r>
      <w:proofErr w:type="spellEnd"/>
      <w:r w:rsidRPr="00E17D28">
        <w:t xml:space="preserve"> computations. The term "</w:t>
      </w:r>
      <w:r w:rsidRPr="00E17D28">
        <w:rPr>
          <w:b/>
          <w:bCs/>
        </w:rPr>
        <w:t>constant</w:t>
      </w:r>
      <w:r w:rsidRPr="00E17D28">
        <w:t>" is used loosely. Specifically, some values are derived from other constants and/or results of numerical fits to measured data (e.g. planetary mass ratios). Constants are represented in three groups: "defining", "primary", and "derived". </w:t>
      </w:r>
      <w:hyperlink r:id="rId4" w:anchor="ref" w:history="1">
        <w:r w:rsidRPr="00E17D28">
          <w:rPr>
            <w:rStyle w:val="Hyperlink"/>
          </w:rPr>
          <w:t>References are listed below</w:t>
        </w:r>
      </w:hyperlink>
      <w:r w:rsidRPr="00E17D28">
        <w:t>.</w:t>
      </w:r>
    </w:p>
    <w:p w14:paraId="24DA25DF" w14:textId="77777777" w:rsidR="00E17D28" w:rsidRDefault="00E17D28" w:rsidP="00E17D28">
      <w:pPr>
        <w:rPr>
          <w:b/>
          <w:bCs/>
        </w:rPr>
      </w:pPr>
      <w:bookmarkStart w:id="0" w:name="dc"/>
      <w:bookmarkEnd w:id="0"/>
    </w:p>
    <w:p w14:paraId="215F887F" w14:textId="4F30F956" w:rsidR="00E17D28" w:rsidRPr="00E17D28" w:rsidRDefault="00E17D28" w:rsidP="00E17D28">
      <w:pPr>
        <w:rPr>
          <w:b/>
          <w:bCs/>
        </w:rPr>
      </w:pPr>
      <w:r w:rsidRPr="00E17D28">
        <w:rPr>
          <w:b/>
          <w:bCs/>
        </w:rPr>
        <w:t>Defining Constants</w:t>
      </w:r>
    </w:p>
    <w:tbl>
      <w:tblPr>
        <w:tblW w:w="0" w:type="auto"/>
        <w:tblCellSpacing w:w="0" w:type="dxa"/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01"/>
        <w:gridCol w:w="604"/>
        <w:gridCol w:w="1840"/>
      </w:tblGrid>
      <w:tr w:rsidR="00E17D28" w:rsidRPr="00E17D28" w14:paraId="212B91AB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90433DF" w14:textId="77777777" w:rsidR="00E17D28" w:rsidRPr="00E17D28" w:rsidRDefault="00E17D28" w:rsidP="00E17D28">
            <w:r w:rsidRPr="00E17D28">
              <w:t> Julian day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146D3A4" w14:textId="77777777" w:rsidR="00E17D28" w:rsidRPr="00E17D28" w:rsidRDefault="00E17D28" w:rsidP="00E17D28">
            <w:r w:rsidRPr="00E17D28">
              <w:t>  d =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5322E6A" w14:textId="77777777" w:rsidR="00E17D28" w:rsidRPr="00E17D28" w:rsidRDefault="00E17D28" w:rsidP="00E17D28">
            <w:r w:rsidRPr="00E17D28">
              <w:t>86400 s </w:t>
            </w:r>
          </w:p>
        </w:tc>
      </w:tr>
      <w:tr w:rsidR="00E17D28" w:rsidRPr="00E17D28" w14:paraId="555A70CD" w14:textId="77777777" w:rsidTr="00E17D28">
        <w:trPr>
          <w:tblCellSpacing w:w="0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1F801C06" w14:textId="77777777" w:rsidR="00E17D28" w:rsidRPr="00E17D28" w:rsidRDefault="00E17D28" w:rsidP="00E17D28">
            <w:r w:rsidRPr="00E17D28">
              <w:t> Julian year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10BFCFEC" w14:textId="77777777" w:rsidR="00E17D28" w:rsidRPr="00E17D28" w:rsidRDefault="00E17D28" w:rsidP="00E17D28">
            <w:r w:rsidRPr="00E17D28">
              <w:t>  y =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29985DFD" w14:textId="77777777" w:rsidR="00E17D28" w:rsidRPr="00E17D28" w:rsidRDefault="00E17D28" w:rsidP="00E17D28">
            <w:r w:rsidRPr="00E17D28">
              <w:t>365.25 d </w:t>
            </w:r>
          </w:p>
        </w:tc>
      </w:tr>
      <w:tr w:rsidR="00E17D28" w:rsidRPr="00E17D28" w14:paraId="0D88AAD1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9A643AA" w14:textId="77777777" w:rsidR="00E17D28" w:rsidRPr="00E17D28" w:rsidRDefault="00E17D28" w:rsidP="00E17D28">
            <w:r w:rsidRPr="00E17D28">
              <w:t> Julian century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A7E8668" w14:textId="77777777" w:rsidR="00E17D28" w:rsidRPr="00E17D28" w:rsidRDefault="00E17D28" w:rsidP="00E17D28">
            <w:r w:rsidRPr="00E17D28">
              <w:t>  Cy =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2F71FB7" w14:textId="77777777" w:rsidR="00E17D28" w:rsidRPr="00E17D28" w:rsidRDefault="00E17D28" w:rsidP="00E17D28">
            <w:r w:rsidRPr="00E17D28">
              <w:t>36525 d </w:t>
            </w:r>
          </w:p>
        </w:tc>
      </w:tr>
      <w:tr w:rsidR="00E17D28" w:rsidRPr="00E17D28" w14:paraId="38BD16FE" w14:textId="77777777" w:rsidTr="00E17D28">
        <w:trPr>
          <w:tblCellSpacing w:w="0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4F0DC6CD" w14:textId="77777777" w:rsidR="00E17D28" w:rsidRPr="00E17D28" w:rsidRDefault="00E17D28" w:rsidP="00E17D28">
            <w:r w:rsidRPr="00E17D28">
              <w:t> speed of light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5E908D1F" w14:textId="77777777" w:rsidR="00E17D28" w:rsidRPr="00E17D28" w:rsidRDefault="00E17D28" w:rsidP="00E17D28">
            <w:r w:rsidRPr="00E17D28">
              <w:t>  c =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6A82D89E" w14:textId="77777777" w:rsidR="00E17D28" w:rsidRPr="00E17D28" w:rsidRDefault="00E17D28" w:rsidP="00E17D28">
            <w:r w:rsidRPr="00E17D28">
              <w:t>299792458 m/s </w:t>
            </w:r>
          </w:p>
        </w:tc>
      </w:tr>
      <w:tr w:rsidR="00E17D28" w:rsidRPr="00E17D28" w14:paraId="709CEA78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927CFD6" w14:textId="77777777" w:rsidR="00E17D28" w:rsidRPr="00E17D28" w:rsidRDefault="00E17D28" w:rsidP="00E17D28">
            <w:r w:rsidRPr="00E17D28">
              <w:t> astronomical unit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75D1C1D" w14:textId="77777777" w:rsidR="00E17D28" w:rsidRPr="00E17D28" w:rsidRDefault="00E17D28" w:rsidP="00E17D28">
            <w:r w:rsidRPr="00E17D28">
              <w:t>  au =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A0C3011" w14:textId="77777777" w:rsidR="00E17D28" w:rsidRPr="00E17D28" w:rsidRDefault="00E17D28" w:rsidP="00E17D28">
            <w:r w:rsidRPr="00E17D28">
              <w:t>149597870700 m </w:t>
            </w:r>
          </w:p>
        </w:tc>
      </w:tr>
    </w:tbl>
    <w:p w14:paraId="6BF4F42F" w14:textId="77777777" w:rsidR="00E17D28" w:rsidRDefault="00E17D28" w:rsidP="00E17D28">
      <w:pPr>
        <w:rPr>
          <w:b/>
          <w:bCs/>
        </w:rPr>
      </w:pPr>
      <w:bookmarkStart w:id="1" w:name="pc"/>
      <w:bookmarkEnd w:id="1"/>
    </w:p>
    <w:p w14:paraId="4EDBE5D2" w14:textId="5FEB9661" w:rsidR="00E17D28" w:rsidRPr="00E17D28" w:rsidRDefault="00E17D28" w:rsidP="00E17D28">
      <w:pPr>
        <w:rPr>
          <w:b/>
          <w:bCs/>
        </w:rPr>
      </w:pPr>
      <w:r w:rsidRPr="00E17D28">
        <w:rPr>
          <w:b/>
          <w:bCs/>
        </w:rPr>
        <w:t>Primary Constants</w:t>
      </w:r>
    </w:p>
    <w:tbl>
      <w:tblPr>
        <w:tblW w:w="0" w:type="auto"/>
        <w:tblCellSpacing w:w="0" w:type="dxa"/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909"/>
        <w:gridCol w:w="1065"/>
        <w:gridCol w:w="3804"/>
      </w:tblGrid>
      <w:tr w:rsidR="00E17D28" w:rsidRPr="00E17D28" w14:paraId="7ECAB05E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50C763D" w14:textId="77777777" w:rsidR="00E17D28" w:rsidRPr="00E17D28" w:rsidRDefault="00E17D28" w:rsidP="00E17D28">
            <w:r w:rsidRPr="00E17D28">
              <w:t> mean sidereal day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A20F0E8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CC6B997" w14:textId="77777777" w:rsidR="00E17D28" w:rsidRPr="00E17D28" w:rsidRDefault="00E17D28" w:rsidP="00E17D28">
            <w:r w:rsidRPr="00E17D28">
              <w:t>86164.09054 s [ 23:56:04.</w:t>
            </w:r>
            <w:proofErr w:type="gramStart"/>
            <w:r w:rsidRPr="00E17D28">
              <w:t>09054 ]</w:t>
            </w:r>
            <w:proofErr w:type="gramEnd"/>
            <w:r w:rsidRPr="00E17D28">
              <w:t> </w:t>
            </w:r>
          </w:p>
        </w:tc>
      </w:tr>
      <w:tr w:rsidR="00E17D28" w:rsidRPr="00E17D28" w14:paraId="59AC5961" w14:textId="77777777" w:rsidTr="00E17D28">
        <w:trPr>
          <w:tblCellSpacing w:w="0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40DCF02C" w14:textId="77777777" w:rsidR="00E17D28" w:rsidRPr="00E17D28" w:rsidRDefault="00E17D28" w:rsidP="00E17D28">
            <w:pPr>
              <w:rPr>
                <w:lang w:val="pt-BR"/>
              </w:rPr>
            </w:pPr>
            <w:r w:rsidRPr="00E17D28">
              <w:rPr>
                <w:lang w:val="pt-BR"/>
              </w:rPr>
              <w:t> </w:t>
            </w:r>
            <w:proofErr w:type="spellStart"/>
            <w:r w:rsidRPr="00E17D28">
              <w:rPr>
                <w:lang w:val="pt-BR"/>
              </w:rPr>
              <w:t>sidereal</w:t>
            </w:r>
            <w:proofErr w:type="spellEnd"/>
            <w:r w:rsidRPr="00E17D28">
              <w:rPr>
                <w:lang w:val="pt-BR"/>
              </w:rPr>
              <w:t xml:space="preserve"> </w:t>
            </w:r>
            <w:proofErr w:type="spellStart"/>
            <w:r w:rsidRPr="00E17D28">
              <w:rPr>
                <w:lang w:val="pt-BR"/>
              </w:rPr>
              <w:t>year</w:t>
            </w:r>
            <w:proofErr w:type="spellEnd"/>
            <w:r w:rsidRPr="00E17D28">
              <w:rPr>
                <w:lang w:val="pt-BR"/>
              </w:rPr>
              <w:t xml:space="preserve"> (quasar ref. frame)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76F6A2B8" w14:textId="77777777" w:rsidR="00E17D28" w:rsidRPr="00E17D28" w:rsidRDefault="00E17D28" w:rsidP="00E17D28">
            <w:pPr>
              <w:rPr>
                <w:lang w:val="pt-BR"/>
              </w:rPr>
            </w:pPr>
            <w:r w:rsidRPr="00E17D28">
              <w:rPr>
                <w:lang w:val="pt-BR"/>
              </w:rPr>
              <w:t>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6ECD6BC5" w14:textId="77777777" w:rsidR="00E17D28" w:rsidRPr="00E17D28" w:rsidRDefault="00E17D28" w:rsidP="00E17D28">
            <w:r w:rsidRPr="00E17D28">
              <w:t>365.25636 d </w:t>
            </w:r>
          </w:p>
        </w:tc>
      </w:tr>
      <w:tr w:rsidR="00E17D28" w:rsidRPr="00E17D28" w14:paraId="398A46A5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3EDBEF9" w14:textId="77777777" w:rsidR="00E17D28" w:rsidRPr="00E17D28" w:rsidRDefault="00E17D28" w:rsidP="00E17D28">
            <w:r w:rsidRPr="00E17D28">
              <w:t> gravitational constant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2C41D0B" w14:textId="77777777" w:rsidR="00E17D28" w:rsidRPr="00E17D28" w:rsidRDefault="00E17D28" w:rsidP="00E17D28">
            <w:r w:rsidRPr="00E17D28">
              <w:t>  G =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89AE686" w14:textId="77777777" w:rsidR="00E17D28" w:rsidRPr="00E17D28" w:rsidRDefault="00E17D28" w:rsidP="00E17D28">
            <w:r w:rsidRPr="00E17D28">
              <w:t>6.67259 (± 0.00030) x 10</w:t>
            </w:r>
            <w:r w:rsidRPr="00E17D28">
              <w:rPr>
                <w:vertAlign w:val="superscript"/>
              </w:rPr>
              <w:t>-11</w:t>
            </w:r>
            <w:r w:rsidRPr="00E17D28">
              <w:t> kg</w:t>
            </w:r>
            <w:r w:rsidRPr="00E17D28">
              <w:rPr>
                <w:vertAlign w:val="superscript"/>
              </w:rPr>
              <w:t>-1</w:t>
            </w:r>
            <w:r w:rsidRPr="00E17D28">
              <w:t> m</w:t>
            </w:r>
            <w:r w:rsidRPr="00E17D28">
              <w:rPr>
                <w:vertAlign w:val="superscript"/>
              </w:rPr>
              <w:t>3</w:t>
            </w:r>
            <w:r w:rsidRPr="00E17D28">
              <w:t> s</w:t>
            </w:r>
            <w:r w:rsidRPr="00E17D28">
              <w:rPr>
                <w:vertAlign w:val="superscript"/>
              </w:rPr>
              <w:t>-2</w:t>
            </w:r>
            <w:r w:rsidRPr="00E17D28">
              <w:rPr>
                <w:vertAlign w:val="subscript"/>
              </w:rPr>
              <w:t> </w:t>
            </w:r>
            <w:r w:rsidRPr="00E17D28">
              <w:t> </w:t>
            </w:r>
          </w:p>
        </w:tc>
      </w:tr>
      <w:tr w:rsidR="00E17D28" w:rsidRPr="00E17D28" w14:paraId="7FE097F8" w14:textId="77777777" w:rsidTr="00E17D28">
        <w:trPr>
          <w:tblCellSpacing w:w="0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08C508FA" w14:textId="77777777" w:rsidR="00E17D28" w:rsidRPr="00E17D28" w:rsidRDefault="00E17D28" w:rsidP="00E17D28">
            <w:r w:rsidRPr="00E17D28">
              <w:t> general precession in longitude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09F61AEB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41735069" w14:textId="77777777" w:rsidR="00E17D28" w:rsidRPr="00E17D28" w:rsidRDefault="00E17D28" w:rsidP="00E17D28">
            <w:r w:rsidRPr="00E17D28">
              <w:t>5028.83 (± 0.04) arcsec/Cy </w:t>
            </w:r>
          </w:p>
        </w:tc>
      </w:tr>
      <w:tr w:rsidR="00E17D28" w:rsidRPr="00E17D28" w14:paraId="5DCD4D52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632FE67" w14:textId="77777777" w:rsidR="00E17D28" w:rsidRPr="00E17D28" w:rsidRDefault="00E17D28" w:rsidP="00E17D28">
            <w:r w:rsidRPr="00E17D28">
              <w:t> obliquity of ecliptic (J2000)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D569241" w14:textId="77777777" w:rsidR="00E17D28" w:rsidRPr="00E17D28" w:rsidRDefault="00E17D28" w:rsidP="00E17D28">
            <w:r w:rsidRPr="00E17D28">
              <w:t>  epsilon =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D35A37B" w14:textId="77777777" w:rsidR="00E17D28" w:rsidRPr="00E17D28" w:rsidRDefault="00E17D28" w:rsidP="00E17D28">
            <w:r w:rsidRPr="00E17D28">
              <w:t>84381.412 (± 0.005) arcsec </w:t>
            </w:r>
          </w:p>
        </w:tc>
      </w:tr>
      <w:tr w:rsidR="00E17D28" w:rsidRPr="00E17D28" w14:paraId="4E34ABDE" w14:textId="77777777" w:rsidTr="00E17D28">
        <w:trPr>
          <w:tblCellSpacing w:w="0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281C2000" w14:textId="77777777" w:rsidR="00E17D28" w:rsidRPr="00E17D28" w:rsidRDefault="00E17D28" w:rsidP="00E17D28">
            <w:r w:rsidRPr="00E17D28">
              <w:t> obliquity of ecliptic (J2000) [IAU 1976]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5A047857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7889815C" w14:textId="77777777" w:rsidR="00E17D28" w:rsidRPr="00E17D28" w:rsidRDefault="00E17D28" w:rsidP="00E17D28">
            <w:r w:rsidRPr="00E17D28">
              <w:t>84381.448 arcsec </w:t>
            </w:r>
          </w:p>
        </w:tc>
      </w:tr>
      <w:tr w:rsidR="00E17D28" w:rsidRPr="00E17D28" w14:paraId="1FA1EB5C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5B250D1" w14:textId="77777777" w:rsidR="00E17D28" w:rsidRPr="00E17D28" w:rsidRDefault="00E17D28" w:rsidP="00E17D28">
            <w:r w:rsidRPr="00E17D28">
              <w:t> mass ratio: sun/Mercury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4D354B8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2A65D4D0" w14:textId="77777777" w:rsidR="00E17D28" w:rsidRPr="00E17D28" w:rsidRDefault="00E17D28" w:rsidP="00E17D28">
            <w:r w:rsidRPr="00E17D28">
              <w:t>6023600. (± 250.) </w:t>
            </w:r>
          </w:p>
        </w:tc>
      </w:tr>
      <w:tr w:rsidR="00E17D28" w:rsidRPr="00E17D28" w14:paraId="4BD511D2" w14:textId="77777777" w:rsidTr="00E17D28">
        <w:trPr>
          <w:tblCellSpacing w:w="0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21CED9F4" w14:textId="77777777" w:rsidR="00E17D28" w:rsidRPr="00E17D28" w:rsidRDefault="00E17D28" w:rsidP="00E17D28">
            <w:r w:rsidRPr="00E17D28">
              <w:t> mass ratio: sun/Venus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178C1B97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750B414D" w14:textId="77777777" w:rsidR="00E17D28" w:rsidRPr="00E17D28" w:rsidRDefault="00E17D28" w:rsidP="00E17D28">
            <w:r w:rsidRPr="00E17D28">
              <w:t>408523.71 (± 0.06) </w:t>
            </w:r>
          </w:p>
        </w:tc>
      </w:tr>
      <w:tr w:rsidR="00E17D28" w:rsidRPr="00E17D28" w14:paraId="25C541AE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8198007" w14:textId="77777777" w:rsidR="00E17D28" w:rsidRPr="00E17D28" w:rsidRDefault="00E17D28" w:rsidP="00E17D28">
            <w:r w:rsidRPr="00E17D28">
              <w:t> mass ratio: sun/(</w:t>
            </w:r>
            <w:proofErr w:type="spellStart"/>
            <w:r w:rsidRPr="00E17D28">
              <w:t>Earth+Moon</w:t>
            </w:r>
            <w:proofErr w:type="spellEnd"/>
            <w:r w:rsidRPr="00E17D28">
              <w:t>)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551651C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EA0B178" w14:textId="77777777" w:rsidR="00E17D28" w:rsidRPr="00E17D28" w:rsidRDefault="00E17D28" w:rsidP="00E17D28">
            <w:r w:rsidRPr="00E17D28">
              <w:t>328900.56 (± 0.02) </w:t>
            </w:r>
          </w:p>
        </w:tc>
      </w:tr>
      <w:tr w:rsidR="00E17D28" w:rsidRPr="00E17D28" w14:paraId="007EE532" w14:textId="77777777" w:rsidTr="00E17D28">
        <w:trPr>
          <w:tblCellSpacing w:w="0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1B757812" w14:textId="77777777" w:rsidR="00E17D28" w:rsidRPr="00E17D28" w:rsidRDefault="00E17D28" w:rsidP="00E17D28">
            <w:pPr>
              <w:rPr>
                <w:lang w:val="sv-SE"/>
              </w:rPr>
            </w:pPr>
            <w:r w:rsidRPr="00E17D28">
              <w:rPr>
                <w:lang w:val="sv-SE"/>
              </w:rPr>
              <w:t> </w:t>
            </w:r>
            <w:proofErr w:type="spellStart"/>
            <w:r w:rsidRPr="00E17D28">
              <w:rPr>
                <w:lang w:val="sv-SE"/>
              </w:rPr>
              <w:t>mass</w:t>
            </w:r>
            <w:proofErr w:type="spellEnd"/>
            <w:r w:rsidRPr="00E17D28">
              <w:rPr>
                <w:lang w:val="sv-SE"/>
              </w:rPr>
              <w:t xml:space="preserve"> </w:t>
            </w:r>
            <w:proofErr w:type="spellStart"/>
            <w:r w:rsidRPr="00E17D28">
              <w:rPr>
                <w:lang w:val="sv-SE"/>
              </w:rPr>
              <w:t>ratio</w:t>
            </w:r>
            <w:proofErr w:type="spellEnd"/>
            <w:r w:rsidRPr="00E17D28">
              <w:rPr>
                <w:lang w:val="sv-SE"/>
              </w:rPr>
              <w:t xml:space="preserve">: </w:t>
            </w:r>
            <w:proofErr w:type="spellStart"/>
            <w:r w:rsidRPr="00E17D28">
              <w:rPr>
                <w:lang w:val="sv-SE"/>
              </w:rPr>
              <w:t>sun</w:t>
            </w:r>
            <w:proofErr w:type="spellEnd"/>
            <w:proofErr w:type="gramStart"/>
            <w:r w:rsidRPr="00E17D28">
              <w:rPr>
                <w:lang w:val="sv-SE"/>
              </w:rPr>
              <w:t>/(</w:t>
            </w:r>
            <w:proofErr w:type="gramEnd"/>
            <w:r w:rsidRPr="00E17D28">
              <w:rPr>
                <w:lang w:val="sv-SE"/>
              </w:rPr>
              <w:t>Mars system)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048C0570" w14:textId="77777777" w:rsidR="00E17D28" w:rsidRPr="00E17D28" w:rsidRDefault="00E17D28" w:rsidP="00E17D28">
            <w:pPr>
              <w:rPr>
                <w:lang w:val="sv-SE"/>
              </w:rPr>
            </w:pPr>
            <w:r w:rsidRPr="00E17D28">
              <w:rPr>
                <w:lang w:val="sv-SE"/>
              </w:rPr>
              <w:t>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0AB94453" w14:textId="77777777" w:rsidR="00E17D28" w:rsidRPr="00E17D28" w:rsidRDefault="00E17D28" w:rsidP="00E17D28">
            <w:r w:rsidRPr="00E17D28">
              <w:t>3098708. (± 9.) </w:t>
            </w:r>
          </w:p>
        </w:tc>
      </w:tr>
      <w:tr w:rsidR="00E17D28" w:rsidRPr="00E17D28" w14:paraId="1EB5A21E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F2B55C1" w14:textId="77777777" w:rsidR="00E17D28" w:rsidRPr="00E17D28" w:rsidRDefault="00E17D28" w:rsidP="00E17D28">
            <w:pPr>
              <w:rPr>
                <w:lang w:val="sv-SE"/>
              </w:rPr>
            </w:pPr>
            <w:r w:rsidRPr="00E17D28">
              <w:rPr>
                <w:lang w:val="sv-SE"/>
              </w:rPr>
              <w:t> </w:t>
            </w:r>
            <w:proofErr w:type="spellStart"/>
            <w:r w:rsidRPr="00E17D28">
              <w:rPr>
                <w:lang w:val="sv-SE"/>
              </w:rPr>
              <w:t>mass</w:t>
            </w:r>
            <w:proofErr w:type="spellEnd"/>
            <w:r w:rsidRPr="00E17D28">
              <w:rPr>
                <w:lang w:val="sv-SE"/>
              </w:rPr>
              <w:t xml:space="preserve"> </w:t>
            </w:r>
            <w:proofErr w:type="spellStart"/>
            <w:r w:rsidRPr="00E17D28">
              <w:rPr>
                <w:lang w:val="sv-SE"/>
              </w:rPr>
              <w:t>ratio</w:t>
            </w:r>
            <w:proofErr w:type="spellEnd"/>
            <w:r w:rsidRPr="00E17D28">
              <w:rPr>
                <w:lang w:val="sv-SE"/>
              </w:rPr>
              <w:t xml:space="preserve">: </w:t>
            </w:r>
            <w:proofErr w:type="spellStart"/>
            <w:r w:rsidRPr="00E17D28">
              <w:rPr>
                <w:lang w:val="sv-SE"/>
              </w:rPr>
              <w:t>sun</w:t>
            </w:r>
            <w:proofErr w:type="spellEnd"/>
            <w:proofErr w:type="gramStart"/>
            <w:r w:rsidRPr="00E17D28">
              <w:rPr>
                <w:lang w:val="sv-SE"/>
              </w:rPr>
              <w:t>/(</w:t>
            </w:r>
            <w:proofErr w:type="gramEnd"/>
            <w:r w:rsidRPr="00E17D28">
              <w:rPr>
                <w:lang w:val="sv-SE"/>
              </w:rPr>
              <w:t>Jupiter system)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C85957E" w14:textId="77777777" w:rsidR="00E17D28" w:rsidRPr="00E17D28" w:rsidRDefault="00E17D28" w:rsidP="00E17D28">
            <w:pPr>
              <w:rPr>
                <w:lang w:val="sv-SE"/>
              </w:rPr>
            </w:pPr>
            <w:r w:rsidRPr="00E17D28">
              <w:rPr>
                <w:lang w:val="sv-SE"/>
              </w:rPr>
              <w:t>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0BC4F9F3" w14:textId="77777777" w:rsidR="00E17D28" w:rsidRPr="00E17D28" w:rsidRDefault="00E17D28" w:rsidP="00E17D28">
            <w:r w:rsidRPr="00E17D28">
              <w:t>1047.3486 (± 0.0008) </w:t>
            </w:r>
          </w:p>
        </w:tc>
      </w:tr>
      <w:tr w:rsidR="00E17D28" w:rsidRPr="00E17D28" w14:paraId="60093BE8" w14:textId="77777777" w:rsidTr="00E17D28">
        <w:trPr>
          <w:tblCellSpacing w:w="0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39190D46" w14:textId="77777777" w:rsidR="00E17D28" w:rsidRPr="00E17D28" w:rsidRDefault="00E17D28" w:rsidP="00E17D28">
            <w:r w:rsidRPr="00E17D28">
              <w:t> mass ratio: sun</w:t>
            </w:r>
            <w:proofErr w:type="gramStart"/>
            <w:r w:rsidRPr="00E17D28">
              <w:t>/(</w:t>
            </w:r>
            <w:proofErr w:type="gramEnd"/>
            <w:r w:rsidRPr="00E17D28">
              <w:t>Saturn system)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111F0F00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6F8F1AEF" w14:textId="77777777" w:rsidR="00E17D28" w:rsidRPr="00E17D28" w:rsidRDefault="00E17D28" w:rsidP="00E17D28">
            <w:r w:rsidRPr="00E17D28">
              <w:t>3497.898 (± 0.018) </w:t>
            </w:r>
          </w:p>
        </w:tc>
      </w:tr>
      <w:tr w:rsidR="00E17D28" w:rsidRPr="00E17D28" w14:paraId="588BEC5B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5D4C2180" w14:textId="77777777" w:rsidR="00E17D28" w:rsidRPr="00E17D28" w:rsidRDefault="00E17D28" w:rsidP="00E17D28">
            <w:r w:rsidRPr="00E17D28">
              <w:t> mass ratio: sun</w:t>
            </w:r>
            <w:proofErr w:type="gramStart"/>
            <w:r w:rsidRPr="00E17D28">
              <w:t>/(</w:t>
            </w:r>
            <w:proofErr w:type="gramEnd"/>
            <w:r w:rsidRPr="00E17D28">
              <w:t>Uranus system)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CAE0CC2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C2C3F79" w14:textId="77777777" w:rsidR="00E17D28" w:rsidRPr="00E17D28" w:rsidRDefault="00E17D28" w:rsidP="00E17D28">
            <w:r w:rsidRPr="00E17D28">
              <w:t>22902.98 (± 0.03) </w:t>
            </w:r>
          </w:p>
        </w:tc>
      </w:tr>
      <w:tr w:rsidR="00E17D28" w:rsidRPr="00E17D28" w14:paraId="40618D09" w14:textId="77777777" w:rsidTr="00E17D28">
        <w:trPr>
          <w:tblCellSpacing w:w="0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0AF75260" w14:textId="77777777" w:rsidR="00E17D28" w:rsidRPr="00E17D28" w:rsidRDefault="00E17D28" w:rsidP="00E17D28">
            <w:r w:rsidRPr="00E17D28">
              <w:t> mass ratio: sun</w:t>
            </w:r>
            <w:proofErr w:type="gramStart"/>
            <w:r w:rsidRPr="00E17D28">
              <w:t>/(</w:t>
            </w:r>
            <w:proofErr w:type="gramEnd"/>
            <w:r w:rsidRPr="00E17D28">
              <w:t>Neptune system)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4D1FF541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5E10AA49" w14:textId="77777777" w:rsidR="00E17D28" w:rsidRPr="00E17D28" w:rsidRDefault="00E17D28" w:rsidP="00E17D28">
            <w:r w:rsidRPr="00E17D28">
              <w:t>19412.24 (± 0.04) </w:t>
            </w:r>
          </w:p>
        </w:tc>
      </w:tr>
      <w:tr w:rsidR="00E17D28" w:rsidRPr="00E17D28" w14:paraId="049E3BE0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796C55ED" w14:textId="77777777" w:rsidR="00E17D28" w:rsidRPr="00E17D28" w:rsidRDefault="00E17D28" w:rsidP="00E17D28">
            <w:r w:rsidRPr="00E17D28">
              <w:t> mass ratio: sun</w:t>
            </w:r>
            <w:proofErr w:type="gramStart"/>
            <w:r w:rsidRPr="00E17D28">
              <w:t>/(</w:t>
            </w:r>
            <w:proofErr w:type="gramEnd"/>
            <w:r w:rsidRPr="00E17D28">
              <w:t>Pluto system)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C296620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6B3FAB5F" w14:textId="77777777" w:rsidR="00E17D28" w:rsidRPr="00E17D28" w:rsidRDefault="00E17D28" w:rsidP="00E17D28">
            <w:r w:rsidRPr="00E17D28">
              <w:t>1.35 (± 0.07) x 10</w:t>
            </w:r>
            <w:r w:rsidRPr="00E17D28">
              <w:rPr>
                <w:vertAlign w:val="superscript"/>
              </w:rPr>
              <w:t>8</w:t>
            </w:r>
            <w:r w:rsidRPr="00E17D28">
              <w:rPr>
                <w:vertAlign w:val="subscript"/>
              </w:rPr>
              <w:t> </w:t>
            </w:r>
            <w:r w:rsidRPr="00E17D28">
              <w:t> </w:t>
            </w:r>
          </w:p>
        </w:tc>
      </w:tr>
    </w:tbl>
    <w:p w14:paraId="456BA444" w14:textId="77777777" w:rsidR="00E17D28" w:rsidRPr="00E17D28" w:rsidRDefault="00E17D28" w:rsidP="00E17D28">
      <w:pPr>
        <w:rPr>
          <w:b/>
          <w:bCs/>
        </w:rPr>
      </w:pPr>
      <w:bookmarkStart w:id="2" w:name="rc"/>
      <w:bookmarkEnd w:id="2"/>
      <w:r w:rsidRPr="00E17D28">
        <w:rPr>
          <w:b/>
          <w:bCs/>
        </w:rPr>
        <w:t>Derived Constants</w:t>
      </w:r>
    </w:p>
    <w:tbl>
      <w:tblPr>
        <w:tblW w:w="0" w:type="auto"/>
        <w:tblCellSpacing w:w="0" w:type="dxa"/>
        <w:shd w:val="clear" w:color="auto" w:fill="FFFFFF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526"/>
        <w:gridCol w:w="986"/>
        <w:gridCol w:w="690"/>
        <w:gridCol w:w="3946"/>
      </w:tblGrid>
      <w:tr w:rsidR="00E17D28" w:rsidRPr="00E17D28" w14:paraId="7F3B3148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D899EC4" w14:textId="77777777" w:rsidR="00E17D28" w:rsidRPr="00E17D28" w:rsidRDefault="00E17D28" w:rsidP="00E17D28">
            <w:r w:rsidRPr="00E17D28">
              <w:t> light time for 1 au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339CABC8" w14:textId="77777777" w:rsidR="00E17D28" w:rsidRPr="00E17D28" w:rsidRDefault="00E17D28" w:rsidP="00E17D28">
            <w:r w:rsidRPr="00E17D28">
              <w:t>  </w:t>
            </w:r>
            <w:proofErr w:type="spellStart"/>
            <w:r w:rsidRPr="00E17D28">
              <w:t>tau</w:t>
            </w:r>
            <w:r w:rsidRPr="00E17D28">
              <w:rPr>
                <w:vertAlign w:val="subscript"/>
              </w:rPr>
              <w:t>A</w:t>
            </w:r>
            <w:proofErr w:type="spellEnd"/>
            <w:r w:rsidRPr="00E17D28">
              <w:rPr>
                <w:vertAlign w:val="superscript"/>
              </w:rPr>
              <w:t> </w:t>
            </w:r>
            <w:r w:rsidRPr="00E17D28">
              <w:t>=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C76E4AF" w14:textId="77777777" w:rsidR="00E17D28" w:rsidRPr="00E17D28" w:rsidRDefault="00E17D28" w:rsidP="00E17D28">
            <w:r w:rsidRPr="00E17D28">
              <w:t>au/c =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182FDCED" w14:textId="77777777" w:rsidR="00E17D28" w:rsidRPr="00E17D28" w:rsidRDefault="00E17D28" w:rsidP="00E17D28">
            <w:r w:rsidRPr="00E17D28">
              <w:t>499.004783836 s </w:t>
            </w:r>
          </w:p>
        </w:tc>
      </w:tr>
      <w:tr w:rsidR="00E17D28" w:rsidRPr="00E17D28" w14:paraId="5A8BFC2D" w14:textId="77777777" w:rsidTr="00E17D28">
        <w:trPr>
          <w:tblCellSpacing w:w="0" w:type="dxa"/>
        </w:trPr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1CDE9869" w14:textId="77777777" w:rsidR="00E17D28" w:rsidRPr="00E17D28" w:rsidRDefault="00E17D28" w:rsidP="00E17D28">
            <w:r w:rsidRPr="00E17D28">
              <w:t> heliocentric gravitational constant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2289B45C" w14:textId="77777777" w:rsidR="00E17D28" w:rsidRPr="00E17D28" w:rsidRDefault="00E17D28" w:rsidP="00E17D28">
            <w:r w:rsidRPr="00E17D28">
              <w:t>  </w:t>
            </w:r>
            <w:proofErr w:type="spellStart"/>
            <w:proofErr w:type="gramStart"/>
            <w:r w:rsidRPr="00E17D28">
              <w:t>GM</w:t>
            </w:r>
            <w:r w:rsidRPr="00E17D28">
              <w:rPr>
                <w:vertAlign w:val="subscript"/>
              </w:rPr>
              <w:t>sun</w:t>
            </w:r>
            <w:proofErr w:type="spellEnd"/>
            <w:r w:rsidRPr="00E17D28">
              <w:rPr>
                <w:vertAlign w:val="superscript"/>
              </w:rPr>
              <w:t> </w:t>
            </w:r>
            <w:r w:rsidRPr="00E17D28">
              <w:t> =</w:t>
            </w:r>
            <w:proofErr w:type="gramEnd"/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17D8FA73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EEEEEE"/>
            <w:noWrap/>
            <w:vAlign w:val="center"/>
            <w:hideMark/>
          </w:tcPr>
          <w:p w14:paraId="7A0CDD20" w14:textId="77777777" w:rsidR="00E17D28" w:rsidRPr="00E17D28" w:rsidRDefault="00E17D28" w:rsidP="00E17D28">
            <w:r w:rsidRPr="00E17D28">
              <w:t>1.32712440018 x 10</w:t>
            </w:r>
            <w:r w:rsidRPr="00E17D28">
              <w:rPr>
                <w:vertAlign w:val="superscript"/>
              </w:rPr>
              <w:t>20</w:t>
            </w:r>
            <w:r w:rsidRPr="00E17D28">
              <w:t> (± 8 x 10</w:t>
            </w:r>
            <w:r w:rsidRPr="00E17D28">
              <w:rPr>
                <w:vertAlign w:val="superscript"/>
              </w:rPr>
              <w:t>9</w:t>
            </w:r>
            <w:r w:rsidRPr="00E17D28">
              <w:t>) m</w:t>
            </w:r>
            <w:r w:rsidRPr="00E17D28">
              <w:rPr>
                <w:vertAlign w:val="superscript"/>
              </w:rPr>
              <w:t>3</w:t>
            </w:r>
            <w:r w:rsidRPr="00E17D28">
              <w:t> s</w:t>
            </w:r>
            <w:r w:rsidRPr="00E17D28">
              <w:rPr>
                <w:vertAlign w:val="superscript"/>
              </w:rPr>
              <w:t>-2</w:t>
            </w:r>
            <w:r w:rsidRPr="00E17D28">
              <w:rPr>
                <w:vertAlign w:val="subscript"/>
              </w:rPr>
              <w:t> </w:t>
            </w:r>
            <w:r w:rsidRPr="00E17D28">
              <w:t> </w:t>
            </w:r>
          </w:p>
        </w:tc>
      </w:tr>
      <w:tr w:rsidR="00E17D28" w:rsidRPr="00E17D28" w14:paraId="0E449FCB" w14:textId="77777777" w:rsidTr="00E17D28">
        <w:trPr>
          <w:tblCellSpacing w:w="0" w:type="dxa"/>
        </w:trPr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7562563" w14:textId="77777777" w:rsidR="00E17D28" w:rsidRPr="00E17D28" w:rsidRDefault="00E17D28" w:rsidP="00E17D28">
            <w:r w:rsidRPr="00E17D28">
              <w:t> mass ratio: Earth / Moon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EE5150A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56504D0" w14:textId="77777777" w:rsidR="00E17D28" w:rsidRPr="00E17D28" w:rsidRDefault="00E17D28" w:rsidP="00E17D28">
            <w:r w:rsidRPr="00E17D28">
              <w:t> </w:t>
            </w:r>
          </w:p>
        </w:tc>
        <w:tc>
          <w:tcPr>
            <w:tcW w:w="0" w:type="auto"/>
            <w:shd w:val="clear" w:color="auto" w:fill="DDDDDD"/>
            <w:noWrap/>
            <w:vAlign w:val="center"/>
            <w:hideMark/>
          </w:tcPr>
          <w:p w14:paraId="4F7673C8" w14:textId="77777777" w:rsidR="00E17D28" w:rsidRPr="00E17D28" w:rsidRDefault="00E17D28" w:rsidP="00E17D28">
            <w:r w:rsidRPr="00E17D28">
              <w:t>81.30059 (± 0.00001) </w:t>
            </w:r>
          </w:p>
        </w:tc>
      </w:tr>
    </w:tbl>
    <w:p w14:paraId="79B2E3F1" w14:textId="77777777" w:rsidR="00E17D28" w:rsidRPr="00E17D28" w:rsidRDefault="00E17D28" w:rsidP="00E17D28"/>
    <w:p w14:paraId="5EDF9367" w14:textId="77777777" w:rsidR="007D5B07" w:rsidRDefault="007D5B07"/>
    <w:sectPr w:rsidR="007D5B07" w:rsidSect="0049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28"/>
    <w:rsid w:val="00490224"/>
    <w:rsid w:val="007D5B07"/>
    <w:rsid w:val="00E1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015A8"/>
  <w15:chartTrackingRefBased/>
  <w15:docId w15:val="{7C8B5E17-D9E6-4F49-9483-1761A645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6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717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sd.jpl.nasa.gov/?consta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Manferdelli</dc:creator>
  <cp:keywords/>
  <dc:description/>
  <cp:lastModifiedBy>John Manferdelli</cp:lastModifiedBy>
  <cp:revision>1</cp:revision>
  <dcterms:created xsi:type="dcterms:W3CDTF">2020-03-21T19:30:00Z</dcterms:created>
  <dcterms:modified xsi:type="dcterms:W3CDTF">2020-03-21T19:31:00Z</dcterms:modified>
</cp:coreProperties>
</file>