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9" w:name="content"/>
    <w:bookmarkStart w:id="38" w:name="X6816a208c4362249ccadaa796b0ae798913fbfe"/>
    <w:p>
      <w:pPr>
        <w:pStyle w:val="Heading1"/>
      </w:pPr>
      <w:r>
        <w:t xml:space="preserve">Phase-specific progression criteria in return-to-running and rehabilitation programs for Achilles tendon pathologies from open-access peer-reviewed literature between 2016 and 2026</w:t>
      </w:r>
    </w:p>
    <w:bookmarkStart w:id="24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Open-access, peer-reviewed Achilles tendinopathy rehabilitation programs published between 2016–2026 that</w:t>
      </w:r>
      <w:r>
        <w:t xml:space="preserve"> </w:t>
      </w:r>
      <w:r>
        <w:rPr>
          <w:b/>
          <w:bCs/>
        </w:rPr>
        <w:t xml:space="preserve">explicitly define phases/stages and provide progression criteria</w:t>
      </w:r>
      <w:r>
        <w:t xml:space="preserve"> </w:t>
      </w:r>
      <w:r>
        <w:t xml:space="preserve">are relatively uncommon, and where criteria exist they are most often</w:t>
      </w:r>
      <w:r>
        <w:t xml:space="preserve"> </w:t>
      </w:r>
      <w:r>
        <w:rPr>
          <w:b/>
          <w:bCs/>
        </w:rPr>
        <w:t xml:space="preserve">symptom- (pain/stiffness-) monitored</w:t>
      </w:r>
      <w:r>
        <w:t xml:space="preserve"> </w:t>
      </w:r>
      <w:r>
        <w:t xml:space="preserve">rather than capacity-tested.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Across the most explicit phase-based programs identified, two patterns dominate: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/>
          <w:bCs/>
        </w:rPr>
        <w:t xml:space="preserve">pain-monitoring thresholds</w:t>
      </w:r>
      <w:r>
        <w:t xml:space="preserve"> </w:t>
      </w:r>
      <w:r>
        <w:t xml:space="preserve">commonly gate progression both within and between phases, typically allowing moderate pain during loading</w:t>
      </w:r>
      <w:r>
        <w:t xml:space="preserve"> </w:t>
      </w:r>
      <w:r>
        <w:rPr>
          <w:b/>
          <w:bCs/>
        </w:rPr>
        <w:t xml:space="preserve">provided it does not worsen and settles quickly</w:t>
      </w:r>
      <w:r>
        <w:t xml:space="preserve">. Concrete examples include thresholds such as</w:t>
      </w:r>
      <w:r>
        <w:t xml:space="preserve"> </w:t>
      </w:r>
      <w:r>
        <w:rPr>
          <w:b/>
          <w:bCs/>
        </w:rPr>
        <w:t xml:space="preserve">NPRS &lt;4/10</w:t>
      </w:r>
      <w:r>
        <w:t xml:space="preserve"> </w:t>
      </w:r>
      <w:r>
        <w:t xml:space="preserve">(during and within 24 hours after a session) in one protocol and</w:t>
      </w:r>
      <w:r>
        <w:t xml:space="preserve"> </w:t>
      </w:r>
      <w:r>
        <w:rPr>
          <w:b/>
          <w:bCs/>
        </w:rPr>
        <w:t xml:space="preserve">NPRS &lt;5/10</w:t>
      </w:r>
      <w:r>
        <w:t xml:space="preserve"> </w:t>
      </w:r>
      <w:r>
        <w:t xml:space="preserve">during exercise,</w:t>
      </w:r>
      <w:r>
        <w:t xml:space="preserve"> </w:t>
      </w:r>
      <w:r>
        <w:rPr>
          <w:b/>
          <w:bCs/>
        </w:rPr>
        <w:t xml:space="preserve">1 hour after</w:t>
      </w:r>
      <w:r>
        <w:t xml:space="preserve">, and the</w:t>
      </w:r>
      <w:r>
        <w:t xml:space="preserve"> </w:t>
      </w:r>
      <w:r>
        <w:rPr>
          <w:b/>
          <w:bCs/>
        </w:rPr>
        <w:t xml:space="preserve">next morning</w:t>
      </w:r>
      <w:r>
        <w:t xml:space="preserve"> </w:t>
      </w:r>
      <w:r>
        <w:t xml:space="preserve">in another.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Second, the most operational “criteria-based” pathways add</w:t>
      </w:r>
      <w:r>
        <w:t xml:space="preserve"> </w:t>
      </w:r>
      <w:r>
        <w:rPr>
          <w:b/>
          <w:bCs/>
        </w:rPr>
        <w:t xml:space="preserve">objective performance thresholds</w:t>
      </w:r>
      <w:r>
        <w:t xml:space="preserve">, especially</w:t>
      </w:r>
      <w:r>
        <w:t xml:space="preserve"> </w:t>
      </w:r>
      <w:r>
        <w:rPr>
          <w:b/>
          <w:bCs/>
        </w:rPr>
        <w:t xml:space="preserve">between-limb asymmetry cutoffs of &lt;10%</w:t>
      </w:r>
      <w:r>
        <w:t xml:space="preserve"> </w:t>
      </w:r>
      <w:r>
        <w:t xml:space="preserve">for strength and/or reactive strength measures (eg, isokinetic plantarflexor testing; reactive strength index), plus hop-based pain criteria (eg, pain limits while performing sets of hops).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For</w:t>
      </w:r>
      <w:r>
        <w:t xml:space="preserve"> </w:t>
      </w:r>
      <w:r>
        <w:rPr>
          <w:b/>
          <w:bCs/>
        </w:rPr>
        <w:t xml:space="preserve">insertional Achilles tendinopathy</w:t>
      </w:r>
      <w:r>
        <w:t xml:space="preserve">, one randomized clinical trial operationalizes “compression-aware” rehabilitation across 4 stages (isometric → isotonic → energy storage/release → running/jumping) and uses</w:t>
      </w:r>
      <w:r>
        <w:t xml:space="preserve"> </w:t>
      </w:r>
      <w:r>
        <w:rPr>
          <w:b/>
          <w:bCs/>
        </w:rPr>
        <w:t xml:space="preserve">weekly symptom criteria</w:t>
      </w:r>
      <w:r>
        <w:t xml:space="preserve"> </w:t>
      </w:r>
      <w:r>
        <w:t xml:space="preserve">(pain, stiffness trend),</w:t>
      </w:r>
      <w:r>
        <w:t xml:space="preserve"> </w:t>
      </w:r>
      <w:r>
        <w:rPr>
          <w:b/>
          <w:bCs/>
        </w:rPr>
        <w:t xml:space="preserve">minimum time-in-stage</w:t>
      </w:r>
      <w:r>
        <w:t xml:space="preserve">, and sport restriction during early stages; the same trial highlights that limiting dorsiflexion (reducing compressive load) is the key differentiator between the two compared rehab programs, while progression criteria remain symptom/time based.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A consolidated framework derived strictly from the extracted sources is provided below, emphasizing: symptom trajectory (including next-day response), minimum exposure time, and—when available—objective thresholds (notably</w:t>
      </w:r>
      <w:r>
        <w:t xml:space="preserve"> </w:t>
      </w:r>
      <w:r>
        <w:rPr>
          <w:b/>
          <w:bCs/>
        </w:rPr>
        <w:t xml:space="preserve">&lt;10% deficits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hop test pain limits</w:t>
      </w:r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bookmarkEnd w:id="24"/>
    <w:bookmarkStart w:id="25" w:name="methods-and-eligibility"/>
    <w:p>
      <w:pPr>
        <w:pStyle w:val="Heading2"/>
      </w:pPr>
      <w:r>
        <w:t xml:space="preserve">Methods and eligibility</w:t>
      </w:r>
    </w:p>
    <w:p>
      <w:pPr>
        <w:pStyle w:val="FirstParagraph"/>
      </w:pPr>
      <w:r>
        <w:t xml:space="preserve">The scope was constrained to</w:t>
      </w:r>
      <w:r>
        <w:t xml:space="preserve"> </w:t>
      </w:r>
      <w:r>
        <w:rPr>
          <w:b/>
          <w:bCs/>
        </w:rPr>
        <w:t xml:space="preserve">peer-reviewed, open-access</w:t>
      </w:r>
      <w:r>
        <w:t xml:space="preserve"> </w:t>
      </w:r>
      <w:r>
        <w:t xml:space="preserve">journal sources (2016–2026 inclusive) describing</w:t>
      </w:r>
      <w:r>
        <w:t xml:space="preserve"> </w:t>
      </w:r>
      <w:r>
        <w:rPr>
          <w:b/>
          <w:bCs/>
        </w:rPr>
        <w:t xml:space="preserve">Achilles tendon pathologies within tendinopathy language</w:t>
      </w:r>
      <w:r>
        <w:t xml:space="preserve"> </w:t>
      </w:r>
      <w:r>
        <w:t xml:space="preserve">(Achilles tendinopathy, including insertional and midportion) and reporting</w:t>
      </w:r>
      <w:r>
        <w:t xml:space="preserve"> </w:t>
      </w:r>
      <w:r>
        <w:rPr>
          <w:b/>
          <w:bCs/>
        </w:rPr>
        <w:t xml:space="preserve">phase/stage/level</w:t>
      </w:r>
      <w:r>
        <w:t xml:space="preserve"> </w:t>
      </w:r>
      <w:r>
        <w:t xml:space="preserve">rehabilitation structures with</w:t>
      </w:r>
      <w:r>
        <w:t xml:space="preserve"> </w:t>
      </w:r>
      <w:r>
        <w:rPr>
          <w:b/>
          <w:bCs/>
        </w:rPr>
        <w:t xml:space="preserve">explicit progression criteria</w:t>
      </w:r>
      <w:r>
        <w:t xml:space="preserve"> </w:t>
      </w:r>
      <w:r>
        <w:t xml:space="preserve">(numeric or qualitative). If patient demographics were not explicitly reported in the accessible source text, they are marked as</w:t>
      </w:r>
      <w:r>
        <w:t xml:space="preserve"> </w:t>
      </w:r>
      <w:r>
        <w:rPr>
          <w:b/>
          <w:bCs/>
        </w:rPr>
        <w:t xml:space="preserve">unspecified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Included sources below represent: randomized clinical trial evidence (insertional Achilles), a randomized-trial protocol (midportion Achilles; running-based athletes) that contains two structured programs (including an explicitly criteria-based, multi-level pathway), and two systematic reviews that directly address (a)</w:t>
      </w:r>
      <w:r>
        <w:t xml:space="preserve"> </w:t>
      </w:r>
      <w:r>
        <w:rPr>
          <w:b/>
          <w:bCs/>
        </w:rPr>
        <w:t xml:space="preserve">how “return to sport” decisions are made</w:t>
      </w:r>
      <w:r>
        <w:t xml:space="preserve"> </w:t>
      </w:r>
      <w:r>
        <w:t xml:space="preserve">and (b)</w:t>
      </w:r>
      <w:r>
        <w:t xml:space="preserve"> </w:t>
      </w:r>
      <w:r>
        <w:rPr>
          <w:b/>
          <w:bCs/>
        </w:rPr>
        <w:t xml:space="preserve">what progression criteria are most commonly used</w:t>
      </w:r>
      <w:r>
        <w:t xml:space="preserve"> </w:t>
      </w:r>
      <w:r>
        <w:t xml:space="preserve">in lower-limb tendinopathy loading programs.</w:t>
      </w:r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</w:p>
    <w:bookmarkEnd w:id="25"/>
    <w:bookmarkStart w:id="29" w:name="X460494a870c7badd84aaf44538b9dd8b0cbe100"/>
    <w:p>
      <w:pPr>
        <w:pStyle w:val="Heading2"/>
      </w:pPr>
      <w:r>
        <w:t xml:space="preserve">Systematic extraction of phase definitions and explicit progression criteria</w:t>
      </w:r>
    </w:p>
    <w:p>
      <w:pPr>
        <w:pStyle w:val="FirstParagraph"/>
      </w:pPr>
      <w:r>
        <w:t xml:space="preserve">The table below provides one concise row per included source and extracts only progression criteria (and phase definitions) explicitly stated in the open-access, peer-reviewed documents.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(open access link)</w:t>
            </w:r>
          </w:p>
        </w:tc>
        <w:tc>
          <w:tcPr/>
          <w:p>
            <w:pPr>
              <w:pStyle w:val="Compact"/>
            </w:pPr>
            <w:r>
              <w:t xml:space="preserve">Phase/stage labels used</w:t>
            </w:r>
          </w:p>
        </w:tc>
        <w:tc>
          <w:tcPr/>
          <w:p>
            <w:pPr>
              <w:pStyle w:val="Compact"/>
            </w:pPr>
            <w:r>
              <w:t xml:space="preserve">Explicit progression criteria per phase/stage (numeric/qualitative)</w:t>
            </w:r>
          </w:p>
        </w:tc>
        <w:tc>
          <w:tcPr/>
          <w:p>
            <w:pPr>
              <w:pStyle w:val="Compact"/>
            </w:pPr>
            <w:r>
              <w:t xml:space="preserve">Tools/metrics and validation notes (as stated in-source)</w:t>
            </w:r>
          </w:p>
        </w:tc>
        <w:tc>
          <w:tcPr/>
          <w:p>
            <w:pPr>
              <w:pStyle w:val="Compact"/>
            </w:pPr>
            <w:r>
              <w:t xml:space="preserve">Population (as stated)</w:t>
            </w:r>
          </w:p>
        </w:tc>
        <w:tc>
          <w:tcPr/>
          <w:p>
            <w:pPr>
              <w:pStyle w:val="Compact"/>
            </w:pPr>
            <w:r>
              <w:t xml:space="preserve">Study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Lauren Pringels</w:t>
            </w:r>
            <w:hyperlink r:id="rId23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r>
              <w:t xml:space="preserve">et al., 2025.</w:t>
            </w:r>
            <w:r>
              <w:t xml:space="preserve"> </w:t>
            </w:r>
            <w:r>
              <w:rPr>
                <w:rStyle w:val="VerbatimChar"/>
              </w:rPr>
              <w:t xml:space="preserve">https://doi.org/10.1136/bjsports-2024-109138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4-stage tendon-loading program</w:t>
            </w:r>
            <w:r>
              <w:t xml:space="preserve">: Stage 1 (isometric), Stage 2 (isometric + isotonic), Stage 3 (add energy storage/release), Stage 4 (running/jumping).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Stage content is dose-defined (eg, Stage 1 isometrics progress from</w:t>
            </w:r>
            <w:r>
              <w:t xml:space="preserve"> </w:t>
            </w:r>
            <w:r>
              <w:rPr>
                <w:b/>
                <w:bCs/>
              </w:rPr>
              <w:t xml:space="preserve">5×30s @ 50% MVC to 5×60s @ 70% MVC</w:t>
            </w:r>
            <w:r>
              <w:t xml:space="preserve">; Stage 2 isotonic progresses</w:t>
            </w:r>
            <w:r>
              <w:t xml:space="preserve"> </w:t>
            </w:r>
            <w:r>
              <w:rPr>
                <w:b/>
                <w:bCs/>
              </w:rPr>
              <w:t xml:space="preserve">4×15 @ 65% 1RM → 4×6 @ 85% 1RM</w:t>
            </w:r>
            <w:r>
              <w:t xml:space="preserve">; Stage 3 adds energy storage/release every third day and progresses</w:t>
            </w:r>
            <w:r>
              <w:t xml:space="preserve"> </w:t>
            </w:r>
            <w:r>
              <w:rPr>
                <w:b/>
                <w:bCs/>
              </w:rPr>
              <w:t xml:space="preserve">3×10 @ 75% 1RM → 3×6 @ 85% 1RM</w:t>
            </w:r>
            <w:r>
              <w:t xml:space="preserve">; Stage 4 performs running/jumping every 2–3 days with continued high-load isometrics on non-sport days).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[10]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Progression to the next stage (weekly assessed) required all</w:t>
            </w:r>
            <w:r>
              <w:t xml:space="preserve">: (1)</w:t>
            </w:r>
            <w:r>
              <w:t xml:space="preserve"> </w:t>
            </w:r>
            <w:r>
              <w:rPr>
                <w:b/>
                <w:bCs/>
              </w:rPr>
              <w:t xml:space="preserve">pain &lt;5/10</w:t>
            </w:r>
            <w:r>
              <w:t xml:space="preserve"> </w:t>
            </w:r>
            <w:r>
              <w:t xml:space="preserve">on an 11-point NPRS</w:t>
            </w:r>
            <w:r>
              <w:t xml:space="preserve"> </w:t>
            </w:r>
            <w:r>
              <w:rPr>
                <w:b/>
                <w:bCs/>
              </w:rPr>
              <w:t xml:space="preserve">during exercise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1 hour after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the next morning</w:t>
            </w:r>
            <w:r>
              <w:t xml:space="preserve">; (2)</w:t>
            </w:r>
            <w:r>
              <w:t xml:space="preserve"> </w:t>
            </w:r>
            <w:r>
              <w:rPr>
                <w:b/>
                <w:bCs/>
              </w:rPr>
              <w:t xml:space="preserve">no increase</w:t>
            </w:r>
            <w:r>
              <w:t xml:space="preserve"> </w:t>
            </w:r>
            <w:r>
              <w:t xml:space="preserve">in average pain and stiffness week-to-week; (3)</w:t>
            </w:r>
            <w:r>
              <w:t xml:space="preserve"> </w:t>
            </w:r>
            <w:r>
              <w:rPr>
                <w:b/>
                <w:bCs/>
              </w:rPr>
              <w:t xml:space="preserve">each stage completed ≥2 weeks</w:t>
            </w:r>
            <w:r>
              <w:t xml:space="preserve">, with high-load exercises performed</w:t>
            </w:r>
            <w:r>
              <w:t xml:space="preserve"> </w:t>
            </w:r>
            <w:r>
              <w:rPr>
                <w:b/>
                <w:bCs/>
              </w:rPr>
              <w:t xml:space="preserve">≥1 week</w:t>
            </w:r>
            <w:r>
              <w:t xml:space="preserve">. Early stages (1–3): avoid Achilles tendon-loading sports; minimum time to return to sport was</w:t>
            </w:r>
            <w:r>
              <w:t xml:space="preserve"> </w:t>
            </w:r>
            <w:r>
              <w:rPr>
                <w:b/>
                <w:bCs/>
              </w:rPr>
              <w:t xml:space="preserve">8 weeks</w:t>
            </w:r>
            <w:r>
              <w:t xml:space="preserve">; maintenance exercises from earlier stages recommended during return-to-sport period.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clinical outcome:</w:t>
            </w:r>
            <w:r>
              <w:t xml:space="preserve"> </w:t>
            </w:r>
            <w:r>
              <w:rPr>
                <w:b/>
                <w:bCs/>
              </w:rPr>
              <w:t xml:space="preserve">VISA-A</w:t>
            </w:r>
            <w:r>
              <w:t xml:space="preserve"> </w:t>
            </w:r>
            <w:r>
              <w:t xml:space="preserve">(0–100). The paper notes that although VISA-A was standard during trial conduct, a newer tool (TENDINS-A) is now recommended because VISA-A “may lack validity.”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[11]</w:t>
              </w:r>
            </w:hyperlink>
            <w:r>
              <w:t xml:space="preserve"> </w:t>
            </w:r>
            <w:r>
              <w:t xml:space="preserve">Pain monitored via</w:t>
            </w:r>
            <w:r>
              <w:t xml:space="preserve"> </w:t>
            </w:r>
            <w:r>
              <w:rPr>
                <w:b/>
                <w:bCs/>
              </w:rPr>
              <w:t xml:space="preserve">11-point NPRS</w:t>
            </w:r>
            <w:r>
              <w:t xml:space="preserve"> </w:t>
            </w:r>
            <w:r>
              <w:t xml:space="preserve">at specified time anchors; weekly monitoring used</w:t>
            </w:r>
            <w:r>
              <w:t xml:space="preserve"> </w:t>
            </w:r>
            <w:r>
              <w:rPr>
                <w:b/>
                <w:bCs/>
              </w:rPr>
              <w:t xml:space="preserve">REDCap questionnaires</w:t>
            </w:r>
            <w:r>
              <w:t xml:space="preserve">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Insertional Achilles tendinopathy</w:t>
            </w:r>
            <w:r>
              <w:t xml:space="preserve">, sport-active; eligibility included age</w:t>
            </w:r>
            <w:r>
              <w:t xml:space="preserve"> </w:t>
            </w:r>
            <w:r>
              <w:rPr>
                <w:b/>
                <w:bCs/>
              </w:rPr>
              <w:t xml:space="preserve">18–60</w:t>
            </w:r>
            <w:r>
              <w:t xml:space="preserve">, symptoms &gt;3 months,</w:t>
            </w:r>
            <w:r>
              <w:t xml:space="preserve"> </w:t>
            </w:r>
            <w:r>
              <w:rPr>
                <w:b/>
                <w:bCs/>
              </w:rPr>
              <w:t xml:space="preserve">VISA-A &lt;80</w:t>
            </w:r>
            <w:r>
              <w:t xml:space="preserve">, and running-based sports ≥2×/week (plus imaging-confirmation elements described for diagnosis).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Randomised clinical trial</w:t>
            </w:r>
            <w:r>
              <w:t xml:space="preserve">, investigator-blinded comparison of two rehab variants delivered with weekly supervision; both arms used the same 4-stage structure but differed in compression management cues (limited vs end-range dorsiflexion).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[13]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Colin Griffin</w:t>
            </w:r>
            <w:hyperlink r:id="rId22">
              <w:r>
                <w:rPr>
                  <w:rStyle w:val="Hyperlink"/>
                </w:rPr>
                <w:t xml:space="preserve">[14]</w:t>
              </w:r>
            </w:hyperlink>
            <w:r>
              <w:t xml:space="preserve"> </w:t>
            </w:r>
            <w:r>
              <w:t xml:space="preserve">et al., 2021.</w:t>
            </w:r>
            <w:r>
              <w:t xml:space="preserve"> </w:t>
            </w:r>
            <w:r>
              <w:rPr>
                <w:rStyle w:val="VerbatimChar"/>
              </w:rPr>
              <w:t xml:space="preserve">https://doi.org/10.1186/s12891-021-04553-6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Paper contains two phased programs: (a)</w:t>
            </w:r>
            <w:r>
              <w:t xml:space="preserve"> </w:t>
            </w:r>
            <w:r>
              <w:rPr>
                <w:b/>
                <w:bCs/>
              </w:rPr>
              <w:t xml:space="preserve">Silbernagel combined concentric–eccentric program</w:t>
            </w:r>
            <w:r>
              <w:t xml:space="preserve"> </w:t>
            </w:r>
            <w:r>
              <w:t xml:space="preserve">with phases 1–4 (week-banded), and (b)</w:t>
            </w:r>
            <w:r>
              <w:t xml:space="preserve"> </w:t>
            </w:r>
            <w:r>
              <w:rPr>
                <w:b/>
                <w:bCs/>
              </w:rPr>
              <w:t xml:space="preserve">SSC6</w:t>
            </w:r>
            <w:r>
              <w:t xml:space="preserve">, a 6-level staged pathway targeting strength and reactive strength through return-to-performance.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Silbernagel program (as implemented in this protocol)</w:t>
            </w:r>
            <w:r>
              <w:t xml:space="preserve">: Phase-structured by week bands; initial phases describe patient status (eg, difficulty performing 10 single-leg heel raises) and prescribe daily heel-raise variants; later phases add heavier strength loading and plyometrics; progression described as guided by pain response (see below).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[17]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Silbernagel progression rule</w:t>
            </w:r>
            <w:r>
              <w:t xml:space="preserve">: progress exercises based on NPRS with</w:t>
            </w:r>
            <w:r>
              <w:t xml:space="preserve"> </w:t>
            </w:r>
            <w:r>
              <w:rPr>
                <w:b/>
                <w:bCs/>
              </w:rPr>
              <w:t xml:space="preserve">no greater than 4/10 pain during and in the 24h after</w:t>
            </w:r>
            <w:r>
              <w:t xml:space="preserve"> </w:t>
            </w:r>
            <w:r>
              <w:t xml:space="preserve">a session; progress to plyometrics “as tolerated.”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SSC6 explicit entry/exit criteria (selected):</w:t>
            </w:r>
            <w:r>
              <w:t xml:space="preserve"> </w:t>
            </w:r>
            <w:r>
              <w:t xml:space="preserve">Level 1 entry:</w:t>
            </w:r>
            <w:r>
              <w:t xml:space="preserve"> </w:t>
            </w:r>
            <w:r>
              <w:rPr>
                <w:b/>
                <w:bCs/>
              </w:rPr>
              <w:t xml:space="preserve">pain &gt;5/10</w:t>
            </w:r>
            <w:r>
              <w:t xml:space="preserve"> </w:t>
            </w:r>
            <w:r>
              <w:t xml:space="preserve">on single-leg calf raise. Level 2 entry:</w:t>
            </w:r>
            <w:r>
              <w:t xml:space="preserve"> </w:t>
            </w:r>
            <w:r>
              <w:rPr>
                <w:b/>
                <w:bCs/>
              </w:rPr>
              <w:t xml:space="preserve">pain &lt;5/10</w:t>
            </w:r>
            <w:r>
              <w:t xml:space="preserve"> </w:t>
            </w:r>
            <w:r>
              <w:t xml:space="preserve">on single-leg calf raise. Level 3 entry:</w:t>
            </w:r>
            <w:r>
              <w:t xml:space="preserve"> </w:t>
            </w:r>
            <w:r>
              <w:rPr>
                <w:b/>
                <w:bCs/>
              </w:rPr>
              <w:t xml:space="preserve">pain &lt;4/10</w:t>
            </w:r>
            <w:r>
              <w:t xml:space="preserve"> </w:t>
            </w:r>
            <w:r>
              <w:t xml:space="preserve">on single-leg calf raise. Level 4 entry:</w:t>
            </w:r>
            <w:r>
              <w:t xml:space="preserve"> </w:t>
            </w:r>
            <w:r>
              <w:rPr>
                <w:b/>
                <w:bCs/>
              </w:rPr>
              <w:t xml:space="preserve">pain &lt;5/10 for 10 double-leg hops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&lt;10% asymmetry</w:t>
            </w:r>
            <w:r>
              <w:t xml:space="preserve"> </w:t>
            </w:r>
            <w:r>
              <w:t xml:space="preserve">in calf isokinetic tests. Level 5 entry:</w:t>
            </w:r>
            <w:r>
              <w:t xml:space="preserve"> </w:t>
            </w:r>
            <w:r>
              <w:rPr>
                <w:b/>
                <w:bCs/>
              </w:rPr>
              <w:t xml:space="preserve">pain &lt;4/10 for 10 single-leg hops</w:t>
            </w:r>
            <w:r>
              <w:t xml:space="preserve">; Level 5 exit:</w:t>
            </w:r>
            <w:r>
              <w:t xml:space="preserve"> </w:t>
            </w:r>
            <w:r>
              <w:rPr>
                <w:b/>
                <w:bCs/>
              </w:rPr>
              <w:t xml:space="preserve">&lt;10% asymmetry</w:t>
            </w:r>
            <w:r>
              <w:t xml:space="preserve"> </w:t>
            </w:r>
            <w:r>
              <w:t xml:space="preserve">in single-leg vertical and horizontal RSI. Level 6 is a maintenance phase with continued high-load strength/reactive work.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r>
              <w:t xml:space="preserve"> </w:t>
            </w:r>
            <w:r>
              <w:t xml:space="preserve">Additional stated progression gates: “Progression to Level 4” required achieving prescribed load targets and</w:t>
            </w:r>
            <w:r>
              <w:t xml:space="preserve"> </w:t>
            </w:r>
            <w:r>
              <w:rPr>
                <w:b/>
                <w:bCs/>
              </w:rPr>
              <w:t xml:space="preserve">&lt;10% deficit</w:t>
            </w:r>
            <w:r>
              <w:t xml:space="preserve"> </w:t>
            </w:r>
            <w:r>
              <w:t xml:space="preserve">between limbs on isokinetic tests; progression “from Level 5” required</w:t>
            </w:r>
            <w:r>
              <w:t xml:space="preserve"> </w:t>
            </w:r>
            <w:r>
              <w:rPr>
                <w:b/>
                <w:bCs/>
              </w:rPr>
              <w:t xml:space="preserve">single-leg RSI deficits &lt;10%</w:t>
            </w:r>
            <w:r>
              <w:t xml:space="preserve">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  <w:r>
              <w:t xml:space="preserve"> </w:t>
            </w:r>
            <w:r>
              <w:rPr>
                <w:b/>
                <w:bCs/>
              </w:rPr>
              <w:t xml:space="preserve">Return-to-running gate</w:t>
            </w:r>
            <w:r>
              <w:t xml:space="preserve"> </w:t>
            </w:r>
            <w:r>
              <w:t xml:space="preserve">(both groups): begin running in phase 2 when</w:t>
            </w:r>
            <w:r>
              <w:t xml:space="preserve"> </w:t>
            </w:r>
            <w:r>
              <w:rPr>
                <w:b/>
                <w:bCs/>
              </w:rPr>
              <w:t xml:space="preserve">pain during daily activity &lt;2/10</w:t>
            </w:r>
            <w:r>
              <w:t xml:space="preserve">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clinical outcome:</w:t>
            </w:r>
            <w:r>
              <w:t xml:space="preserve"> </w:t>
            </w:r>
            <w:r>
              <w:rPr>
                <w:b/>
                <w:bCs/>
              </w:rPr>
              <w:t xml:space="preserve">VISA-A</w:t>
            </w:r>
            <w:r>
              <w:t xml:space="preserve">, described in-source as “valid, reliable, and easy-to-use” for Achilles tendinopathy intervention studies.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 </w:t>
            </w:r>
            <w:r>
              <w:t xml:space="preserve">Objective metrics used as progression criteria include</w:t>
            </w:r>
            <w:r>
              <w:t xml:space="preserve"> </w:t>
            </w:r>
            <w:r>
              <w:rPr>
                <w:b/>
                <w:bCs/>
              </w:rPr>
              <w:t xml:space="preserve">isokinetic plantarflexor peak torque</w:t>
            </w:r>
            <w:r>
              <w:t xml:space="preserve"> </w:t>
            </w:r>
            <w:r>
              <w:t xml:space="preserve">(dynamometry) and</w:t>
            </w:r>
            <w:r>
              <w:t xml:space="preserve"> </w:t>
            </w:r>
            <w:r>
              <w:rPr>
                <w:b/>
                <w:bCs/>
              </w:rPr>
              <w:t xml:space="preserve">reactive strength index (RSI)</w:t>
            </w:r>
            <w:r>
              <w:t xml:space="preserve"> </w:t>
            </w:r>
            <w:r>
              <w:t xml:space="preserve">derived from drop jump testing and hop testing.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[22]</w:t>
              </w:r>
            </w:hyperlink>
            <w:r>
              <w:t xml:space="preserve"> </w:t>
            </w:r>
            <w:r>
              <w:t xml:space="preserve">Reliability notes for hop/jump metrics are reported via pilot data (ICC thresholds across variables).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Midportion Achilles tendinopathy</w:t>
            </w:r>
            <w:r>
              <w:t xml:space="preserve">, age</w:t>
            </w:r>
            <w:r>
              <w:t xml:space="preserve"> </w:t>
            </w:r>
            <w:r>
              <w:rPr>
                <w:b/>
                <w:bCs/>
              </w:rPr>
              <w:t xml:space="preserve">18–45</w:t>
            </w:r>
            <w:r>
              <w:t xml:space="preserve">, running-based sports; diagnosis confirmed clinically and with</w:t>
            </w:r>
            <w:r>
              <w:t xml:space="preserve"> </w:t>
            </w:r>
            <w:r>
              <w:rPr>
                <w:b/>
                <w:bCs/>
              </w:rPr>
              <w:t xml:space="preserve">MRI</w:t>
            </w:r>
            <w:r>
              <w:t xml:space="preserve">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Randomised controlled trial protocol</w:t>
            </w:r>
            <w:r>
              <w:t xml:space="preserve"> </w:t>
            </w:r>
            <w:r>
              <w:t xml:space="preserve">(study protocol); compares traditional symptom-guided progression versus a criteria-based staged program with load targets and objective strength/reactive strength thresholds.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Andres Escriche-Escuder</w:t>
            </w:r>
            <w:hyperlink r:id="rId23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r>
              <w:t xml:space="preserve">et al., 2020. Open access full text:</w:t>
            </w:r>
            <w:r>
              <w:t xml:space="preserve"> </w:t>
            </w:r>
            <w:r>
              <w:rPr>
                <w:rStyle w:val="VerbatimChar"/>
              </w:rPr>
              <w:t xml:space="preserve">https://pmc.ncbi.nlm.nih.gov/articles/PMC7678382/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 a phase-based Achilles-only protocol; provides a</w:t>
            </w:r>
            <w:r>
              <w:t xml:space="preserve"> </w:t>
            </w:r>
            <w:r>
              <w:rPr>
                <w:b/>
                <w:bCs/>
              </w:rPr>
              <w:t xml:space="preserve">classification of load progression criteria</w:t>
            </w:r>
            <w:r>
              <w:t xml:space="preserve"> </w:t>
            </w:r>
            <w:r>
              <w:t xml:space="preserve">used across trials in lower limb tendinopathy (including Achilles).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Identifies six commonly used progression criteria types grouped into two categories:</w:t>
            </w:r>
            <w:r>
              <w:t xml:space="preserve"> </w:t>
            </w:r>
            <w:r>
              <w:rPr>
                <w:b/>
                <w:bCs/>
              </w:rPr>
              <w:t xml:space="preserve">pain as primary criterion</w:t>
            </w:r>
            <w:r>
              <w:t xml:space="preserve"> </w:t>
            </w:r>
            <w:r>
              <w:t xml:space="preserve">(evoking pain-based; avoid pain-based) and</w:t>
            </w:r>
            <w:r>
              <w:t xml:space="preserve"> </w:t>
            </w:r>
            <w:r>
              <w:rPr>
                <w:b/>
                <w:bCs/>
              </w:rPr>
              <w:t xml:space="preserve">pain/symptom control as secondary criterion</w:t>
            </w:r>
            <w:r>
              <w:t xml:space="preserve"> </w:t>
            </w:r>
            <w:r>
              <w:t xml:space="preserve">(conditioning stages defined a priori; fatigue-based; subjective perception; temporary linear increase).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  <w:r>
              <w:t xml:space="preserve"> </w:t>
            </w:r>
            <w:r>
              <w:t xml:space="preserve">Concludes pain-based criteria predominate and notes an evidence gap about whether pain-based progression appropriately reflects “capacity,” implying potential mismatch between symptoms and physical capacity for progression decisions.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Notes frequent usage of VISA questionnaires and VAS pain for outcomes and emphasizes that most studies did not measure performance outcomes, limiting capacity-based progression evidence.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Includes RCTs involving</w:t>
            </w:r>
            <w:r>
              <w:t xml:space="preserve"> </w:t>
            </w:r>
            <w:r>
              <w:rPr>
                <w:b/>
                <w:bCs/>
              </w:rPr>
              <w:t xml:space="preserve">midportion Achilles tendinopathy</w:t>
            </w:r>
            <w:r>
              <w:t xml:space="preserve"> </w:t>
            </w:r>
            <w:r>
              <w:t xml:space="preserve">(and other lower-limb tendinopathies); detailed demographics for Achilles subset not extracted in the displayed lines (unspecified here).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Systematic review</w:t>
            </w:r>
            <w:r>
              <w:t xml:space="preserve"> </w:t>
            </w:r>
            <w:r>
              <w:t xml:space="preserve">(BMJ Open) of load progression criteria in lower limb tendinopathy exercise programs; outputs a new classification.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Bas Habets</w:t>
            </w:r>
            <w:hyperlink r:id="rId28">
              <w:r>
                <w:rPr>
                  <w:rStyle w:val="Hyperlink"/>
                </w:rPr>
                <w:t xml:space="preserve">[28]</w:t>
              </w:r>
            </w:hyperlink>
            <w:r>
              <w:t xml:space="preserve"> </w:t>
            </w:r>
            <w:r>
              <w:t xml:space="preserve">et al., open access full text:</w:t>
            </w:r>
            <w:r>
              <w:t xml:space="preserve"> </w:t>
            </w:r>
            <w:r>
              <w:rPr>
                <w:rStyle w:val="VerbatimChar"/>
              </w:rPr>
              <w:t xml:space="preserve">https://pmc.ncbi.nlm.nih.gov/articles/PMC5808052/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Return-to-sport decision factors (not a phased protocol).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that return-to-sport planning after Achilles tendinopathy should consider pain with activity plus recovery of tendon tissue, strength, ROM, function, and sport demands; importantly notes that</w:t>
            </w:r>
            <w:r>
              <w:t xml:space="preserve"> </w:t>
            </w:r>
            <w:r>
              <w:rPr>
                <w:b/>
                <w:bCs/>
              </w:rPr>
              <w:t xml:space="preserve">return-to-sport activity may start before complete absence of symptoms</w:t>
            </w:r>
            <w:r>
              <w:t xml:space="preserve"> </w:t>
            </w:r>
            <w:r>
              <w:t xml:space="preserve">(qualitative criterion).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Highlights the use of Achilles-specific PROMs such as VISA-A in Achilles tendinopathy contexts (discussion-level; numeric thresholds not extracted from visible lines).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Athletes with</w:t>
            </w:r>
            <w:r>
              <w:t xml:space="preserve"> </w:t>
            </w:r>
            <w:r>
              <w:rPr>
                <w:b/>
                <w:bCs/>
              </w:rPr>
              <w:t xml:space="preserve">midportion Achilles tendinopathy</w:t>
            </w:r>
            <w:r>
              <w:t xml:space="preserve"> </w:t>
            </w:r>
            <w:r>
              <w:t xml:space="preserve">(systematic review scope); specific age and sport distribution not extracted from visible lines (unspecified here).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Systematic review</w:t>
            </w:r>
            <w:r>
              <w:t xml:space="preserve"> </w:t>
            </w:r>
            <w:r>
              <w:t xml:space="preserve">addressing return-to-sport factors/criteria in athletes with midportion Achilles tendinopathy.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[29]</w:t>
              </w:r>
            </w:hyperlink>
          </w:p>
        </w:tc>
      </w:tr>
    </w:tbl>
    <w:bookmarkEnd w:id="29"/>
    <w:bookmarkStart w:id="30" w:name="X2f403397217fc2b03c118e15d10d5b882611757"/>
    <w:p>
      <w:pPr>
        <w:pStyle w:val="Heading2"/>
      </w:pPr>
      <w:r>
        <w:t xml:space="preserve">Validated tools and metrics used as progression gates and how they were measured</w:t>
      </w:r>
    </w:p>
    <w:p>
      <w:pPr>
        <w:pStyle w:val="FirstParagraph"/>
      </w:pPr>
      <w:r>
        <w:t xml:space="preserve">Across the phase-structured rehabilitation programs above, progression criteria cluster into three measurement domains: symptom monitoring, tendon-specific patient-reported outcomes, and objective physical-performance testing.</w:t>
      </w:r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Symptom monitoring is typically operationalized using an 11-point numeric pain scale (NPRS) with</w:t>
      </w:r>
      <w:r>
        <w:t xml:space="preserve"> </w:t>
      </w:r>
      <w:r>
        <w:rPr>
          <w:b/>
          <w:bCs/>
        </w:rPr>
        <w:t xml:space="preserve">specific time anchors</w:t>
      </w:r>
      <w:r>
        <w:t xml:space="preserve">. One insertional-Achilles staged program requires pain to remain</w:t>
      </w:r>
      <w:r>
        <w:t xml:space="preserve"> </w:t>
      </w:r>
      <w:r>
        <w:rPr>
          <w:b/>
          <w:bCs/>
        </w:rPr>
        <w:t xml:space="preserve">&lt;5/10 during loading</w:t>
      </w:r>
      <w:r>
        <w:t xml:space="preserve">,</w:t>
      </w:r>
      <w:r>
        <w:t xml:space="preserve"> </w:t>
      </w:r>
      <w:r>
        <w:rPr>
          <w:b/>
          <w:bCs/>
        </w:rPr>
        <w:t xml:space="preserve">1 hour after</w:t>
      </w:r>
      <w:r>
        <w:t xml:space="preserve">, and</w:t>
      </w:r>
      <w:r>
        <w:t xml:space="preserve"> </w:t>
      </w:r>
      <w:r>
        <w:rPr>
          <w:b/>
          <w:bCs/>
        </w:rPr>
        <w:t xml:space="preserve">the next morning</w:t>
      </w:r>
      <w:r>
        <w:t xml:space="preserve">, combined with</w:t>
      </w:r>
      <w:r>
        <w:t xml:space="preserve"> </w:t>
      </w:r>
      <w:r>
        <w:rPr>
          <w:b/>
          <w:bCs/>
        </w:rPr>
        <w:t xml:space="preserve">no week-to-week worsening</w:t>
      </w:r>
      <w:r>
        <w:t xml:space="preserve"> </w:t>
      </w:r>
      <w:r>
        <w:t xml:space="preserve">of average pain/stiffness.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A separate midportion-Achilles protocol uses a stricter pain ceiling of</w:t>
      </w:r>
      <w:r>
        <w:t xml:space="preserve"> </w:t>
      </w:r>
      <w:r>
        <w:rPr>
          <w:b/>
          <w:bCs/>
        </w:rPr>
        <w:t xml:space="preserve">≤4/10</w:t>
      </w:r>
      <w:r>
        <w:t xml:space="preserve"> </w:t>
      </w:r>
      <w:r>
        <w:t xml:space="preserve">during/after sessions to guide progression and integrates additional pain gates such as</w:t>
      </w:r>
      <w:r>
        <w:t xml:space="preserve"> </w:t>
      </w:r>
      <w:r>
        <w:rPr>
          <w:b/>
          <w:bCs/>
        </w:rPr>
        <w:t xml:space="preserve">daily-activity pain &lt;2/10</w:t>
      </w:r>
      <w:r>
        <w:t xml:space="preserve"> </w:t>
      </w:r>
      <w:r>
        <w:t xml:space="preserve">before resuming running exposure.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These criteria align with the broader tendinopathy exercise literature where pain-based progression is common, and stage-based (preplanned loading stages) and symptom trend criteria are also frequently used.</w:t>
      </w:r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Tendon-specific patient-reported outcomes are most frequently implemented using the</w:t>
      </w:r>
      <w:r>
        <w:t xml:space="preserve"> </w:t>
      </w:r>
      <w:r>
        <w:rPr>
          <w:b/>
          <w:bCs/>
        </w:rPr>
        <w:t xml:space="preserve">VISA-A</w:t>
      </w:r>
      <w:r>
        <w:t xml:space="preserve"> </w:t>
      </w:r>
      <w:r>
        <w:t xml:space="preserve">score (0–100, higher is better function/less pain), which is explicitly described as valid and reliable in one study protocol.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However, a more recent RCT explicitly cautions that VISA-A may lack validity and notes that an alternative instrument (TENDINS-A) is now recommended, underscoring that “validation status” is evolving and should be reported alongside any progression framework that relies on PROM thresholds.</w:t>
      </w:r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Importantly, neither of the phase-structured programs above uses a specific VISA-A cutoff as a formal pass/fail gate for phase progression within the extracted text; VISA-A is used primarily for clinical outcome tracking.</w:t>
      </w:r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Objective physical-performance criteria are most explicit in the SSC6 pathway (midportion Achilles), which uses</w:t>
      </w:r>
      <w:r>
        <w:t xml:space="preserve"> </w:t>
      </w:r>
      <w:r>
        <w:rPr>
          <w:b/>
          <w:bCs/>
        </w:rPr>
        <w:t xml:space="preserve">&lt;10% between-limb asymmetry</w:t>
      </w:r>
      <w:r>
        <w:t xml:space="preserve"> </w:t>
      </w:r>
      <w:r>
        <w:t xml:space="preserve">thresholds on two distinct constructs: (a) plantarflexor strength via</w:t>
      </w:r>
      <w:r>
        <w:t xml:space="preserve"> </w:t>
      </w:r>
      <w:r>
        <w:rPr>
          <w:b/>
          <w:bCs/>
        </w:rPr>
        <w:t xml:space="preserve">isokinetic dynamometry</w:t>
      </w:r>
      <w:r>
        <w:t xml:space="preserve">, and (b) reactive strength via</w:t>
      </w:r>
      <w:r>
        <w:t xml:space="preserve"> </w:t>
      </w:r>
      <w:r>
        <w:rPr>
          <w:b/>
          <w:bCs/>
        </w:rPr>
        <w:t xml:space="preserve">reactive strength index (RSI)</w:t>
      </w:r>
      <w:r>
        <w:t xml:space="preserve"> </w:t>
      </w:r>
      <w:r>
        <w:t xml:space="preserve">derived from drop-jump and single-leg reactive tasks, plus hop-based pain criteria (eg, pain caps while completing sets of hops).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The protocol describes the dynamometry configuration (including knee positions used to alter gastrocnemius contribution, joint range, and velocity) and defines RSI as jump height divided by ground contact time.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It also reports pilot reliability characteristics (ICCs) for hop/jump variables, indicating an intent to use metrics that can be measured consistently enough to govern progression decisions.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bookmarkEnd w:id="30"/>
    <w:bookmarkStart w:id="31" w:name="X5093c927ba3fc7caae5906dd32715bbb33918f6"/>
    <w:p>
      <w:pPr>
        <w:pStyle w:val="Heading2"/>
      </w:pPr>
      <w:r>
        <w:t xml:space="preserve">Aggregated synthesis of the most consistently used progression criteria</w:t>
      </w:r>
    </w:p>
    <w:p>
      <w:pPr>
        <w:pStyle w:val="FirstParagraph"/>
      </w:pPr>
      <w:r>
        <w:t xml:space="preserve">Across open-access sources that provide explicit stage/phase criteria, the most convergent progression rules can be summarized as follows.</w:t>
      </w:r>
    </w:p>
    <w:p>
      <w:pPr>
        <w:pStyle w:val="BodyText"/>
      </w:pPr>
      <w:r>
        <w:t xml:space="preserve">Pain ceilings with next-day constraints are the most repeated and operational progression criterion. Both a midportion-Achilles protocol and an insertional-Achilles RCT use numeric caps (≤4/10 or &lt;5/10) and explicitly treat next-day response as part of the criterion, rather than relying only on pain “during” loading.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This aligns with a broader systematic review finding that pain-based progression rules are the predominant approach in lower-limb tendinopathy exercise trials, even though the review emphasizes a knowledge gap about whether pain-based rules accurately reflect underlying “capacity.”</w:t>
      </w:r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Minimum time-in-stage (or time-banded phases) persists even in “criteria-based” pathways. The insertional-Achilles RCT requires each stage to be completed for ≥2 weeks (plus ≥1 week of high-load exposure) and reports a minimum of 8 weeks before return to sport exposure, while the SSC6 pathway is explicitly week-structured at each level (eg, Level 6 extending to 26 weeks as a maintenance period).</w:t>
      </w:r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Objective asymmetry thresholds are present but limited to the most explicitly criteria-based pathway and are consistently set at &lt;10% deficits when used. The SSC6 protocol uses &lt;10% asymmetry for isokinetic strength (a Level 4 entry criterion) and &lt;10% asymmetry for reactive strength index (a Level 5 exit criterion), and also uses hop counts combined with pain caps as gates.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This is the clearest example in the extracted sources where phase progression is tied to objective performance rather than symptoms alone.</w:t>
      </w:r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Return-to-sport decisions are described as multi-factorial and not necessarily symptom-free. The return-to-sport systematic review emphasizes that pain, tendon recovery, strength, ROM, function, and sport demands should all be considered and that return-to-sport activities may begin prior to complete symptom absence—supporting the idea that phase progression criteria should track symptom acceptability and trend rather than require 0/10 pain as a universal gate.</w:t>
      </w:r>
      <w:r>
        <w:t xml:space="preserve"> </w:t>
      </w:r>
      <w:hyperlink r:id="rId28">
        <w:r>
          <w:rPr>
            <w:rStyle w:val="Hyperlink"/>
          </w:rPr>
          <w:t xml:space="preserve">[34]</w:t>
        </w:r>
      </w:hyperlink>
    </w:p>
    <w:bookmarkEnd w:id="31"/>
    <w:bookmarkStart w:id="35" w:name="X045887f406e5ef397fe4fd9289fe298ae47a836"/>
    <w:p>
      <w:pPr>
        <w:pStyle w:val="Heading2"/>
      </w:pPr>
      <w:r>
        <w:t xml:space="preserve">Consolidated phase-specific progression framework with pass/fail thresholds derived from the extracted sources</w:t>
      </w:r>
    </w:p>
    <w:p>
      <w:pPr>
        <w:pStyle w:val="FirstParagraph"/>
      </w:pPr>
      <w:r>
        <w:t xml:space="preserve">The framework below consolidates the phase structures and explicit criteria from the stage-based programs extracted above. It is intentionally written as a “minimum common denominator” that stays within thresholds/test types explicitly stated in the open-access sources, and it separates what is strongly operationalized (pain/time/asymmetry thresholds) from what is described qualitatively (eg, “tolerates well”).</w:t>
      </w:r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</w:p>
    <w:bookmarkStart w:id="32" w:name="phase-definition-mapping-across-sources"/>
    <w:p>
      <w:pPr>
        <w:pStyle w:val="Heading3"/>
      </w:pPr>
      <w:r>
        <w:t xml:space="preserve">Phase definition mapping across sources</w:t>
      </w:r>
    </w:p>
    <w:p>
      <w:pPr>
        <w:pStyle w:val="FirstParagraph"/>
      </w:pPr>
      <w:r>
        <w:t xml:space="preserve">The programs consistently align to a 4-part tendon-loading sequence:</w:t>
      </w:r>
    </w:p>
    <w:p>
      <w:pPr>
        <w:pStyle w:val="BodyText"/>
      </w:pPr>
      <w:r>
        <w:t xml:space="preserve">Isometric capacity (symptom management) → isotonic strength development → energy storage and release (plyometric/reactive) → sport-specific running/jumping with maintenance loading.</w:t>
      </w:r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</w:p>
    <w:bookmarkEnd w:id="32"/>
    <w:bookmarkStart w:id="33" w:name="consolidated-passfail-criteria-by-phase"/>
    <w:p>
      <w:pPr>
        <w:pStyle w:val="Heading3"/>
      </w:pPr>
      <w:r>
        <w:t xml:space="preserve">Consolidated pass/fail criteria by phase</w:t>
      </w:r>
    </w:p>
    <w:p>
      <w:pPr>
        <w:pStyle w:val="FirstParagraph"/>
      </w:pPr>
      <w:r>
        <w:rPr>
          <w:b/>
          <w:bCs/>
        </w:rPr>
        <w:t xml:space="preserve">Phase A: Initiation / symptom management (isometric; low-load activity tolerance)</w:t>
      </w:r>
      <w:r>
        <w:br/>
      </w:r>
      <w:r>
        <w:t xml:space="preserve">Pass criteria supported by extracted programs include: pain during key tendon-loading tasks below a moderate ceiling and stable next-day response. Practically, the explicit rules available are: pain during a representative calf-loading activity should be</w:t>
      </w:r>
      <w:r>
        <w:t xml:space="preserve"> </w:t>
      </w:r>
      <w:r>
        <w:rPr>
          <w:b/>
          <w:bCs/>
        </w:rPr>
        <w:t xml:space="preserve">&lt;5/10</w:t>
      </w:r>
      <w:r>
        <w:t xml:space="preserve"> </w:t>
      </w:r>
      <w:r>
        <w:t xml:space="preserve">(NPRS) and also remain</w:t>
      </w:r>
      <w:r>
        <w:t xml:space="preserve"> </w:t>
      </w:r>
      <w:r>
        <w:rPr>
          <w:b/>
          <w:bCs/>
        </w:rPr>
        <w:t xml:space="preserve">&lt;5/10</w:t>
      </w:r>
      <w:r>
        <w:t xml:space="preserve"> </w:t>
      </w:r>
      <w:r>
        <w:t xml:space="preserve">1 hour post-session and next morning,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average pain/stiffness should not worsen week-to-week.</w:t>
      </w:r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A comparable “stricter” option used in another protocol is</w:t>
      </w:r>
      <w:r>
        <w:t xml:space="preserve"> </w:t>
      </w:r>
      <w:r>
        <w:rPr>
          <w:b/>
          <w:bCs/>
        </w:rPr>
        <w:t xml:space="preserve">≤4/10</w:t>
      </w:r>
      <w:r>
        <w:t xml:space="preserve"> </w:t>
      </w:r>
      <w:r>
        <w:t xml:space="preserve">pain during and within 24 hours after a session.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br/>
      </w:r>
      <w:r>
        <w:t xml:space="preserve">Fail triggers include: exceeding the pain ceiling at any of the defined time anchors or showing week-to-week worsening in pain/stiffness trend.</w:t>
      </w:r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Phase B: Strength development (isotonic/high-load strengthening; reintroduce running exposure when indicated)</w:t>
      </w:r>
      <w:r>
        <w:br/>
      </w:r>
      <w:r>
        <w:t xml:space="preserve">Pass criteria for progression toward reactive/energy-storage loading include both symptom ceilings and (where available) performance criteria. Symptom-based pass: continue to meet</w:t>
      </w:r>
      <w:r>
        <w:t xml:space="preserve"> </w:t>
      </w:r>
      <w:r>
        <w:rPr>
          <w:b/>
          <w:bCs/>
        </w:rPr>
        <w:t xml:space="preserve">NPRS thresholds (≤4/10 or &lt;5/10 with next-day constraints)</w:t>
      </w:r>
      <w:r>
        <w:t xml:space="preserve"> </w:t>
      </w:r>
      <w:r>
        <w:t xml:space="preserve">without week-to-week worsening.</w:t>
      </w:r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br/>
      </w:r>
      <w:r>
        <w:t xml:space="preserve">Objective pass thresholds (when measured) include achieving</w:t>
      </w:r>
      <w:r>
        <w:t xml:space="preserve"> </w:t>
      </w:r>
      <w:r>
        <w:rPr>
          <w:b/>
          <w:bCs/>
        </w:rPr>
        <w:t xml:space="preserve">&lt;10% between-limb deficit</w:t>
      </w:r>
      <w:r>
        <w:t xml:space="preserve"> </w:t>
      </w:r>
      <w:r>
        <w:t xml:space="preserve">on plantarflexor isokinetic testing before advancing into higher reactive demands and/or satisfying pre-reactive hop pain criteria: for example, ability to complete</w:t>
      </w:r>
      <w:r>
        <w:t xml:space="preserve"> </w:t>
      </w:r>
      <w:r>
        <w:rPr>
          <w:b/>
          <w:bCs/>
        </w:rPr>
        <w:t xml:space="preserve">10 double-leg hops with pain &lt;5/10</w:t>
      </w:r>
      <w:r>
        <w:t xml:space="preserve"> </w:t>
      </w:r>
      <w:r>
        <w:t xml:space="preserve">(entry toward reactive-stage content in SSC6).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Return-to-running entry gate explicitly stated in one protocol: begin running exposure when</w:t>
      </w:r>
      <w:r>
        <w:t xml:space="preserve"> </w:t>
      </w:r>
      <w:r>
        <w:rPr>
          <w:b/>
          <w:bCs/>
        </w:rPr>
        <w:t xml:space="preserve">pain during daily activity &lt;2/10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Phase C: Energy storage and release (plyometric/reactive strength; hopping/jumping progressions)</w:t>
      </w:r>
      <w:r>
        <w:br/>
      </w:r>
      <w:r>
        <w:t xml:space="preserve">Pass criteria are most explicit in SSC6: entry toward higher reactive work includes pain and asymmetry gates (eg,</w:t>
      </w:r>
      <w:r>
        <w:t xml:space="preserve"> </w:t>
      </w:r>
      <w:r>
        <w:rPr>
          <w:b/>
          <w:bCs/>
        </w:rPr>
        <w:t xml:space="preserve">pain &lt;5/10 for 10 double-leg hops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&lt;10% strength asymmetry</w:t>
      </w:r>
      <w:r>
        <w:t xml:space="preserve">); later progression includes single-leg hop pain caps and reactive asymmetry thresholds.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Specifically, one stated combination is: progress once the patient can perform</w:t>
      </w:r>
      <w:r>
        <w:t xml:space="preserve"> </w:t>
      </w:r>
      <w:r>
        <w:rPr>
          <w:b/>
          <w:bCs/>
        </w:rPr>
        <w:t xml:space="preserve">10 single-leg hops with pain &lt;4/10</w:t>
      </w:r>
      <w:r>
        <w:t xml:space="preserve">, and then ultimately meet</w:t>
      </w:r>
      <w:r>
        <w:t xml:space="preserve"> </w:t>
      </w:r>
      <w:r>
        <w:rPr>
          <w:b/>
          <w:bCs/>
        </w:rPr>
        <w:t xml:space="preserve">&lt;10% asymmetry</w:t>
      </w:r>
      <w:r>
        <w:t xml:space="preserve"> </w:t>
      </w:r>
      <w:r>
        <w:t xml:space="preserve">in single-leg vertical and horizontal RSI to exit the reactive stage.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br/>
      </w:r>
      <w:r>
        <w:t xml:space="preserve">Fail triggers include inability to meet hop-count pain caps or return of a worsening week-to-week pain/stiffness trend.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Phase D: Sport-specific return to running/jumping with maintenance loading</w:t>
      </w:r>
      <w:r>
        <w:br/>
      </w:r>
      <w:r>
        <w:t xml:space="preserve">The insertional-Achilles RCT provides explicit sport-phase implementation and progression constraints: running/jumping is performed every</w:t>
      </w:r>
      <w:r>
        <w:t xml:space="preserve"> </w:t>
      </w:r>
      <w:r>
        <w:rPr>
          <w:b/>
          <w:bCs/>
        </w:rPr>
        <w:t xml:space="preserve">2–3 days</w:t>
      </w:r>
      <w:r>
        <w:t xml:space="preserve">, and the same symptom criteria apply (pain &lt;5/10 during, 1 hour after, next morning; no week-to-week worsening).</w:t>
      </w:r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It also includes structured minimum exposure logic (≥2 weeks per stage; ≥1 week of high-load work; minimum 8 weeks before return to sport), which can be treated as “time-based guardrails” even when objective testing is used.</w:t>
      </w:r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br/>
      </w:r>
      <w:r>
        <w:t xml:space="preserve">A qualitative return-to-sport principle from the athlete-focused systematic review is that sport participation may resume before complete symptom resolution, reinforcing that the pass criteria should prioritize symptom acceptability and trend rather than zero pain.</w:t>
      </w:r>
      <w:r>
        <w:t xml:space="preserve"> </w:t>
      </w:r>
      <w:hyperlink r:id="rId28">
        <w:r>
          <w:rPr>
            <w:rStyle w:val="Hyperlink"/>
          </w:rPr>
          <w:t xml:space="preserve">[29]</w:t>
        </w:r>
      </w:hyperlink>
    </w:p>
    <w:bookmarkEnd w:id="33"/>
    <w:bookmarkStart w:id="34" w:name="X15273def8934bba8541454b5b82b9f5b3be2c62"/>
    <w:p>
      <w:pPr>
        <w:pStyle w:val="Heading3"/>
      </w:pPr>
      <w:r>
        <w:t xml:space="preserve">Insertional vs midportion Achilles implementation note derived from the RCT evidence</w:t>
      </w:r>
    </w:p>
    <w:p>
      <w:pPr>
        <w:pStyle w:val="FirstParagraph"/>
      </w:pPr>
      <w:r>
        <w:t xml:space="preserve">For insertional Achilles tendinopathy, the RCT explicitly distinguishes program delivery by the degree of dorsiflexion allowed (compression management) while keeping the same 4-stage progression logic, indicating that clinicians may need to treat</w:t>
      </w:r>
      <w:r>
        <w:t xml:space="preserve"> </w:t>
      </w:r>
      <w:r>
        <w:rPr>
          <w:b/>
          <w:bCs/>
        </w:rPr>
        <w:t xml:space="preserve">exercise positioning (compression exposure)</w:t>
      </w:r>
      <w:r>
        <w:t xml:space="preserve"> </w:t>
      </w:r>
      <w:r>
        <w:t xml:space="preserve">as a parallel “constraint” alongside standard tendon-loading progression criteria.</w:t>
      </w:r>
      <w:r>
        <w:t xml:space="preserve"> </w:t>
      </w:r>
      <w:hyperlink r:id="rId23">
        <w:r>
          <w:rPr>
            <w:rStyle w:val="Hyperlink"/>
          </w:rPr>
          <w:t xml:space="preserve">[4]</w:t>
        </w:r>
      </w:hyperlink>
    </w:p>
    <w:bookmarkEnd w:id="34"/>
    <w:bookmarkEnd w:id="35"/>
    <w:bookmarkStart w:id="36" w:name="Xdb8527c9f3b9a900f63fa67ad59a636fa3116c6"/>
    <w:p>
      <w:pPr>
        <w:pStyle w:val="Heading2"/>
      </w:pPr>
      <w:r>
        <w:t xml:space="preserve">Mermaid flowchart of phases and progression decision points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A[Phase A: initiation / isometric capacity] --&gt; B{Pass symptom gates?}</w:t>
      </w:r>
      <w:r>
        <w:br/>
      </w:r>
      <w:r>
        <w:rPr>
          <w:rStyle w:val="VerbatimChar"/>
        </w:rPr>
        <w:t xml:space="preserve">  B --&gt;|YES| C[Phase B: isotonic strength development]</w:t>
      </w:r>
      <w:r>
        <w:br/>
      </w:r>
      <w:r>
        <w:rPr>
          <w:rStyle w:val="VerbatimChar"/>
        </w:rPr>
        <w:t xml:space="preserve">  B --&gt;|NO| A</w:t>
      </w:r>
      <w:r>
        <w:br/>
      </w:r>
      <w:r>
        <w:br/>
      </w:r>
      <w:r>
        <w:rPr>
          <w:rStyle w:val="VerbatimChar"/>
        </w:rPr>
        <w:t xml:space="preserve">  C --&gt; D{Ready to add running exposure?}</w:t>
      </w:r>
      <w:r>
        <w:br/>
      </w:r>
      <w:r>
        <w:rPr>
          <w:rStyle w:val="VerbatimChar"/>
        </w:rPr>
        <w:t xml:space="preserve">  D --&gt;|Daily activity pain &lt; 2/10| E[Introduce running in Phase B (dose managed)]</w:t>
      </w:r>
      <w:r>
        <w:br/>
      </w:r>
      <w:r>
        <w:rPr>
          <w:rStyle w:val="VerbatimChar"/>
        </w:rPr>
        <w:t xml:space="preserve">  D --&gt;|Not yet| C</w:t>
      </w:r>
      <w:r>
        <w:br/>
      </w:r>
      <w:r>
        <w:br/>
      </w:r>
      <w:r>
        <w:rPr>
          <w:rStyle w:val="VerbatimChar"/>
        </w:rPr>
        <w:t xml:space="preserve">  C --&gt; F{Ready for energy storage &amp; release?}</w:t>
      </w:r>
      <w:r>
        <w:br/>
      </w:r>
      <w:r>
        <w:rPr>
          <w:rStyle w:val="VerbatimChar"/>
        </w:rPr>
        <w:t xml:space="preserve">  F --&gt;|Meets pain ceiling and stable next-day response| G[Phase C: energy storage &amp; release]</w:t>
      </w:r>
      <w:r>
        <w:br/>
      </w:r>
      <w:r>
        <w:rPr>
          <w:rStyle w:val="VerbatimChar"/>
        </w:rPr>
        <w:t xml:space="preserve">  F --&gt;|NO| C</w:t>
      </w:r>
      <w:r>
        <w:br/>
      </w:r>
      <w:r>
        <w:br/>
      </w:r>
      <w:r>
        <w:rPr>
          <w:rStyle w:val="VerbatimChar"/>
        </w:rPr>
        <w:t xml:space="preserve">  G --&gt; H{Objective criteria available?}</w:t>
      </w:r>
      <w:r>
        <w:br/>
      </w:r>
      <w:r>
        <w:rPr>
          <w:rStyle w:val="VerbatimChar"/>
        </w:rPr>
        <w:t xml:space="preserve">  H --&gt;|YES: &lt;10% strength/RSI deficits + hop pain caps met| I[Phase D: running/jumping sport-specific]</w:t>
      </w:r>
      <w:r>
        <w:br/>
      </w:r>
      <w:r>
        <w:rPr>
          <w:rStyle w:val="VerbatimChar"/>
        </w:rPr>
        <w:t xml:space="preserve">  H --&gt;|NO: symptom-gated only| I</w:t>
      </w:r>
      <w:r>
        <w:br/>
      </w:r>
      <w:r>
        <w:br/>
      </w:r>
      <w:r>
        <w:rPr>
          <w:rStyle w:val="VerbatimChar"/>
        </w:rPr>
        <w:t xml:space="preserve">  I --&gt; J{Symptoms stable week-to-week?}</w:t>
      </w:r>
      <w:r>
        <w:br/>
      </w:r>
      <w:r>
        <w:rPr>
          <w:rStyle w:val="VerbatimChar"/>
        </w:rPr>
        <w:t xml:space="preserve">  J --&gt;|YES| K[Advance sport-specific volume/intensity every 2–3 days + maintain heavy loading]</w:t>
      </w:r>
      <w:r>
        <w:br/>
      </w:r>
      <w:r>
        <w:rPr>
          <w:rStyle w:val="VerbatimChar"/>
        </w:rPr>
        <w:t xml:space="preserve">  J --&gt;|NO| L[Reduce load / regress stage and reassess next week]</w:t>
      </w:r>
      <w:r>
        <w:br/>
      </w:r>
      <w:r>
        <w:rPr>
          <w:rStyle w:val="VerbatimChar"/>
        </w:rPr>
        <w:t xml:space="preserve">  L --&gt; A</w:t>
      </w:r>
    </w:p>
    <w:bookmarkEnd w:id="36"/>
    <w:bookmarkStart w:id="37" w:name="limitations-and-research-gaps"/>
    <w:p>
      <w:pPr>
        <w:pStyle w:val="Heading2"/>
      </w:pPr>
      <w:r>
        <w:t xml:space="preserve">Limitations and research gaps</w:t>
      </w:r>
    </w:p>
    <w:p>
      <w:pPr>
        <w:pStyle w:val="FirstParagraph"/>
      </w:pPr>
      <w:r>
        <w:t xml:space="preserve">Even within open-access, peer-reviewed sources, explicit phase progression criteria are inconsistently reported, and a systematic review of tendinopathy exercise trials highlights that progression is most often pain-based rather than capacity-based, with limited evidence testing whether pain-based criteria appropriately reflect tendon/neuromuscular capacity.</w:t>
      </w:r>
      <w:r>
        <w:t xml:space="preserve"> </w:t>
      </w:r>
      <w:hyperlink r:id="rId2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This limitation is echoed indirectly in the midportion-Achilles RCT protocol rationale, which states that there is a lack of consensus on how to assess reactive strength qualities to guide progression and return-to-sport decisions and motivates a criteria-based approach built on objective strength/reactive targets.</w:t>
      </w:r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t xml:space="preserve">Return-to-sport decision-making is frequently described as multi-factorial yet under-quantified, with at least one athlete-focused review noting that return-to-sport may begin prior to complete symptom absence but without establishing a single, universally adopted numeric threshold set.</w:t>
      </w:r>
      <w:r>
        <w:t xml:space="preserve"> </w:t>
      </w:r>
      <w:hyperlink r:id="rId28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This creates practical friction for clinicians and runners: programs with explicit numeric criteria exist (eg, hop pain caps, &lt;10% asymmetry cutoffs), but are relatively rare compared with protocols that rely on pain-monitoring or time-based progression alone.</w:t>
      </w:r>
      <w:r>
        <w:t xml:space="preserve"> </w:t>
      </w:r>
      <w:hyperlink r:id="rId22">
        <w:r>
          <w:rPr>
            <w:rStyle w:val="Hyperlink"/>
          </w:rPr>
          <w:t xml:space="preserve">[40]</w:t>
        </w:r>
      </w:hyperlink>
    </w:p>
    <w:bookmarkEnd w:id="37"/>
    <w:bookmarkEnd w:id="38"/>
    <w:bookmarkEnd w:id="39"/>
    <w:p>
      <w:r>
        <w:pict>
          <v:rect style="width:0;height:1.5pt" o:hralign="center" o:hrstd="t" o:hr="t"/>
        </w:pict>
      </w:r>
    </w:p>
    <w:bookmarkStart w:id="4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A criteria-based rehabilitation program for chronic mid-portion Achilles tendinopathy: study protocol for a randomised controlled trial | BMC Musculoskeletal Disorders | Springer Nature Link</w:t>
      </w:r>
    </w:p>
    <w:p>
      <w:pPr>
        <w:pStyle w:val="BodyText"/>
      </w:pPr>
      <w:hyperlink r:id="rId21">
        <w:r>
          <w:rPr>
            <w:rStyle w:val="Hyperlink"/>
          </w:rPr>
          <w:t xml:space="preserve">https://link.springer.com/article/10.1186/s12891-021-04553-6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hyperlink r:id="rId22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Table 2 | A criteria-based rehabilitation program for chronic mid-portion Achilles tendinopathy: study protocol for a randomised controlled trial | BMC Musculoskeletal Disorders | Springer Nature Link</w:t>
      </w:r>
    </w:p>
    <w:p>
      <w:pPr>
        <w:pStyle w:val="BodyText"/>
      </w:pPr>
      <w:hyperlink r:id="rId22">
        <w:r>
          <w:rPr>
            <w:rStyle w:val="Hyperlink"/>
          </w:rPr>
          <w:t xml:space="preserve">https://link.springer.com/article/10.1186/s12891-021-04553-6/tables/2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23">
        <w:r>
          <w:rPr>
            <w:rStyle w:val="Hyperlink"/>
          </w:rPr>
          <w:t xml:space="preserve">[8]</w:t>
        </w:r>
      </w:hyperlink>
      <w:r>
        <w:t xml:space="preserve"> </w:t>
      </w:r>
      <w:hyperlink r:id="rId23">
        <w:r>
          <w:rPr>
            <w:rStyle w:val="Hyperlink"/>
          </w:rPr>
          <w:t xml:space="preserve">[9]</w:t>
        </w:r>
      </w:hyperlink>
      <w:r>
        <w:t xml:space="preserve"> </w:t>
      </w:r>
      <w:hyperlink r:id="rId23">
        <w:r>
          <w:rPr>
            <w:rStyle w:val="Hyperlink"/>
          </w:rPr>
          <w:t xml:space="preserve">[10]</w:t>
        </w:r>
      </w:hyperlink>
      <w:r>
        <w:t xml:space="preserve"> </w:t>
      </w:r>
      <w:hyperlink r:id="rId23">
        <w:r>
          <w:rPr>
            <w:rStyle w:val="Hyperlink"/>
          </w:rPr>
          <w:t xml:space="preserve">[11]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[13]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hyperlink r:id="rId23">
        <w:r>
          <w:rPr>
            <w:rStyle w:val="Hyperlink"/>
          </w:rPr>
          <w:t xml:space="preserve">[30]</w:t>
        </w:r>
      </w:hyperlink>
      <w:r>
        <w:t xml:space="preserve"> </w:t>
      </w:r>
      <w:hyperlink r:id="rId23">
        <w:r>
          <w:rPr>
            <w:rStyle w:val="Hyperlink"/>
          </w:rPr>
          <w:t xml:space="preserve">[31]</w:t>
        </w:r>
      </w:hyperlink>
      <w:r>
        <w:t xml:space="preserve"> </w:t>
      </w:r>
      <w:hyperlink r:id="rId23">
        <w:r>
          <w:rPr>
            <w:rStyle w:val="Hyperlink"/>
          </w:rPr>
          <w:t xml:space="preserve">[32]</w:t>
        </w:r>
      </w:hyperlink>
      <w:r>
        <w:t xml:space="preserve"> </w:t>
      </w:r>
      <w:hyperlink r:id="rId23">
        <w:r>
          <w:rPr>
            <w:rStyle w:val="Hyperlink"/>
          </w:rPr>
          <w:t xml:space="preserve">[35]</w:t>
        </w:r>
      </w:hyperlink>
      <w:r>
        <w:t xml:space="preserve"> </w:t>
      </w:r>
      <w:hyperlink r:id="rId23">
        <w:r>
          <w:rPr>
            <w:rStyle w:val="Hyperlink"/>
          </w:rPr>
          <w:t xml:space="preserve">[36]</w:t>
        </w:r>
      </w:hyperlink>
      <w:r>
        <w:t xml:space="preserve"> </w:t>
      </w:r>
      <w:hyperlink r:id="rId2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(PDF) Effectiveness of reducing tendon compression in the rehabilitation of insertional Achilles tendinopathy: a randomised clinical trial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https://www.researchgate.net/publication/389376341_Effectiveness_of_reducing_tendon_compression_in_the_rehabilitation_of_insertional_Achilles_tendinopathy_a_randomised_clinical_trial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[16]</w:t>
        </w:r>
      </w:hyperlink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Table 1 | A criteria-based rehabilitation program for chronic mid-portion Achilles tendinopathy: study protocol for a randomised controlled trial | BMC Musculoskeletal Disorders | Springer Nature Link</w:t>
      </w:r>
    </w:p>
    <w:p>
      <w:pPr>
        <w:pStyle w:val="BodyText"/>
      </w:pPr>
      <w:hyperlink r:id="rId26">
        <w:r>
          <w:rPr>
            <w:rStyle w:val="Hyperlink"/>
          </w:rPr>
          <w:t xml:space="preserve">https://link.springer.com/article/10.1186/s12891-021-04553-6/tables/1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 </w:t>
      </w:r>
      <w:r>
        <w:t xml:space="preserve">Load progression criteria in exercise programmes in lower limb tendinopathy: a systematic review - PMC</w:t>
      </w:r>
      <w:r>
        <w:t xml:space="preserve"> </w:t>
      </w:r>
    </w:p>
    <w:p>
      <w:pPr>
        <w:pStyle w:val="BodyText"/>
      </w:pPr>
      <w:hyperlink r:id="rId27">
        <w:r>
          <w:rPr>
            <w:rStyle w:val="Hyperlink"/>
          </w:rPr>
          <w:t xml:space="preserve">https://pmc.ncbi.nlm.nih.gov/articles/PMC7678382/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[28]</w:t>
        </w:r>
      </w:hyperlink>
      <w:r>
        <w:t xml:space="preserve"> </w:t>
      </w:r>
      <w:hyperlink r:id="rId28">
        <w:r>
          <w:rPr>
            <w:rStyle w:val="Hyperlink"/>
          </w:rPr>
          <w:t xml:space="preserve">[29]</w:t>
        </w:r>
      </w:hyperlink>
      <w:r>
        <w:t xml:space="preserve"> </w:t>
      </w:r>
      <w:hyperlink r:id="rId28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Return to Sport in Athletes with Midportion Achilles ... - PMC</w:t>
      </w:r>
    </w:p>
    <w:p>
      <w:pPr>
        <w:pStyle w:val="BodyText"/>
      </w:pPr>
      <w:hyperlink r:id="rId28">
        <w:r>
          <w:rPr>
            <w:rStyle w:val="Hyperlink"/>
          </w:rPr>
          <w:t xml:space="preserve">https://pmc.ncbi.nlm.nih.gov/articles/PMC5808052/?utm_source=chatgpt.com</w:t>
        </w:r>
      </w:hyperlink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ink.springer.com/article/10.1186/s12891-021-04553-6" TargetMode="External" /><Relationship Type="http://schemas.openxmlformats.org/officeDocument/2006/relationships/hyperlink" Id="rId26" Target="https://link.springer.com/article/10.1186/s12891-021-04553-6/tables/1" TargetMode="External" /><Relationship Type="http://schemas.openxmlformats.org/officeDocument/2006/relationships/hyperlink" Id="rId22" Target="https://link.springer.com/article/10.1186/s12891-021-04553-6/tables/2" TargetMode="External" /><Relationship Type="http://schemas.openxmlformats.org/officeDocument/2006/relationships/hyperlink" Id="rId28" Target="https://pmc.ncbi.nlm.nih.gov/articles/PMC5808052/?utm_source=chatgpt.com" TargetMode="External" /><Relationship Type="http://schemas.openxmlformats.org/officeDocument/2006/relationships/hyperlink" Id="rId27" Target="https://pmc.ncbi.nlm.nih.gov/articles/PMC7678382/" TargetMode="External" /><Relationship Type="http://schemas.openxmlformats.org/officeDocument/2006/relationships/hyperlink" Id="rId23" Target="https://www.researchgate.net/publication/389376341_Effectiveness_of_reducing_tendon_compression_in_the_rehabilitation_of_insertional_Achilles_tendinopathy_a_randomised_clinical_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link.springer.com/article/10.1186/s12891-021-04553-6" TargetMode="External" /><Relationship Type="http://schemas.openxmlformats.org/officeDocument/2006/relationships/hyperlink" Id="rId26" Target="https://link.springer.com/article/10.1186/s12891-021-04553-6/tables/1" TargetMode="External" /><Relationship Type="http://schemas.openxmlformats.org/officeDocument/2006/relationships/hyperlink" Id="rId22" Target="https://link.springer.com/article/10.1186/s12891-021-04553-6/tables/2" TargetMode="External" /><Relationship Type="http://schemas.openxmlformats.org/officeDocument/2006/relationships/hyperlink" Id="rId28" Target="https://pmc.ncbi.nlm.nih.gov/articles/PMC5808052/?utm_source=chatgpt.com" TargetMode="External" /><Relationship Type="http://schemas.openxmlformats.org/officeDocument/2006/relationships/hyperlink" Id="rId27" Target="https://pmc.ncbi.nlm.nih.gov/articles/PMC7678382/" TargetMode="External" /><Relationship Type="http://schemas.openxmlformats.org/officeDocument/2006/relationships/hyperlink" Id="rId23" Target="https://www.researchgate.net/publication/389376341_Effectiveness_of_reducing_tendon_compression_in_the_rehabilitation_of_insertional_Achilles_tendinopathy_a_randomised_clinical_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2026-03-31T02:13:52Z</dcterms:created>
  <dcterms:modified xsi:type="dcterms:W3CDTF">2026-03-31T02:13:52Z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