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rFonts w:ascii="Times New Roman" w:cs="Times New Roman" w:eastAsia="Times New Roman" w:hAnsi="Times New Roman"/>
          <w:b w:val="1"/>
          <w:color w:val="98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color w:val="800000"/>
          <w:sz w:val="32"/>
          <w:szCs w:val="32"/>
        </w:rPr>
        <w:drawing>
          <wp:inline distB="114300" distT="114300" distL="114300" distR="114300">
            <wp:extent cx="1119188" cy="68643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88" cy="68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b w:val="1"/>
          <w:color w:val="800000"/>
          <w:sz w:val="32"/>
          <w:szCs w:val="32"/>
          <w:rtl w:val="0"/>
        </w:rPr>
        <w:t xml:space="preserve">         </w:t>
      </w:r>
      <w:r w:rsidDel="00000000" w:rsidR="00000000" w:rsidRPr="00000000">
        <w:rPr>
          <w:rFonts w:ascii="Garamond" w:cs="Garamond" w:eastAsia="Garamond" w:hAnsi="Garamond"/>
          <w:b w:val="1"/>
          <w:color w:val="800000"/>
          <w:sz w:val="32"/>
          <w:szCs w:val="32"/>
        </w:rPr>
        <w:drawing>
          <wp:inline distB="114300" distT="114300" distL="114300" distR="114300">
            <wp:extent cx="914400" cy="400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b w:val="1"/>
          <w:color w:val="800000"/>
          <w:sz w:val="32"/>
          <w:szCs w:val="32"/>
          <w:rtl w:val="0"/>
        </w:rPr>
        <w:t xml:space="preserve">           </w:t>
      </w:r>
      <w:r w:rsidDel="00000000" w:rsidR="00000000" w:rsidRPr="00000000">
        <w:rPr>
          <w:rFonts w:ascii="Garamond" w:cs="Garamond" w:eastAsia="Garamond" w:hAnsi="Garamond"/>
          <w:b w:val="1"/>
          <w:color w:val="800000"/>
          <w:sz w:val="32"/>
          <w:szCs w:val="32"/>
        </w:rPr>
        <w:drawing>
          <wp:inline distB="19050" distT="19050" distL="19050" distR="19050">
            <wp:extent cx="1243013" cy="36679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366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Reference document 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Topothek @ Computer Vision (CV)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bookmarkStart w:colFirst="0" w:colLast="0" w:name="_i3kllsqt80yi" w:id="0"/>
      <w:bookmarkEnd w:id="0"/>
      <w:r w:rsidDel="00000000" w:rsidR="00000000" w:rsidRPr="00000000">
        <w:rPr>
          <w:rtl w:val="0"/>
        </w:rPr>
        <w:t xml:space="preserve">Inventory of Topothek Data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98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 processed: 2018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Processed by: Jose Luis Preza Diaz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to results: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superset.acdh-dev.oeaw.ac.at/superset/dashboard/40/?preselect_filters=%7B%22299%22%3A%7B%22category%22%3A%5B%22IMAGE%22%5D%2C%22mediumtype%22%3A%5B%22PHOTOGRAPH%22%5D%2C%22__time_col%22%3A%22upload_date%22%2C%22__from%22%3A%22%22%2C%22__to%22%3A%22%22%7D%2C%22301%22%3A%7B%22topothek%22%3A%5B%22Leobendorf%22%2C%22Waxenberg%22%2C%22Vitis%22%5D%7D%2C%22302%22%3A%7B%22topothek%22%3A%5B%5D%7D%7D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