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60"/>
        <w:rPr>
          <w:rFonts w:ascii="Calibri" w:hAnsi="Calibri" w:cs="Calibri"/>
          <w:i w:val="false"/>
          <w:i w:val="false"/>
          <w:sz w:val="32"/>
          <w:szCs w:val="32"/>
          <w:lang w:val="en-US"/>
        </w:rPr>
      </w:pPr>
      <w:r>
        <w:rPr>
          <w:rFonts w:cs="Calibri" w:ascii="Calibri" w:hAnsi="Calibri"/>
          <w:i w:val="false"/>
          <w:sz w:val="32"/>
          <w:szCs w:val="32"/>
          <w:lang w:val="en-US"/>
        </w:rPr>
        <w:t>7. Risk analysis and prevention.</w:t>
      </w:r>
    </w:p>
    <w:p>
      <w:pPr>
        <w:pStyle w:val="Normal"/>
        <w:spacing w:before="0" w:after="120"/>
        <w:rPr>
          <w:rFonts w:ascii="Calibri" w:hAnsi="Calibri" w:cs="Calibri"/>
          <w:lang w:val="en-US"/>
        </w:rPr>
      </w:pPr>
      <w:r>
        <w:rPr>
          <w:rFonts w:cs="Calibri" w:ascii="Calibri" w:hAnsi="Calibri"/>
          <w:lang w:val="en-US"/>
        </w:rPr>
        <w:t xml:space="preserve">Jan Johansson and Bo Johansson, </w:t>
      </w:r>
    </w:p>
    <w:p>
      <w:pPr>
        <w:pStyle w:val="Normal"/>
        <w:spacing w:before="0" w:after="120"/>
        <w:rPr>
          <w:rFonts w:ascii="Calibri" w:hAnsi="Calibri" w:cs="Calibri"/>
          <w:lang w:val="en-US"/>
        </w:rPr>
      </w:pPr>
      <w:r>
        <w:rPr>
          <w:rFonts w:cs="Calibri" w:ascii="Calibri" w:hAnsi="Calibri"/>
          <w:lang w:val="en-US"/>
        </w:rPr>
        <w:t xml:space="preserve">A heavy responsibility for safe mines lays on the mine planners’ shoulders. They must find solutions that promote high productivity and good economy as well as safety and a healthy work environment. The mine planners will initially shape the general and specific work environment for miners for many years to come. If the planners design a poor solution and it is necessary to redesign it, it will also probably be very expensive to correct after it has been implemented. </w:t>
      </w:r>
    </w:p>
    <w:p>
      <w:pPr>
        <w:pStyle w:val="Normal"/>
        <w:spacing w:before="0" w:after="120"/>
        <w:rPr>
          <w:rFonts w:ascii="Calibri" w:hAnsi="Calibri" w:cs="Calibri"/>
          <w:lang w:val="en-US"/>
        </w:rPr>
      </w:pPr>
      <w:r>
        <w:rPr>
          <w:rFonts w:cs="Calibri" w:ascii="Calibri" w:hAnsi="Calibri"/>
          <w:lang w:val="en-US"/>
        </w:rPr>
        <w:t>Work environment and safety issues are unfortunately often left quite unattended in the early stages of mine planning and design when they instead should be systematically highlighted and developed from the very first planning steps. The best and most efficient way to gain safety is through proactive planning instead of reactive corrective actions. It is also the best way to reduce the associated costs for risk elimination and reduction.</w:t>
      </w:r>
    </w:p>
    <w:p>
      <w:pPr>
        <w:pStyle w:val="Normal"/>
        <w:spacing w:before="0" w:after="120"/>
        <w:rPr>
          <w:rFonts w:ascii="Calibri" w:hAnsi="Calibri" w:cs="Calibri"/>
          <w:lang w:val="en-US"/>
        </w:rPr>
      </w:pPr>
      <w:r>
        <w:rPr>
          <w:rFonts w:cs="Calibri" w:ascii="Calibri" w:hAnsi="Calibri"/>
          <w:lang w:val="en-US"/>
        </w:rPr>
        <w:t xml:space="preserve">The mine planner is however not alone, he or she works in a company context where safety climate and culture, safety policy and safety management have a strong influence on how well the planner can succeed in his or her work. </w:t>
      </w:r>
    </w:p>
    <w:p>
      <w:pPr>
        <w:pStyle w:val="Normal"/>
        <w:spacing w:before="0" w:after="120"/>
        <w:rPr>
          <w:rFonts w:ascii="Calibri" w:hAnsi="Calibri" w:cs="Calibri"/>
          <w:lang w:val="en-US"/>
        </w:rPr>
      </w:pPr>
      <w:r>
        <w:rPr>
          <w:rFonts w:cs="Calibri" w:ascii="Calibri" w:hAnsi="Calibri"/>
          <w:lang w:val="en-US"/>
        </w:rPr>
        <w:t>The slogan “Safety first” has been heard in the mining business for many decades but is still in many cases no more than a slogan since safety first is not fully practiced, especially if the business has financial problems. It seems however that the times are changing and many mining companies are now making great efforts to improve their safety climate and safety culture. Research on safety has shown that at positive safety climate and well developed safety culture is an important requisite for a healthy and safe work environment, especially in heavy industries.</w:t>
      </w:r>
    </w:p>
    <w:p>
      <w:pPr>
        <w:pStyle w:val="Normal"/>
        <w:spacing w:before="0" w:after="120"/>
        <w:rPr/>
      </w:pPr>
      <w:r>
        <w:rPr>
          <w:rFonts w:cs="Calibri" w:ascii="Calibri" w:hAnsi="Calibri"/>
          <w:lang w:val="en-US"/>
        </w:rPr>
        <w:t>In order to manage the risks in the business every mining company is also in need of a strategic long-term policy regarding how to deal with safety issues and strive for better work conditions. The safety policy shall direct and establish systematic ways to manage (plan, steer and control) the safety work, also including early planning and design activities.</w:t>
      </w:r>
    </w:p>
    <w:p>
      <w:pPr>
        <w:pStyle w:val="Normal"/>
        <w:spacing w:before="0" w:after="120"/>
        <w:rPr>
          <w:rFonts w:ascii="Calibri" w:hAnsi="Calibri" w:cs="Calibri"/>
          <w:lang w:val="en-US"/>
        </w:rPr>
      </w:pPr>
      <w:r>
        <w:rPr>
          <w:rFonts w:cs="Calibri" w:ascii="Calibri" w:hAnsi="Calibri"/>
          <w:lang w:val="en-US"/>
        </w:rPr>
        <w:t>Because mining is a very risky business it has to follow and obey a lot of directives, laws and provisions. Most of these rules only stipulate minimum demands and the companies are free to exceed them. This is also what mine planners should aim at, exceeding minimum demands. A first step for a mine planner is therefore to get acquainted with the national and international (ie EU regulations) system of rules and basic demands. Many of these demands are provided by the national or EU authorities. This has to be done in a thorough way in each country there are quite a large number of directives, laws and provisions that regulate and give guidelines for health and safety issues in underground mining.</w:t>
      </w:r>
    </w:p>
    <w:p>
      <w:pPr>
        <w:pStyle w:val="Normal"/>
        <w:spacing w:before="0" w:after="120"/>
        <w:rPr/>
      </w:pPr>
      <w:r>
        <w:rPr>
          <w:rFonts w:cs="Calibri" w:ascii="Calibri" w:hAnsi="Calibri"/>
          <w:lang w:val="en-US"/>
        </w:rPr>
        <w:t xml:space="preserve">The basis for all activities in systematic health and safety work shall always be an initial thorough risk assessment both of the present state and a future planned state. It is of course easier to assess present or historical risks than future risks, especially if the future holds large changes in technology and or work organization. Still a mine planner needs to assess the risks with different mining concepts that are developed and planned. </w:t>
      </w:r>
    </w:p>
    <w:p>
      <w:pPr>
        <w:pStyle w:val="Normal"/>
        <w:spacing w:before="0" w:after="120"/>
        <w:rPr>
          <w:rFonts w:ascii="Calibri" w:hAnsi="Calibri" w:cs="Calibri"/>
          <w:lang w:val="en-US"/>
        </w:rPr>
      </w:pPr>
      <w:r>
        <w:rPr>
          <w:rFonts w:cs="Calibri" w:ascii="Calibri" w:hAnsi="Calibri"/>
          <w:lang w:val="en-US"/>
        </w:rPr>
        <w:t>Mining might develop in a revolutionary way, but will most probably develop in another way, in an evolutionary way. This means that much can be learned from history and from the present state. Thorough evaluations of present and historic designs have for example systematically been used by the Swedish mining company LKAB in the design of their newest main level at 1365 m below surface. This evaluation has been very important since the time span from the first conceptual designs to the final solutions has stretched over 12 years and a large number of planners.</w:t>
      </w:r>
    </w:p>
    <w:p>
      <w:pPr>
        <w:pStyle w:val="Normal"/>
        <w:spacing w:before="0" w:after="120"/>
        <w:rPr>
          <w:rFonts w:ascii="Calibri" w:hAnsi="Calibri" w:cs="Calibri"/>
          <w:lang w:val="en-US"/>
        </w:rPr>
      </w:pPr>
      <w:r>
        <w:rPr>
          <w:rFonts w:cs="Calibri" w:ascii="Calibri" w:hAnsi="Calibri"/>
          <w:lang w:val="en-US"/>
        </w:rPr>
        <w:t>Risk assessments can be performed in number of ways depending on the situation and circumstances. All risk assessment shall however be based on probability and consequence for unwanted events. A practical tool for this purpose is a risk matrix that eases a systematic and consequent risk assessment, se below.</w:t>
      </w:r>
    </w:p>
    <w:p>
      <w:pPr>
        <w:pStyle w:val="Normal"/>
        <w:rPr>
          <w:rFonts w:ascii="Calibri" w:hAnsi="Calibri" w:cs="Calibri"/>
          <w:lang w:val="en-US"/>
        </w:rPr>
      </w:pPr>
      <w:r>
        <w:rPr>
          <w:rFonts w:cs="Calibri" w:ascii="Calibri" w:hAnsi="Calibri"/>
          <w:lang w:val="en-US"/>
        </w:rPr>
      </w:r>
    </w:p>
    <w:tbl>
      <w:tblPr>
        <w:tblW w:w="9377" w:type="dxa"/>
        <w:jc w:val="left"/>
        <w:tblInd w:w="0" w:type="dxa"/>
        <w:tblCellMar>
          <w:top w:w="72" w:type="dxa"/>
          <w:left w:w="144" w:type="dxa"/>
          <w:bottom w:w="72" w:type="dxa"/>
          <w:right w:w="144" w:type="dxa"/>
        </w:tblCellMar>
      </w:tblPr>
      <w:tblGrid>
        <w:gridCol w:w="1987"/>
        <w:gridCol w:w="1474"/>
        <w:gridCol w:w="1474"/>
        <w:gridCol w:w="1474"/>
        <w:gridCol w:w="1474"/>
        <w:gridCol w:w="1474"/>
        <w:gridCol w:w="20"/>
      </w:tblGrid>
      <w:tr>
        <w:trPr>
          <w:trHeight w:val="23" w:hRule="atLeast"/>
        </w:trPr>
        <w:tc>
          <w:tcPr>
            <w:tcW w:w="1987" w:type="dxa"/>
            <w:tcBorders/>
          </w:tcPr>
          <w:p>
            <w:pPr>
              <w:pStyle w:val="Normal"/>
              <w:ind w:left="547" w:hanging="547"/>
              <w:jc w:val="right"/>
              <w:textAlignment w:val="baseline"/>
              <w:rPr>
                <w:rFonts w:ascii="Arial" w:hAnsi="Arial" w:cs="Arial"/>
                <w:sz w:val="20"/>
                <w:szCs w:val="20"/>
                <w:lang w:val="en-US"/>
              </w:rPr>
            </w:pPr>
            <w:r>
              <w:rPr>
                <w:color w:val="000000"/>
                <w:kern w:val="2"/>
                <w:sz w:val="20"/>
                <w:szCs w:val="20"/>
                <w:lang w:val="en-US"/>
              </w:rPr>
              <w:t>Very common</w:t>
            </w:r>
          </w:p>
          <w:p>
            <w:pPr>
              <w:pStyle w:val="Normal"/>
              <w:kinsoku w:val="false"/>
              <w:overflowPunct w:val="false"/>
              <w:ind w:left="547" w:hanging="547"/>
              <w:jc w:val="right"/>
              <w:textAlignment w:val="baseline"/>
              <w:rPr>
                <w:rFonts w:ascii="Arial" w:hAnsi="Arial" w:cs="Arial"/>
                <w:sz w:val="20"/>
                <w:szCs w:val="20"/>
                <w:lang w:val="en-US"/>
              </w:rPr>
            </w:pPr>
            <w:r>
              <w:rPr>
                <w:color w:val="000000"/>
                <w:kern w:val="2"/>
                <w:sz w:val="20"/>
                <w:szCs w:val="20"/>
                <w:lang w:val="en-US"/>
              </w:rPr>
              <w:t>- 1/week</w:t>
            </w:r>
          </w:p>
        </w:tc>
        <w:tc>
          <w:tcPr>
            <w:tcW w:w="1474" w:type="dxa"/>
            <w:tcBorders>
              <w:top w:val="single" w:sz="8" w:space="0" w:color="000000"/>
              <w:left w:val="single" w:sz="8" w:space="0" w:color="000000"/>
              <w:bottom w:val="single" w:sz="8" w:space="0" w:color="000000"/>
            </w:tcBorders>
            <w:shd w:fill="FFFF00" w:val="clear"/>
            <w:tcMar>
              <w:top w:w="0" w:type="dxa"/>
              <w:left w:w="0" w:type="dxa"/>
              <w:bottom w:w="0" w:type="dxa"/>
              <w:right w:w="0" w:type="dxa"/>
            </w:tcMar>
          </w:tcPr>
          <w:p>
            <w:pPr>
              <w:pStyle w:val="Normal"/>
              <w:ind w:left="547" w:hanging="547"/>
              <w:jc w:val="center"/>
              <w:textAlignment w:val="baseline"/>
              <w:rPr>
                <w:b/>
                <w:b/>
                <w:bCs/>
                <w:color w:val="000000"/>
                <w:kern w:val="2"/>
                <w:sz w:val="20"/>
                <w:szCs w:val="20"/>
                <w:lang w:val="en-US"/>
              </w:rPr>
            </w:pPr>
            <w:r>
              <w:rPr>
                <w:b/>
                <w:bCs/>
                <w:color w:val="000000"/>
                <w:kern w:val="2"/>
                <w:sz w:val="20"/>
                <w:szCs w:val="20"/>
                <w:lang w:val="en-US"/>
              </w:rPr>
              <w:t xml:space="preserve">    </w:t>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R3</w:t>
            </w:r>
          </w:p>
        </w:tc>
        <w:tc>
          <w:tcPr>
            <w:tcW w:w="1474" w:type="dxa"/>
            <w:tcBorders>
              <w:top w:val="single" w:sz="8" w:space="0" w:color="000000"/>
              <w:left w:val="single" w:sz="8" w:space="0" w:color="000000"/>
              <w:bottom w:val="single" w:sz="8" w:space="0" w:color="000000"/>
            </w:tcBorders>
            <w:shd w:fill="FFCC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R4</w:t>
            </w:r>
          </w:p>
        </w:tc>
        <w:tc>
          <w:tcPr>
            <w:tcW w:w="1474" w:type="dxa"/>
            <w:tcBorders>
              <w:top w:val="single" w:sz="8" w:space="0" w:color="000000"/>
              <w:left w:val="single" w:sz="8" w:space="0" w:color="000000"/>
              <w:bottom w:val="single" w:sz="8" w:space="0" w:color="000000"/>
            </w:tcBorders>
            <w:shd w:fill="FF33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R5</w:t>
            </w:r>
          </w:p>
        </w:tc>
        <w:tc>
          <w:tcPr>
            <w:tcW w:w="1474" w:type="dxa"/>
            <w:tcBorders>
              <w:top w:val="single" w:sz="8" w:space="0" w:color="000000"/>
              <w:left w:val="single" w:sz="8" w:space="0" w:color="000000"/>
              <w:bottom w:val="single" w:sz="8" w:space="0" w:color="000000"/>
            </w:tcBorders>
            <w:shd w:fill="FF00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R5</w:t>
            </w:r>
          </w:p>
        </w:tc>
        <w:tc>
          <w:tcPr>
            <w:tcW w:w="1494" w:type="dxa"/>
            <w:tcBorders>
              <w:top w:val="single" w:sz="8" w:space="0" w:color="000000"/>
              <w:left w:val="single" w:sz="8" w:space="0" w:color="000000"/>
              <w:bottom w:val="single" w:sz="8" w:space="0" w:color="000000"/>
              <w:right w:val="single" w:sz="8" w:space="0" w:color="000000"/>
            </w:tcBorders>
            <w:shd w:fill="FF00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R5</w:t>
            </w:r>
          </w:p>
        </w:tc>
      </w:tr>
      <w:tr>
        <w:trPr>
          <w:trHeight w:val="23" w:hRule="atLeast"/>
        </w:trPr>
        <w:tc>
          <w:tcPr>
            <w:tcW w:w="1987" w:type="dxa"/>
            <w:tcBorders/>
          </w:tcPr>
          <w:p>
            <w:pPr>
              <w:pStyle w:val="Normal"/>
              <w:ind w:left="547" w:hanging="547"/>
              <w:jc w:val="right"/>
              <w:textAlignment w:val="baseline"/>
              <w:rPr>
                <w:rFonts w:ascii="Arial" w:hAnsi="Arial" w:cs="Arial"/>
                <w:sz w:val="20"/>
                <w:szCs w:val="20"/>
                <w:lang w:val="en-US"/>
              </w:rPr>
            </w:pPr>
            <w:r>
              <w:rPr>
                <w:color w:val="000000"/>
                <w:kern w:val="2"/>
                <w:sz w:val="20"/>
                <w:szCs w:val="20"/>
                <w:lang w:val="en-US"/>
              </w:rPr>
              <w:t>Common</w:t>
            </w:r>
          </w:p>
          <w:p>
            <w:pPr>
              <w:pStyle w:val="Normal"/>
              <w:kinsoku w:val="false"/>
              <w:overflowPunct w:val="false"/>
              <w:ind w:left="547" w:hanging="547"/>
              <w:jc w:val="right"/>
              <w:textAlignment w:val="baseline"/>
              <w:rPr>
                <w:rFonts w:ascii="Arial" w:hAnsi="Arial" w:cs="Arial"/>
                <w:sz w:val="20"/>
                <w:szCs w:val="20"/>
                <w:lang w:val="en-US"/>
              </w:rPr>
            </w:pPr>
            <w:r>
              <w:rPr>
                <w:color w:val="000000"/>
                <w:kern w:val="2"/>
                <w:sz w:val="20"/>
                <w:szCs w:val="20"/>
                <w:lang w:val="en-US"/>
              </w:rPr>
              <w:t>- 1/month</w:t>
            </w:r>
          </w:p>
        </w:tc>
        <w:tc>
          <w:tcPr>
            <w:tcW w:w="1474" w:type="dxa"/>
            <w:tcBorders>
              <w:top w:val="single" w:sz="8" w:space="0" w:color="000000"/>
              <w:left w:val="single" w:sz="8" w:space="0" w:color="000000"/>
              <w:bottom w:val="single" w:sz="8" w:space="0" w:color="000000"/>
            </w:tcBorders>
            <w:shd w:fill="99FF66"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R2</w:t>
            </w:r>
          </w:p>
        </w:tc>
        <w:tc>
          <w:tcPr>
            <w:tcW w:w="1474" w:type="dxa"/>
            <w:tcBorders>
              <w:top w:val="single" w:sz="8" w:space="0" w:color="000000"/>
              <w:left w:val="single" w:sz="8" w:space="0" w:color="000000"/>
              <w:bottom w:val="single" w:sz="8" w:space="0" w:color="000000"/>
            </w:tcBorders>
            <w:shd w:fill="FF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R3</w:t>
            </w:r>
          </w:p>
        </w:tc>
        <w:tc>
          <w:tcPr>
            <w:tcW w:w="1474" w:type="dxa"/>
            <w:tcBorders>
              <w:top w:val="single" w:sz="8" w:space="0" w:color="000000"/>
              <w:left w:val="single" w:sz="8" w:space="0" w:color="000000"/>
              <w:bottom w:val="single" w:sz="8" w:space="0" w:color="000000"/>
            </w:tcBorders>
            <w:shd w:fill="FFCC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R4</w:t>
            </w:r>
          </w:p>
        </w:tc>
        <w:tc>
          <w:tcPr>
            <w:tcW w:w="1474" w:type="dxa"/>
            <w:tcBorders>
              <w:top w:val="single" w:sz="8" w:space="0" w:color="000000"/>
              <w:left w:val="single" w:sz="8" w:space="0" w:color="000000"/>
              <w:bottom w:val="single" w:sz="8" w:space="0" w:color="000000"/>
            </w:tcBorders>
            <w:shd w:fill="FF00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R5</w:t>
            </w:r>
          </w:p>
        </w:tc>
        <w:tc>
          <w:tcPr>
            <w:tcW w:w="1494" w:type="dxa"/>
            <w:tcBorders>
              <w:top w:val="single" w:sz="8" w:space="0" w:color="000000"/>
              <w:left w:val="single" w:sz="8" w:space="0" w:color="000000"/>
              <w:bottom w:val="single" w:sz="8" w:space="0" w:color="000000"/>
              <w:right w:val="single" w:sz="8" w:space="0" w:color="000000"/>
            </w:tcBorders>
            <w:shd w:fill="FF00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R5</w:t>
            </w:r>
          </w:p>
        </w:tc>
      </w:tr>
      <w:tr>
        <w:trPr>
          <w:trHeight w:val="23" w:hRule="atLeast"/>
        </w:trPr>
        <w:tc>
          <w:tcPr>
            <w:tcW w:w="1987" w:type="dxa"/>
            <w:tcBorders/>
          </w:tcPr>
          <w:p>
            <w:pPr>
              <w:pStyle w:val="Normal"/>
              <w:ind w:left="547" w:hanging="547"/>
              <w:jc w:val="right"/>
              <w:textAlignment w:val="baseline"/>
              <w:rPr>
                <w:rFonts w:ascii="Arial" w:hAnsi="Arial" w:cs="Arial"/>
                <w:sz w:val="20"/>
                <w:szCs w:val="20"/>
                <w:lang w:val="en-US"/>
              </w:rPr>
            </w:pPr>
            <w:r>
              <w:rPr>
                <w:color w:val="000000"/>
                <w:kern w:val="2"/>
                <w:sz w:val="20"/>
                <w:szCs w:val="20"/>
                <w:lang w:val="en-US"/>
              </w:rPr>
              <w:t>Relatively common</w:t>
            </w:r>
          </w:p>
          <w:p>
            <w:pPr>
              <w:pStyle w:val="Normal"/>
              <w:kinsoku w:val="false"/>
              <w:overflowPunct w:val="false"/>
              <w:ind w:left="547" w:hanging="547"/>
              <w:jc w:val="right"/>
              <w:textAlignment w:val="baseline"/>
              <w:rPr>
                <w:rFonts w:ascii="Arial" w:hAnsi="Arial" w:cs="Arial"/>
                <w:sz w:val="20"/>
                <w:szCs w:val="20"/>
                <w:lang w:val="en-US"/>
              </w:rPr>
            </w:pPr>
            <w:r>
              <w:rPr>
                <w:color w:val="000000"/>
                <w:kern w:val="2"/>
                <w:sz w:val="20"/>
                <w:szCs w:val="20"/>
                <w:lang w:val="en-US"/>
              </w:rPr>
              <w:t>- 1/år</w:t>
            </w:r>
          </w:p>
        </w:tc>
        <w:tc>
          <w:tcPr>
            <w:tcW w:w="1474" w:type="dxa"/>
            <w:tcBorders>
              <w:top w:val="single" w:sz="8" w:space="0" w:color="000000"/>
              <w:left w:val="single" w:sz="8" w:space="0" w:color="000000"/>
              <w:bottom w:val="single" w:sz="8" w:space="0" w:color="000000"/>
            </w:tcBorders>
            <w:shd w:fill="99FF66"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R2</w:t>
            </w:r>
          </w:p>
        </w:tc>
        <w:tc>
          <w:tcPr>
            <w:tcW w:w="1474" w:type="dxa"/>
            <w:tcBorders>
              <w:top w:val="single" w:sz="8" w:space="0" w:color="000000"/>
              <w:left w:val="single" w:sz="8" w:space="0" w:color="000000"/>
              <w:bottom w:val="single" w:sz="8" w:space="0" w:color="000000"/>
            </w:tcBorders>
            <w:shd w:fill="FF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R3</w:t>
            </w:r>
          </w:p>
        </w:tc>
        <w:tc>
          <w:tcPr>
            <w:tcW w:w="1474" w:type="dxa"/>
            <w:tcBorders>
              <w:top w:val="single" w:sz="8" w:space="0" w:color="000000"/>
              <w:left w:val="single" w:sz="8" w:space="0" w:color="000000"/>
              <w:bottom w:val="single" w:sz="8" w:space="0" w:color="000000"/>
            </w:tcBorders>
            <w:shd w:fill="FF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R3</w:t>
            </w:r>
          </w:p>
        </w:tc>
        <w:tc>
          <w:tcPr>
            <w:tcW w:w="1474" w:type="dxa"/>
            <w:tcBorders>
              <w:top w:val="single" w:sz="8" w:space="0" w:color="000000"/>
              <w:left w:val="single" w:sz="8" w:space="0" w:color="000000"/>
              <w:bottom w:val="single" w:sz="8" w:space="0" w:color="000000"/>
            </w:tcBorders>
            <w:shd w:fill="FFCC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R4</w:t>
            </w:r>
          </w:p>
        </w:tc>
        <w:tc>
          <w:tcPr>
            <w:tcW w:w="1494" w:type="dxa"/>
            <w:tcBorders>
              <w:top w:val="single" w:sz="8" w:space="0" w:color="000000"/>
              <w:left w:val="single" w:sz="8" w:space="0" w:color="000000"/>
              <w:bottom w:val="single" w:sz="8" w:space="0" w:color="000000"/>
              <w:right w:val="single" w:sz="8" w:space="0" w:color="000000"/>
            </w:tcBorders>
            <w:shd w:fill="FF0000" w:val="clear"/>
            <w:tcMar>
              <w:top w:w="0" w:type="dxa"/>
              <w:left w:w="0" w:type="dxa"/>
              <w:bottom w:w="0" w:type="dxa"/>
              <w:right w:w="0" w:type="dxa"/>
            </w:tcMar>
          </w:tcPr>
          <w:p>
            <w:pPr>
              <w:pStyle w:val="Normal"/>
              <w:ind w:left="547" w:hanging="547"/>
              <w:jc w:val="center"/>
              <w:textAlignment w:val="baseline"/>
              <w:rPr>
                <w:b/>
                <w:b/>
                <w:bCs/>
                <w:color w:val="000000"/>
                <w:kern w:val="2"/>
                <w:sz w:val="20"/>
                <w:szCs w:val="20"/>
                <w:lang w:val="en-US"/>
              </w:rPr>
            </w:pPr>
            <w:r>
              <w:rPr>
                <w:b/>
                <w:bCs/>
                <w:color w:val="000000"/>
                <w:kern w:val="2"/>
                <w:sz w:val="20"/>
                <w:szCs w:val="20"/>
                <w:lang w:val="en-US"/>
              </w:rPr>
              <w:t xml:space="preserve"> </w:t>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R5</w:t>
            </w:r>
          </w:p>
        </w:tc>
      </w:tr>
      <w:tr>
        <w:trPr>
          <w:trHeight w:val="23" w:hRule="atLeast"/>
        </w:trPr>
        <w:tc>
          <w:tcPr>
            <w:tcW w:w="1987" w:type="dxa"/>
            <w:tcBorders/>
          </w:tcPr>
          <w:p>
            <w:pPr>
              <w:pStyle w:val="Normal"/>
              <w:ind w:left="547" w:hanging="547"/>
              <w:jc w:val="right"/>
              <w:textAlignment w:val="baseline"/>
              <w:rPr>
                <w:rFonts w:ascii="Arial" w:hAnsi="Arial" w:cs="Arial"/>
                <w:sz w:val="20"/>
                <w:szCs w:val="20"/>
                <w:lang w:val="en-US"/>
              </w:rPr>
            </w:pPr>
            <w:r>
              <w:rPr>
                <w:color w:val="000000"/>
                <w:kern w:val="2"/>
                <w:sz w:val="20"/>
                <w:szCs w:val="20"/>
                <w:lang w:val="en-US"/>
              </w:rPr>
              <w:t>Quite unusual</w:t>
            </w:r>
          </w:p>
          <w:p>
            <w:pPr>
              <w:pStyle w:val="Normal"/>
              <w:kinsoku w:val="false"/>
              <w:overflowPunct w:val="false"/>
              <w:ind w:left="547" w:hanging="547"/>
              <w:jc w:val="right"/>
              <w:textAlignment w:val="baseline"/>
              <w:rPr>
                <w:rFonts w:ascii="Arial" w:hAnsi="Arial" w:cs="Arial"/>
                <w:sz w:val="20"/>
                <w:szCs w:val="20"/>
                <w:lang w:val="en-US"/>
              </w:rPr>
            </w:pPr>
            <w:r>
              <w:rPr>
                <w:color w:val="000000"/>
                <w:kern w:val="2"/>
                <w:sz w:val="20"/>
                <w:szCs w:val="20"/>
                <w:lang w:val="en-US"/>
              </w:rPr>
              <w:t>- 1/10 år</w:t>
            </w:r>
          </w:p>
        </w:tc>
        <w:tc>
          <w:tcPr>
            <w:tcW w:w="1474" w:type="dxa"/>
            <w:tcBorders>
              <w:top w:val="single" w:sz="8" w:space="0" w:color="000000"/>
              <w:left w:val="single" w:sz="8" w:space="0" w:color="000000"/>
              <w:bottom w:val="single" w:sz="8" w:space="0" w:color="000000"/>
            </w:tcBorders>
            <w:shd w:fill="00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R1</w:t>
            </w:r>
          </w:p>
        </w:tc>
        <w:tc>
          <w:tcPr>
            <w:tcW w:w="1474" w:type="dxa"/>
            <w:tcBorders>
              <w:top w:val="single" w:sz="8" w:space="0" w:color="000000"/>
              <w:left w:val="single" w:sz="8" w:space="0" w:color="000000"/>
              <w:bottom w:val="single" w:sz="8" w:space="0" w:color="000000"/>
            </w:tcBorders>
            <w:shd w:fill="99FF66"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R2</w:t>
            </w:r>
          </w:p>
        </w:tc>
        <w:tc>
          <w:tcPr>
            <w:tcW w:w="1474" w:type="dxa"/>
            <w:tcBorders>
              <w:top w:val="single" w:sz="8" w:space="0" w:color="000000"/>
              <w:left w:val="single" w:sz="8" w:space="0" w:color="000000"/>
              <w:bottom w:val="single" w:sz="8" w:space="0" w:color="000000"/>
            </w:tcBorders>
            <w:shd w:fill="FF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R3</w:t>
            </w:r>
          </w:p>
        </w:tc>
        <w:tc>
          <w:tcPr>
            <w:tcW w:w="1474" w:type="dxa"/>
            <w:tcBorders>
              <w:top w:val="single" w:sz="8" w:space="0" w:color="000000"/>
              <w:left w:val="single" w:sz="8" w:space="0" w:color="000000"/>
              <w:bottom w:val="single" w:sz="8" w:space="0" w:color="000000"/>
            </w:tcBorders>
            <w:shd w:fill="FF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R3</w:t>
            </w:r>
          </w:p>
        </w:tc>
        <w:tc>
          <w:tcPr>
            <w:tcW w:w="1494" w:type="dxa"/>
            <w:tcBorders>
              <w:top w:val="single" w:sz="8" w:space="0" w:color="000000"/>
              <w:left w:val="single" w:sz="8" w:space="0" w:color="000000"/>
              <w:bottom w:val="single" w:sz="8" w:space="0" w:color="000000"/>
              <w:right w:val="single" w:sz="8" w:space="0" w:color="000000"/>
            </w:tcBorders>
            <w:shd w:fill="FFCC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R4</w:t>
            </w:r>
          </w:p>
        </w:tc>
      </w:tr>
      <w:tr>
        <w:trPr>
          <w:trHeight w:val="23" w:hRule="atLeast"/>
        </w:trPr>
        <w:tc>
          <w:tcPr>
            <w:tcW w:w="1987" w:type="dxa"/>
            <w:tcBorders/>
          </w:tcPr>
          <w:p>
            <w:pPr>
              <w:pStyle w:val="Normal"/>
              <w:ind w:left="547" w:hanging="547"/>
              <w:jc w:val="right"/>
              <w:textAlignment w:val="baseline"/>
              <w:rPr>
                <w:rFonts w:ascii="Arial" w:hAnsi="Arial" w:cs="Arial"/>
                <w:sz w:val="20"/>
                <w:szCs w:val="20"/>
                <w:lang w:val="en-US"/>
              </w:rPr>
            </w:pPr>
            <w:r>
              <w:rPr>
                <w:color w:val="000000"/>
                <w:kern w:val="2"/>
                <w:sz w:val="20"/>
                <w:szCs w:val="20"/>
                <w:lang w:val="en-US"/>
              </w:rPr>
              <w:t>Not probable</w:t>
            </w:r>
          </w:p>
          <w:p>
            <w:pPr>
              <w:pStyle w:val="Normal"/>
              <w:kinsoku w:val="false"/>
              <w:overflowPunct w:val="false"/>
              <w:ind w:left="547" w:hanging="547"/>
              <w:jc w:val="right"/>
              <w:textAlignment w:val="baseline"/>
              <w:rPr>
                <w:rFonts w:ascii="Arial" w:hAnsi="Arial" w:cs="Arial"/>
                <w:sz w:val="20"/>
                <w:szCs w:val="20"/>
                <w:lang w:val="en-US"/>
              </w:rPr>
            </w:pPr>
            <w:r>
              <w:rPr>
                <w:color w:val="000000"/>
                <w:kern w:val="2"/>
                <w:sz w:val="20"/>
                <w:szCs w:val="20"/>
                <w:lang w:val="en-US"/>
              </w:rPr>
              <w:t>- 1/100 år</w:t>
            </w:r>
          </w:p>
        </w:tc>
        <w:tc>
          <w:tcPr>
            <w:tcW w:w="1474" w:type="dxa"/>
            <w:tcBorders>
              <w:top w:val="single" w:sz="8" w:space="0" w:color="000000"/>
              <w:left w:val="single" w:sz="8" w:space="0" w:color="000000"/>
              <w:bottom w:val="single" w:sz="8" w:space="0" w:color="000000"/>
            </w:tcBorders>
            <w:shd w:fill="00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R1</w:t>
            </w:r>
          </w:p>
        </w:tc>
        <w:tc>
          <w:tcPr>
            <w:tcW w:w="1474" w:type="dxa"/>
            <w:tcBorders>
              <w:top w:val="single" w:sz="8" w:space="0" w:color="000000"/>
              <w:left w:val="single" w:sz="8" w:space="0" w:color="000000"/>
              <w:bottom w:val="single" w:sz="8" w:space="0" w:color="000000"/>
            </w:tcBorders>
            <w:shd w:fill="00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R1</w:t>
            </w:r>
          </w:p>
        </w:tc>
        <w:tc>
          <w:tcPr>
            <w:tcW w:w="1474" w:type="dxa"/>
            <w:tcBorders>
              <w:top w:val="single" w:sz="8" w:space="0" w:color="000000"/>
              <w:left w:val="single" w:sz="8" w:space="0" w:color="000000"/>
              <w:bottom w:val="single" w:sz="8" w:space="0" w:color="000000"/>
            </w:tcBorders>
            <w:shd w:fill="99FF66"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R2</w:t>
            </w:r>
          </w:p>
        </w:tc>
        <w:tc>
          <w:tcPr>
            <w:tcW w:w="1474" w:type="dxa"/>
            <w:tcBorders>
              <w:top w:val="single" w:sz="8" w:space="0" w:color="000000"/>
              <w:left w:val="single" w:sz="8" w:space="0" w:color="000000"/>
              <w:bottom w:val="single" w:sz="8" w:space="0" w:color="000000"/>
            </w:tcBorders>
            <w:shd w:fill="99FF66"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R2</w:t>
            </w:r>
          </w:p>
        </w:tc>
        <w:tc>
          <w:tcPr>
            <w:tcW w:w="1494" w:type="dxa"/>
            <w:tcBorders>
              <w:top w:val="single" w:sz="8" w:space="0" w:color="000000"/>
              <w:left w:val="single" w:sz="8" w:space="0" w:color="000000"/>
              <w:bottom w:val="single" w:sz="8" w:space="0" w:color="000000"/>
              <w:right w:val="single" w:sz="8" w:space="0" w:color="000000"/>
            </w:tcBorders>
            <w:shd w:fill="FFFF00" w:val="clear"/>
            <w:tcMar>
              <w:top w:w="0" w:type="dxa"/>
              <w:left w:w="0" w:type="dxa"/>
              <w:bottom w:w="0" w:type="dxa"/>
              <w:right w:w="0" w:type="dxa"/>
            </w:tcMar>
          </w:tcPr>
          <w:p>
            <w:pPr>
              <w:pStyle w:val="Normal"/>
              <w:snapToGrid w:val="false"/>
              <w:ind w:left="547" w:hanging="547"/>
              <w:jc w:val="center"/>
              <w:textAlignment w:val="baseline"/>
              <w:rPr>
                <w:rFonts w:ascii="Arial" w:hAnsi="Arial" w:cs="Arial"/>
                <w:b/>
                <w:b/>
                <w:bCs/>
                <w:color w:val="000000"/>
                <w:kern w:val="2"/>
                <w:sz w:val="20"/>
                <w:szCs w:val="20"/>
                <w:lang w:val="en-US"/>
              </w:rPr>
            </w:pPr>
            <w:r>
              <w:rPr>
                <w:rFonts w:cs="Arial" w:ascii="Arial" w:hAnsi="Arial"/>
                <w:b/>
                <w:bCs/>
                <w:color w:val="000000"/>
                <w:kern w:val="2"/>
                <w:sz w:val="20"/>
                <w:szCs w:val="20"/>
                <w:lang w:val="en-US"/>
              </w:rPr>
            </w:r>
          </w:p>
          <w:p>
            <w:pPr>
              <w:pStyle w:val="Normal"/>
              <w:ind w:left="547" w:hanging="547"/>
              <w:jc w:val="center"/>
              <w:textAlignment w:val="baseline"/>
              <w:rPr>
                <w:rFonts w:ascii="Arial" w:hAnsi="Arial" w:cs="Arial"/>
                <w:sz w:val="20"/>
                <w:szCs w:val="20"/>
                <w:lang w:val="en-US"/>
              </w:rPr>
            </w:pPr>
            <w:r>
              <w:rPr>
                <w:b/>
                <w:bCs/>
                <w:color w:val="000000"/>
                <w:kern w:val="2"/>
                <w:sz w:val="20"/>
                <w:szCs w:val="20"/>
                <w:lang w:val="en-US"/>
              </w:rPr>
              <w:t>R3</w:t>
            </w:r>
          </w:p>
        </w:tc>
      </w:tr>
      <w:tr>
        <w:trPr>
          <w:trHeight w:val="23" w:hRule="atLeast"/>
        </w:trPr>
        <w:tc>
          <w:tcPr>
            <w:tcW w:w="1987" w:type="dxa"/>
            <w:tcBorders/>
          </w:tcPr>
          <w:p>
            <w:pPr>
              <w:pStyle w:val="Normal"/>
              <w:ind w:hanging="405"/>
              <w:textAlignment w:val="baseline"/>
              <w:rPr>
                <w:rFonts w:ascii="Arial" w:hAnsi="Arial" w:cs="Arial"/>
                <w:sz w:val="20"/>
                <w:szCs w:val="20"/>
                <w:lang w:val="en-US"/>
              </w:rPr>
            </w:pPr>
            <w:r>
              <w:rPr>
                <w:b/>
                <w:bCs/>
                <w:color w:val="000000"/>
                <w:kern w:val="2"/>
                <w:sz w:val="20"/>
                <w:szCs w:val="20"/>
                <w:lang w:val="en-US"/>
              </w:rPr>
              <w:t xml:space="preserve">            </w:t>
            </w:r>
            <w:r>
              <w:rPr>
                <w:b/>
                <w:bCs/>
                <w:color w:val="000000"/>
                <w:kern w:val="2"/>
                <w:sz w:val="20"/>
                <w:szCs w:val="20"/>
                <w:lang w:val="en-US"/>
              </w:rPr>
              <w:t>Probability</w:t>
            </w:r>
          </w:p>
          <w:p>
            <w:pPr>
              <w:pStyle w:val="Normal"/>
              <w:kinsoku w:val="false"/>
              <w:overflowPunct w:val="false"/>
              <w:ind w:left="567" w:hanging="972"/>
              <w:textAlignment w:val="baseline"/>
              <w:rPr>
                <w:rFonts w:ascii="Arial" w:hAnsi="Arial" w:cs="Arial"/>
                <w:sz w:val="20"/>
                <w:szCs w:val="20"/>
                <w:lang w:val="en-US"/>
              </w:rPr>
            </w:pPr>
            <w:r>
              <w:rPr>
                <w:b/>
                <w:bCs/>
                <w:color w:val="000000"/>
                <w:kern w:val="2"/>
                <w:sz w:val="20"/>
                <w:szCs w:val="20"/>
                <w:lang w:val="en-US"/>
              </w:rPr>
              <w:t xml:space="preserve">                             </w:t>
            </w:r>
            <w:r>
              <w:rPr>
                <w:b/>
                <w:bCs/>
                <w:color w:val="000000"/>
                <w:kern w:val="2"/>
                <w:sz w:val="20"/>
                <w:szCs w:val="20"/>
                <w:lang w:val="en-US"/>
              </w:rPr>
              <w:t>Consequence</w:t>
            </w:r>
          </w:p>
        </w:tc>
        <w:tc>
          <w:tcPr>
            <w:tcW w:w="1474" w:type="dxa"/>
            <w:tcBorders>
              <w:top w:val="single" w:sz="8" w:space="0" w:color="000000"/>
            </w:tcBorders>
            <w:tcMar>
              <w:top w:w="0" w:type="dxa"/>
              <w:left w:w="0" w:type="dxa"/>
              <w:bottom w:w="0" w:type="dxa"/>
              <w:right w:w="0" w:type="dxa"/>
            </w:tcMar>
          </w:tcPr>
          <w:p>
            <w:pPr>
              <w:pStyle w:val="Normal"/>
              <w:kinsoku w:val="false"/>
              <w:overflowPunct w:val="false"/>
              <w:snapToGrid w:val="false"/>
              <w:jc w:val="center"/>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kinsoku w:val="false"/>
              <w:overflowPunct w:val="false"/>
              <w:jc w:val="center"/>
              <w:textAlignment w:val="baseline"/>
              <w:rPr/>
            </w:pPr>
            <w:r>
              <w:rPr>
                <w:color w:val="000000"/>
                <w:kern w:val="2"/>
                <w:sz w:val="20"/>
                <w:szCs w:val="20"/>
                <w:lang w:val="en-US"/>
              </w:rPr>
              <w:t>Some discomfort</w:t>
            </w:r>
          </w:p>
          <w:p>
            <w:pPr>
              <w:pStyle w:val="Normal"/>
              <w:kinsoku w:val="false"/>
              <w:overflowPunct w:val="false"/>
              <w:jc w:val="center"/>
              <w:textAlignment w:val="baseline"/>
              <w:rPr>
                <w:rFonts w:ascii="Arial" w:hAnsi="Arial" w:cs="Arial"/>
                <w:sz w:val="20"/>
                <w:szCs w:val="20"/>
                <w:lang w:val="en-US"/>
              </w:rPr>
            </w:pPr>
            <w:r>
              <w:rPr>
                <w:color w:val="000000"/>
                <w:kern w:val="2"/>
                <w:sz w:val="20"/>
                <w:szCs w:val="20"/>
                <w:lang w:val="en-US"/>
              </w:rPr>
              <w:t>but harmless</w:t>
            </w:r>
          </w:p>
        </w:tc>
        <w:tc>
          <w:tcPr>
            <w:tcW w:w="1474" w:type="dxa"/>
            <w:tcBorders>
              <w:top w:val="single" w:sz="8" w:space="0" w:color="000000"/>
            </w:tcBorders>
            <w:tcMar>
              <w:top w:w="0" w:type="dxa"/>
              <w:left w:w="0" w:type="dxa"/>
              <w:bottom w:w="0" w:type="dxa"/>
              <w:right w:w="0" w:type="dxa"/>
            </w:tcMar>
          </w:tcPr>
          <w:p>
            <w:pPr>
              <w:pStyle w:val="Normal"/>
              <w:snapToGrid w:val="false"/>
              <w:jc w:val="center"/>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jc w:val="center"/>
              <w:textAlignment w:val="baseline"/>
              <w:rPr>
                <w:color w:val="000000"/>
                <w:kern w:val="2"/>
                <w:sz w:val="20"/>
                <w:szCs w:val="20"/>
                <w:lang w:val="en-US"/>
              </w:rPr>
            </w:pPr>
            <w:r>
              <w:rPr>
                <w:color w:val="000000"/>
                <w:kern w:val="2"/>
                <w:sz w:val="20"/>
                <w:szCs w:val="20"/>
                <w:lang w:val="en-US"/>
              </w:rPr>
              <w:t>Injury but no</w:t>
            </w:r>
          </w:p>
          <w:p>
            <w:pPr>
              <w:pStyle w:val="Normal"/>
              <w:jc w:val="center"/>
              <w:textAlignment w:val="baseline"/>
              <w:rPr>
                <w:rFonts w:ascii="Arial" w:hAnsi="Arial" w:cs="Arial"/>
                <w:sz w:val="20"/>
                <w:szCs w:val="20"/>
                <w:lang w:val="en-US"/>
              </w:rPr>
            </w:pPr>
            <w:r>
              <w:rPr>
                <w:color w:val="000000"/>
                <w:kern w:val="2"/>
                <w:sz w:val="20"/>
                <w:szCs w:val="20"/>
                <w:lang w:val="en-US"/>
              </w:rPr>
              <w:t>sick leave</w:t>
            </w:r>
          </w:p>
        </w:tc>
        <w:tc>
          <w:tcPr>
            <w:tcW w:w="1474" w:type="dxa"/>
            <w:tcBorders>
              <w:top w:val="single" w:sz="8" w:space="0" w:color="000000"/>
            </w:tcBorders>
            <w:tcMar>
              <w:top w:w="0" w:type="dxa"/>
              <w:left w:w="0" w:type="dxa"/>
              <w:bottom w:w="0" w:type="dxa"/>
              <w:right w:w="0" w:type="dxa"/>
            </w:tcMar>
          </w:tcPr>
          <w:p>
            <w:pPr>
              <w:pStyle w:val="Normal"/>
              <w:snapToGrid w:val="false"/>
              <w:jc w:val="center"/>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jc w:val="center"/>
              <w:textAlignment w:val="baseline"/>
              <w:rPr>
                <w:rFonts w:ascii="Arial" w:hAnsi="Arial" w:cs="Arial"/>
                <w:sz w:val="20"/>
                <w:szCs w:val="20"/>
                <w:lang w:val="en-US"/>
              </w:rPr>
            </w:pPr>
            <w:r>
              <w:rPr>
                <w:color w:val="000000"/>
                <w:kern w:val="2"/>
                <w:sz w:val="20"/>
                <w:szCs w:val="20"/>
                <w:lang w:val="en-US"/>
              </w:rPr>
              <w:t>Short sick leave</w:t>
            </w:r>
          </w:p>
        </w:tc>
        <w:tc>
          <w:tcPr>
            <w:tcW w:w="1474" w:type="dxa"/>
            <w:tcBorders>
              <w:top w:val="single" w:sz="8" w:space="0" w:color="000000"/>
            </w:tcBorders>
            <w:tcMar>
              <w:top w:w="0" w:type="dxa"/>
              <w:left w:w="0" w:type="dxa"/>
              <w:bottom w:w="0" w:type="dxa"/>
              <w:right w:w="0" w:type="dxa"/>
            </w:tcMar>
          </w:tcPr>
          <w:p>
            <w:pPr>
              <w:pStyle w:val="Normal"/>
              <w:snapToGrid w:val="false"/>
              <w:jc w:val="center"/>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jc w:val="center"/>
              <w:textAlignment w:val="baseline"/>
              <w:rPr>
                <w:rFonts w:ascii="Arial" w:hAnsi="Arial" w:cs="Arial"/>
                <w:sz w:val="20"/>
                <w:szCs w:val="20"/>
                <w:lang w:val="en-US"/>
              </w:rPr>
            </w:pPr>
            <w:r>
              <w:rPr>
                <w:color w:val="000000"/>
                <w:kern w:val="2"/>
                <w:sz w:val="20"/>
                <w:szCs w:val="20"/>
                <w:lang w:val="en-US"/>
              </w:rPr>
              <w:t>Long sick leave</w:t>
            </w:r>
          </w:p>
        </w:tc>
        <w:tc>
          <w:tcPr>
            <w:tcW w:w="1474" w:type="dxa"/>
            <w:tcBorders>
              <w:top w:val="single" w:sz="8" w:space="0" w:color="000000"/>
            </w:tcBorders>
            <w:tcMar>
              <w:top w:w="0" w:type="dxa"/>
              <w:left w:w="0" w:type="dxa"/>
              <w:bottom w:w="0" w:type="dxa"/>
              <w:right w:w="0" w:type="dxa"/>
            </w:tcMar>
          </w:tcPr>
          <w:p>
            <w:pPr>
              <w:pStyle w:val="Normal"/>
              <w:kinsoku w:val="false"/>
              <w:overflowPunct w:val="false"/>
              <w:snapToGrid w:val="false"/>
              <w:jc w:val="center"/>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kinsoku w:val="false"/>
              <w:overflowPunct w:val="false"/>
              <w:jc w:val="center"/>
              <w:textAlignment w:val="baseline"/>
              <w:rPr>
                <w:color w:val="000000"/>
                <w:kern w:val="2"/>
                <w:sz w:val="20"/>
                <w:szCs w:val="20"/>
                <w:lang w:val="en-US"/>
              </w:rPr>
            </w:pPr>
            <w:r>
              <w:rPr>
                <w:color w:val="000000"/>
                <w:kern w:val="2"/>
                <w:sz w:val="20"/>
                <w:szCs w:val="20"/>
                <w:lang w:val="en-US"/>
              </w:rPr>
              <w:t>Permanent serious injury or death</w:t>
            </w:r>
          </w:p>
        </w:tc>
      </w:tr>
    </w:tbl>
    <w:p>
      <w:pPr>
        <w:pStyle w:val="Normal"/>
        <w:jc w:val="center"/>
        <w:rPr/>
      </w:pPr>
      <w:r>
        <w:rPr>
          <w:lang w:val="en-US"/>
        </w:rPr>
        <w:t>Figure 7.1. Risk matrix based on probability and consequence.</w:t>
      </w:r>
    </w:p>
    <w:p>
      <w:pPr>
        <w:pStyle w:val="Normal"/>
        <w:spacing w:before="0" w:after="120"/>
        <w:rPr>
          <w:rFonts w:ascii="Calibri" w:hAnsi="Calibri" w:cs="Calibri"/>
          <w:lang w:val="en-US"/>
        </w:rPr>
      </w:pPr>
      <w:r>
        <w:rPr>
          <w:rFonts w:cs="Calibri" w:ascii="Calibri" w:hAnsi="Calibri"/>
          <w:lang w:val="en-US"/>
        </w:rPr>
      </w:r>
    </w:p>
    <w:p>
      <w:pPr>
        <w:pStyle w:val="Normal"/>
        <w:spacing w:before="0" w:after="120"/>
        <w:rPr>
          <w:rFonts w:ascii="Calibri" w:hAnsi="Calibri" w:cs="Calibri"/>
          <w:lang w:val="en-US"/>
        </w:rPr>
      </w:pPr>
      <w:r>
        <w:rPr>
          <w:rFonts w:cs="Calibri" w:ascii="Calibri" w:hAnsi="Calibri"/>
          <w:lang w:val="en-US"/>
        </w:rPr>
        <w:t>As can be seen in figure 7.1 probability is expressed as a frequency for a specific event or deviation. The assessed risk level during planning can also be coupled to a specified need for action, se below.</w:t>
      </w:r>
    </w:p>
    <w:p>
      <w:pPr>
        <w:pStyle w:val="Normal"/>
        <w:rPr>
          <w:rFonts w:ascii="Calibri" w:hAnsi="Calibri" w:cs="Calibri"/>
          <w:lang w:val="en-US"/>
        </w:rPr>
      </w:pPr>
      <w:r>
        <w:rPr>
          <w:rFonts w:cs="Calibri" w:ascii="Calibri" w:hAnsi="Calibri"/>
          <w:lang w:val="en-US"/>
        </w:rPr>
      </w:r>
    </w:p>
    <w:tbl>
      <w:tblPr>
        <w:tblW w:w="7958" w:type="dxa"/>
        <w:jc w:val="left"/>
        <w:tblInd w:w="1268" w:type="dxa"/>
        <w:tblCellMar>
          <w:top w:w="72" w:type="dxa"/>
          <w:left w:w="144" w:type="dxa"/>
          <w:bottom w:w="72" w:type="dxa"/>
          <w:right w:w="144" w:type="dxa"/>
        </w:tblCellMar>
      </w:tblPr>
      <w:tblGrid>
        <w:gridCol w:w="2552"/>
        <w:gridCol w:w="5386"/>
        <w:gridCol w:w="20"/>
      </w:tblGrid>
      <w:tr>
        <w:trPr>
          <w:trHeight w:val="283" w:hRule="atLeast"/>
        </w:trPr>
        <w:tc>
          <w:tcPr>
            <w:tcW w:w="2552" w:type="dxa"/>
            <w:tcBorders>
              <w:bottom w:val="single" w:sz="8" w:space="0" w:color="000000"/>
            </w:tcBorders>
          </w:tcPr>
          <w:p>
            <w:pPr>
              <w:pStyle w:val="Normal"/>
              <w:textAlignment w:val="baseline"/>
              <w:rPr>
                <w:rFonts w:ascii="Arial" w:hAnsi="Arial" w:cs="Arial"/>
                <w:sz w:val="20"/>
                <w:szCs w:val="20"/>
                <w:lang w:val="en-US"/>
              </w:rPr>
            </w:pPr>
            <w:r>
              <w:rPr>
                <w:b/>
                <w:bCs/>
                <w:color w:val="000000"/>
                <w:kern w:val="2"/>
                <w:sz w:val="20"/>
                <w:szCs w:val="20"/>
                <w:lang w:val="en-US"/>
              </w:rPr>
              <w:t>Risk level</w:t>
            </w:r>
          </w:p>
        </w:tc>
        <w:tc>
          <w:tcPr>
            <w:tcW w:w="5386" w:type="dxa"/>
            <w:tcBorders>
              <w:bottom w:val="single" w:sz="8" w:space="0" w:color="000000"/>
            </w:tcBorders>
            <w:tcMar>
              <w:top w:w="0" w:type="dxa"/>
              <w:left w:w="0" w:type="dxa"/>
              <w:bottom w:w="0" w:type="dxa"/>
              <w:right w:w="0" w:type="dxa"/>
            </w:tcMar>
          </w:tcPr>
          <w:p>
            <w:pPr>
              <w:pStyle w:val="Normal"/>
              <w:textAlignment w:val="baseline"/>
              <w:rPr>
                <w:rFonts w:ascii="Arial" w:hAnsi="Arial" w:cs="Arial"/>
                <w:sz w:val="20"/>
                <w:szCs w:val="20"/>
                <w:lang w:val="en-US"/>
              </w:rPr>
            </w:pPr>
            <w:r>
              <w:rPr>
                <w:b/>
                <w:bCs/>
                <w:color w:val="000000"/>
                <w:kern w:val="2"/>
                <w:sz w:val="20"/>
                <w:szCs w:val="20"/>
                <w:lang w:val="en-US"/>
              </w:rPr>
              <w:t>Need for action during planning</w:t>
            </w:r>
          </w:p>
        </w:tc>
      </w:tr>
      <w:tr>
        <w:trPr>
          <w:trHeight w:val="23" w:hRule="atLeast"/>
        </w:trPr>
        <w:tc>
          <w:tcPr>
            <w:tcW w:w="2552" w:type="dxa"/>
            <w:tcBorders>
              <w:top w:val="single" w:sz="8" w:space="0" w:color="000000"/>
              <w:left w:val="single" w:sz="8" w:space="0" w:color="000000"/>
              <w:bottom w:val="single" w:sz="8" w:space="0" w:color="000000"/>
            </w:tcBorders>
            <w:shd w:fill="00FF00" w:val="clear"/>
          </w:tcPr>
          <w:p>
            <w:pPr>
              <w:pStyle w:val="Normal"/>
              <w:textAlignment w:val="baseline"/>
              <w:rPr/>
            </w:pPr>
            <w:r>
              <w:rPr>
                <w:b/>
                <w:bCs/>
                <w:color w:val="000000"/>
                <w:kern w:val="2"/>
                <w:sz w:val="20"/>
                <w:szCs w:val="20"/>
                <w:lang w:val="en-US"/>
              </w:rPr>
              <w:t>R1</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Low risk – negligible risk</w:t>
            </w:r>
          </w:p>
        </w:tc>
        <w:tc>
          <w:tcPr>
            <w:tcW w:w="54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No need for any redesign of the basic concept</w:t>
            </w:r>
          </w:p>
        </w:tc>
      </w:tr>
      <w:tr>
        <w:trPr>
          <w:trHeight w:val="23" w:hRule="atLeast"/>
        </w:trPr>
        <w:tc>
          <w:tcPr>
            <w:tcW w:w="2552" w:type="dxa"/>
            <w:tcBorders>
              <w:top w:val="single" w:sz="8" w:space="0" w:color="000000"/>
              <w:left w:val="single" w:sz="8" w:space="0" w:color="000000"/>
              <w:bottom w:val="single" w:sz="8" w:space="0" w:color="000000"/>
            </w:tcBorders>
            <w:shd w:fill="99FF66" w:val="clear"/>
          </w:tcPr>
          <w:p>
            <w:pPr>
              <w:pStyle w:val="Normal"/>
              <w:textAlignment w:val="baseline"/>
              <w:rPr/>
            </w:pPr>
            <w:r>
              <w:rPr>
                <w:b/>
                <w:bCs/>
                <w:color w:val="000000"/>
                <w:kern w:val="2"/>
                <w:sz w:val="20"/>
                <w:szCs w:val="20"/>
                <w:lang w:val="en-US"/>
              </w:rPr>
              <w:t>R2</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Small risk</w:t>
            </w:r>
          </w:p>
        </w:tc>
        <w:tc>
          <w:tcPr>
            <w:tcW w:w="54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 xml:space="preserve">A limited redesign of the basic concept might not be needed </w:t>
            </w:r>
          </w:p>
        </w:tc>
      </w:tr>
      <w:tr>
        <w:trPr>
          <w:trHeight w:val="23" w:hRule="atLeast"/>
        </w:trPr>
        <w:tc>
          <w:tcPr>
            <w:tcW w:w="2552" w:type="dxa"/>
            <w:tcBorders>
              <w:top w:val="single" w:sz="8" w:space="0" w:color="000000"/>
              <w:left w:val="single" w:sz="8" w:space="0" w:color="000000"/>
              <w:bottom w:val="single" w:sz="8" w:space="0" w:color="000000"/>
            </w:tcBorders>
            <w:shd w:fill="FFFF00" w:val="clear"/>
          </w:tcPr>
          <w:p>
            <w:pPr>
              <w:pStyle w:val="Normal"/>
              <w:textAlignment w:val="baseline"/>
              <w:rPr/>
            </w:pPr>
            <w:r>
              <w:rPr>
                <w:b/>
                <w:bCs/>
                <w:color w:val="000000"/>
                <w:kern w:val="2"/>
                <w:sz w:val="20"/>
                <w:szCs w:val="20"/>
                <w:lang w:val="en-US"/>
              </w:rPr>
              <w:t>R3</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Average risk – certain risk</w:t>
            </w:r>
          </w:p>
        </w:tc>
        <w:tc>
          <w:tcPr>
            <w:tcW w:w="54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A thorough redesign of the basic concept is recommended for parts related to identified risks</w:t>
            </w:r>
          </w:p>
        </w:tc>
      </w:tr>
      <w:tr>
        <w:trPr>
          <w:trHeight w:val="23" w:hRule="atLeast"/>
        </w:trPr>
        <w:tc>
          <w:tcPr>
            <w:tcW w:w="2552" w:type="dxa"/>
            <w:tcBorders>
              <w:top w:val="single" w:sz="8" w:space="0" w:color="000000"/>
              <w:left w:val="single" w:sz="8" w:space="0" w:color="000000"/>
              <w:bottom w:val="single" w:sz="8" w:space="0" w:color="000000"/>
            </w:tcBorders>
            <w:shd w:fill="FFCC00" w:val="clear"/>
          </w:tcPr>
          <w:p>
            <w:pPr>
              <w:pStyle w:val="Normal"/>
              <w:textAlignment w:val="baseline"/>
              <w:rPr/>
            </w:pPr>
            <w:r>
              <w:rPr>
                <w:b/>
                <w:bCs/>
                <w:color w:val="000000"/>
                <w:kern w:val="2"/>
                <w:sz w:val="20"/>
                <w:szCs w:val="20"/>
                <w:lang w:val="en-US"/>
              </w:rPr>
              <w:t>R4</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Severe risk</w:t>
            </w:r>
          </w:p>
        </w:tc>
        <w:tc>
          <w:tcPr>
            <w:tcW w:w="54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A redesign of major parts of the basic concept is necessary to reach a less than average risk</w:t>
            </w:r>
          </w:p>
        </w:tc>
      </w:tr>
      <w:tr>
        <w:trPr>
          <w:trHeight w:val="23" w:hRule="atLeast"/>
        </w:trPr>
        <w:tc>
          <w:tcPr>
            <w:tcW w:w="2552" w:type="dxa"/>
            <w:tcBorders>
              <w:top w:val="single" w:sz="8" w:space="0" w:color="000000"/>
              <w:left w:val="single" w:sz="8" w:space="0" w:color="000000"/>
              <w:bottom w:val="single" w:sz="8" w:space="0" w:color="000000"/>
            </w:tcBorders>
            <w:shd w:fill="FF0000" w:val="clear"/>
          </w:tcPr>
          <w:p>
            <w:pPr>
              <w:pStyle w:val="Normal"/>
              <w:textAlignment w:val="baseline"/>
              <w:rPr>
                <w:b/>
                <w:b/>
                <w:bCs/>
                <w:color w:val="000000"/>
                <w:kern w:val="2"/>
                <w:sz w:val="20"/>
                <w:szCs w:val="20"/>
                <w:lang w:val="en-US"/>
              </w:rPr>
            </w:pPr>
            <w:r>
              <w:rPr>
                <w:b/>
                <w:bCs/>
                <w:color w:val="000000"/>
                <w:kern w:val="2"/>
                <w:sz w:val="20"/>
                <w:szCs w:val="20"/>
                <w:lang w:val="en-US"/>
              </w:rPr>
              <w:t>R5</w:t>
            </w:r>
          </w:p>
          <w:p>
            <w:pPr>
              <w:pStyle w:val="Normal"/>
              <w:textAlignment w:val="baseline"/>
              <w:rPr>
                <w:rFonts w:ascii="Arial" w:hAnsi="Arial" w:cs="Arial"/>
                <w:sz w:val="20"/>
                <w:szCs w:val="20"/>
                <w:lang w:val="en-US"/>
              </w:rPr>
            </w:pPr>
            <w:r>
              <w:rPr>
                <w:color w:val="000000"/>
                <w:kern w:val="2"/>
                <w:sz w:val="20"/>
                <w:szCs w:val="20"/>
                <w:lang w:val="en-US"/>
              </w:rPr>
              <w:t>Very severe  risk</w:t>
            </w:r>
          </w:p>
        </w:tc>
        <w:tc>
          <w:tcPr>
            <w:tcW w:w="54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Any further development of the design concept is not permitted until the identified risk is reduced to a less than average risk</w:t>
            </w:r>
          </w:p>
        </w:tc>
      </w:tr>
    </w:tbl>
    <w:p>
      <w:pPr>
        <w:pStyle w:val="Normal"/>
        <w:rPr>
          <w:color w:val="000000"/>
          <w:lang w:val="en-US"/>
        </w:rPr>
      </w:pPr>
      <w:r>
        <w:rPr>
          <w:color w:val="000000"/>
          <w:lang w:val="en-US"/>
        </w:rPr>
      </w:r>
    </w:p>
    <w:p>
      <w:pPr>
        <w:pStyle w:val="Normal"/>
        <w:jc w:val="center"/>
        <w:rPr>
          <w:color w:val="000000"/>
          <w:lang w:val="en-US"/>
        </w:rPr>
      </w:pPr>
      <w:r>
        <w:rPr>
          <w:color w:val="000000"/>
          <w:lang w:val="en-US"/>
        </w:rPr>
        <w:t>Figure 7.2. Risk level and need for action during planning</w:t>
      </w:r>
    </w:p>
    <w:p>
      <w:pPr>
        <w:pStyle w:val="Normal"/>
        <w:spacing w:before="0" w:after="120"/>
        <w:rPr>
          <w:rFonts w:ascii="Calibri" w:hAnsi="Calibri" w:cs="Calibri"/>
          <w:color w:val="000000"/>
          <w:lang w:val="en-US"/>
        </w:rPr>
      </w:pPr>
      <w:r>
        <w:rPr>
          <w:rFonts w:cs="Calibri" w:ascii="Calibri" w:hAnsi="Calibri"/>
          <w:color w:val="000000"/>
          <w:lang w:val="en-US"/>
        </w:rPr>
      </w:r>
    </w:p>
    <w:p>
      <w:pPr>
        <w:pStyle w:val="Normal"/>
        <w:spacing w:before="0" w:after="120"/>
        <w:rPr>
          <w:rFonts w:ascii="Calibri" w:hAnsi="Calibri" w:cs="Calibri"/>
          <w:lang w:val="en-US"/>
        </w:rPr>
      </w:pPr>
      <w:r>
        <w:rPr>
          <w:rFonts w:cs="Calibri" w:ascii="Calibri" w:hAnsi="Calibri"/>
          <w:lang w:val="en-US"/>
        </w:rPr>
        <w:t xml:space="preserve">The risk matrix for risk assessments during planning can also with some modification be used for risk assessments in the operative production stages. The risk matrix has therefore become a quite well known and used tool in the mining companies. </w:t>
      </w:r>
    </w:p>
    <w:p>
      <w:pPr>
        <w:pStyle w:val="Normal"/>
        <w:rPr>
          <w:rFonts w:cs="Calibri"/>
          <w:lang w:val="en-US"/>
        </w:rPr>
      </w:pPr>
      <w:r>
        <w:rPr>
          <w:rFonts w:cs="Calibri" w:ascii="Calibri" w:hAnsi="Calibri"/>
          <w:color w:val="000000"/>
          <w:lang w:val="en-US"/>
        </w:rPr>
        <w:tab/>
      </w:r>
    </w:p>
    <w:tbl>
      <w:tblPr>
        <w:tblW w:w="8030" w:type="dxa"/>
        <w:jc w:val="left"/>
        <w:tblInd w:w="1338" w:type="dxa"/>
        <w:tblCellMar>
          <w:top w:w="72" w:type="dxa"/>
          <w:left w:w="144" w:type="dxa"/>
          <w:bottom w:w="72" w:type="dxa"/>
          <w:right w:w="144" w:type="dxa"/>
        </w:tblCellMar>
      </w:tblPr>
      <w:tblGrid>
        <w:gridCol w:w="2482"/>
        <w:gridCol w:w="5528"/>
        <w:gridCol w:w="20"/>
      </w:tblGrid>
      <w:tr>
        <w:trPr>
          <w:trHeight w:val="283" w:hRule="atLeast"/>
        </w:trPr>
        <w:tc>
          <w:tcPr>
            <w:tcW w:w="2482" w:type="dxa"/>
            <w:tcBorders>
              <w:bottom w:val="single" w:sz="8" w:space="0" w:color="000000"/>
            </w:tcBorders>
          </w:tcPr>
          <w:p>
            <w:pPr>
              <w:pStyle w:val="Normal"/>
              <w:textAlignment w:val="baseline"/>
              <w:rPr>
                <w:rFonts w:ascii="Arial" w:hAnsi="Arial" w:cs="Arial"/>
                <w:sz w:val="20"/>
                <w:szCs w:val="20"/>
                <w:lang w:val="en-US"/>
              </w:rPr>
            </w:pPr>
            <w:r>
              <w:rPr>
                <w:b/>
                <w:bCs/>
                <w:color w:val="000000"/>
                <w:kern w:val="2"/>
                <w:sz w:val="20"/>
                <w:szCs w:val="20"/>
                <w:lang w:val="en-US"/>
              </w:rPr>
              <w:t>Risk level</w:t>
            </w:r>
          </w:p>
        </w:tc>
        <w:tc>
          <w:tcPr>
            <w:tcW w:w="5528" w:type="dxa"/>
            <w:tcBorders>
              <w:bottom w:val="single" w:sz="8" w:space="0" w:color="000000"/>
            </w:tcBorders>
            <w:tcMar>
              <w:top w:w="0" w:type="dxa"/>
              <w:left w:w="0" w:type="dxa"/>
              <w:bottom w:w="0" w:type="dxa"/>
              <w:right w:w="0" w:type="dxa"/>
            </w:tcMar>
          </w:tcPr>
          <w:p>
            <w:pPr>
              <w:pStyle w:val="Normal"/>
              <w:textAlignment w:val="baseline"/>
              <w:rPr>
                <w:rFonts w:ascii="Arial" w:hAnsi="Arial" w:cs="Arial"/>
                <w:sz w:val="20"/>
                <w:szCs w:val="20"/>
                <w:lang w:val="en-US"/>
              </w:rPr>
            </w:pPr>
            <w:r>
              <w:rPr>
                <w:b/>
                <w:bCs/>
                <w:color w:val="000000"/>
                <w:kern w:val="2"/>
                <w:sz w:val="20"/>
                <w:szCs w:val="20"/>
                <w:lang w:val="en-US"/>
              </w:rPr>
              <w:t>Need for action during production</w:t>
            </w:r>
          </w:p>
        </w:tc>
      </w:tr>
      <w:tr>
        <w:trPr>
          <w:trHeight w:val="23" w:hRule="atLeast"/>
        </w:trPr>
        <w:tc>
          <w:tcPr>
            <w:tcW w:w="2482" w:type="dxa"/>
            <w:tcBorders>
              <w:top w:val="single" w:sz="8" w:space="0" w:color="000000"/>
              <w:left w:val="single" w:sz="8" w:space="0" w:color="000000"/>
              <w:bottom w:val="single" w:sz="8" w:space="0" w:color="000000"/>
            </w:tcBorders>
            <w:shd w:fill="00FF00" w:val="clear"/>
          </w:tcPr>
          <w:p>
            <w:pPr>
              <w:pStyle w:val="Normal"/>
              <w:textAlignment w:val="baseline"/>
              <w:rPr/>
            </w:pPr>
            <w:r>
              <w:rPr>
                <w:b/>
                <w:bCs/>
                <w:color w:val="000000"/>
                <w:kern w:val="2"/>
                <w:sz w:val="20"/>
                <w:szCs w:val="20"/>
                <w:lang w:val="en-US"/>
              </w:rPr>
              <w:t>R1</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Low risk – negligible risk</w:t>
            </w:r>
          </w:p>
        </w:tc>
        <w:tc>
          <w:tcPr>
            <w:tcW w:w="5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No need for action</w:t>
            </w:r>
          </w:p>
        </w:tc>
      </w:tr>
      <w:tr>
        <w:trPr>
          <w:trHeight w:val="23" w:hRule="atLeast"/>
        </w:trPr>
        <w:tc>
          <w:tcPr>
            <w:tcW w:w="2482" w:type="dxa"/>
            <w:tcBorders>
              <w:top w:val="single" w:sz="8" w:space="0" w:color="000000"/>
              <w:left w:val="single" w:sz="8" w:space="0" w:color="000000"/>
              <w:bottom w:val="single" w:sz="8" w:space="0" w:color="000000"/>
            </w:tcBorders>
            <w:shd w:fill="99FF66" w:val="clear"/>
          </w:tcPr>
          <w:p>
            <w:pPr>
              <w:pStyle w:val="Normal"/>
              <w:textAlignment w:val="baseline"/>
              <w:rPr/>
            </w:pPr>
            <w:r>
              <w:rPr>
                <w:b/>
                <w:bCs/>
                <w:color w:val="000000"/>
                <w:kern w:val="2"/>
                <w:sz w:val="20"/>
                <w:szCs w:val="20"/>
                <w:lang w:val="en-US"/>
              </w:rPr>
              <w:t>R2</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Small risk</w:t>
            </w:r>
          </w:p>
        </w:tc>
        <w:tc>
          <w:tcPr>
            <w:tcW w:w="5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Action might not be needed within months</w:t>
            </w:r>
          </w:p>
        </w:tc>
      </w:tr>
      <w:tr>
        <w:trPr>
          <w:trHeight w:val="23" w:hRule="atLeast"/>
        </w:trPr>
        <w:tc>
          <w:tcPr>
            <w:tcW w:w="2482" w:type="dxa"/>
            <w:tcBorders>
              <w:top w:val="single" w:sz="8" w:space="0" w:color="000000"/>
              <w:left w:val="single" w:sz="8" w:space="0" w:color="000000"/>
              <w:bottom w:val="single" w:sz="8" w:space="0" w:color="000000"/>
            </w:tcBorders>
            <w:shd w:fill="FFFF00" w:val="clear"/>
          </w:tcPr>
          <w:p>
            <w:pPr>
              <w:pStyle w:val="Normal"/>
              <w:textAlignment w:val="baseline"/>
              <w:rPr/>
            </w:pPr>
            <w:r>
              <w:rPr>
                <w:b/>
                <w:bCs/>
                <w:color w:val="000000"/>
                <w:kern w:val="2"/>
                <w:sz w:val="20"/>
                <w:szCs w:val="20"/>
                <w:lang w:val="en-US"/>
              </w:rPr>
              <w:t>R3</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Average risk – certain risk</w:t>
            </w:r>
          </w:p>
        </w:tc>
        <w:tc>
          <w:tcPr>
            <w:tcW w:w="5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Reasonable risk reduction needed within a week</w:t>
            </w:r>
          </w:p>
        </w:tc>
      </w:tr>
      <w:tr>
        <w:trPr>
          <w:trHeight w:val="23" w:hRule="atLeast"/>
        </w:trPr>
        <w:tc>
          <w:tcPr>
            <w:tcW w:w="2482" w:type="dxa"/>
            <w:tcBorders>
              <w:top w:val="single" w:sz="8" w:space="0" w:color="000000"/>
              <w:left w:val="single" w:sz="8" w:space="0" w:color="000000"/>
              <w:bottom w:val="single" w:sz="8" w:space="0" w:color="000000"/>
            </w:tcBorders>
            <w:shd w:fill="FFCC00" w:val="clear"/>
          </w:tcPr>
          <w:p>
            <w:pPr>
              <w:pStyle w:val="Normal"/>
              <w:textAlignment w:val="baseline"/>
              <w:rPr/>
            </w:pPr>
            <w:r>
              <w:rPr>
                <w:b/>
                <w:bCs/>
                <w:color w:val="000000"/>
                <w:kern w:val="2"/>
                <w:sz w:val="20"/>
                <w:szCs w:val="20"/>
                <w:lang w:val="en-US"/>
              </w:rPr>
              <w:t>R4</w:t>
            </w:r>
            <w:r>
              <w:rPr>
                <w:color w:val="000000"/>
                <w:kern w:val="2"/>
                <w:sz w:val="20"/>
                <w:szCs w:val="20"/>
                <w:lang w:val="en-US"/>
              </w:rPr>
              <w:t xml:space="preserve"> </w:t>
            </w:r>
          </w:p>
          <w:p>
            <w:pPr>
              <w:pStyle w:val="Normal"/>
              <w:textAlignment w:val="baseline"/>
              <w:rPr>
                <w:rFonts w:ascii="Arial" w:hAnsi="Arial" w:cs="Arial"/>
                <w:sz w:val="20"/>
                <w:szCs w:val="20"/>
                <w:lang w:val="en-US"/>
              </w:rPr>
            </w:pPr>
            <w:r>
              <w:rPr>
                <w:color w:val="000000"/>
                <w:kern w:val="2"/>
                <w:sz w:val="20"/>
                <w:szCs w:val="20"/>
                <w:lang w:val="en-US"/>
              </w:rPr>
              <w:t>Severe risk</w:t>
            </w:r>
          </w:p>
        </w:tc>
        <w:tc>
          <w:tcPr>
            <w:tcW w:w="5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Promt action is necessary within hours</w:t>
            </w:r>
          </w:p>
        </w:tc>
      </w:tr>
      <w:tr>
        <w:trPr>
          <w:trHeight w:val="23" w:hRule="atLeast"/>
        </w:trPr>
        <w:tc>
          <w:tcPr>
            <w:tcW w:w="2482" w:type="dxa"/>
            <w:tcBorders>
              <w:top w:val="single" w:sz="8" w:space="0" w:color="000000"/>
              <w:left w:val="single" w:sz="8" w:space="0" w:color="000000"/>
              <w:bottom w:val="single" w:sz="8" w:space="0" w:color="000000"/>
            </w:tcBorders>
            <w:shd w:fill="FF0000" w:val="clear"/>
          </w:tcPr>
          <w:p>
            <w:pPr>
              <w:pStyle w:val="Normal"/>
              <w:textAlignment w:val="baseline"/>
              <w:rPr>
                <w:b/>
                <w:b/>
                <w:bCs/>
                <w:color w:val="000000"/>
                <w:kern w:val="2"/>
                <w:sz w:val="20"/>
                <w:szCs w:val="20"/>
                <w:lang w:val="en-US"/>
              </w:rPr>
            </w:pPr>
            <w:r>
              <w:rPr>
                <w:b/>
                <w:bCs/>
                <w:color w:val="000000"/>
                <w:kern w:val="2"/>
                <w:sz w:val="20"/>
                <w:szCs w:val="20"/>
                <w:lang w:val="en-US"/>
              </w:rPr>
              <w:t>R5</w:t>
            </w:r>
          </w:p>
          <w:p>
            <w:pPr>
              <w:pStyle w:val="Normal"/>
              <w:textAlignment w:val="baseline"/>
              <w:rPr>
                <w:rFonts w:ascii="Arial" w:hAnsi="Arial" w:cs="Arial"/>
                <w:sz w:val="20"/>
                <w:szCs w:val="20"/>
                <w:lang w:val="en-US"/>
              </w:rPr>
            </w:pPr>
            <w:r>
              <w:rPr>
                <w:color w:val="000000"/>
                <w:kern w:val="2"/>
                <w:sz w:val="20"/>
                <w:szCs w:val="20"/>
                <w:lang w:val="en-US"/>
              </w:rPr>
              <w:t>Very severe risk</w:t>
            </w:r>
          </w:p>
        </w:tc>
        <w:tc>
          <w:tcPr>
            <w:tcW w:w="5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pPr>
              <w:pStyle w:val="Normal"/>
              <w:snapToGrid w:val="false"/>
              <w:textAlignment w:val="baseline"/>
              <w:rPr>
                <w:rFonts w:ascii="Arial" w:hAnsi="Arial" w:cs="Arial"/>
                <w:color w:val="000000"/>
                <w:kern w:val="2"/>
                <w:sz w:val="20"/>
                <w:szCs w:val="20"/>
                <w:lang w:val="en-US"/>
              </w:rPr>
            </w:pPr>
            <w:r>
              <w:rPr>
                <w:rFonts w:cs="Arial" w:ascii="Arial" w:hAnsi="Arial"/>
                <w:color w:val="000000"/>
                <w:kern w:val="2"/>
                <w:sz w:val="20"/>
                <w:szCs w:val="20"/>
                <w:lang w:val="en-US"/>
              </w:rPr>
            </w:r>
          </w:p>
          <w:p>
            <w:pPr>
              <w:pStyle w:val="Normal"/>
              <w:textAlignment w:val="baseline"/>
              <w:rPr>
                <w:rFonts w:ascii="Arial" w:hAnsi="Arial" w:cs="Arial"/>
                <w:sz w:val="20"/>
                <w:szCs w:val="20"/>
                <w:lang w:val="en-US"/>
              </w:rPr>
            </w:pPr>
            <w:r>
              <w:rPr>
                <w:color w:val="000000"/>
                <w:kern w:val="2"/>
                <w:sz w:val="20"/>
                <w:szCs w:val="20"/>
                <w:lang w:val="en-US"/>
              </w:rPr>
              <w:t>Work is not permitted until risk is reduced to an acceptable level</w:t>
            </w:r>
          </w:p>
        </w:tc>
      </w:tr>
    </w:tbl>
    <w:p>
      <w:pPr>
        <w:pStyle w:val="Normal"/>
        <w:rPr>
          <w:lang w:val="en-US"/>
        </w:rPr>
      </w:pPr>
      <w:r>
        <w:rPr>
          <w:lang w:val="en-US"/>
        </w:rPr>
      </w:r>
    </w:p>
    <w:p>
      <w:pPr>
        <w:pStyle w:val="Normal"/>
        <w:jc w:val="center"/>
        <w:rPr>
          <w:lang w:val="en-US"/>
        </w:rPr>
      </w:pPr>
      <w:r>
        <w:rPr>
          <w:lang w:val="en-US"/>
        </w:rPr>
        <w:t>Figure 7.3. Risk level and need for action during production</w:t>
      </w:r>
    </w:p>
    <w:p>
      <w:pPr>
        <w:pStyle w:val="Normal"/>
        <w:spacing w:before="0" w:after="120"/>
        <w:rPr>
          <w:rFonts w:ascii="Calibri" w:hAnsi="Calibri" w:cs="Calibri"/>
          <w:lang w:val="en-US"/>
        </w:rPr>
      </w:pPr>
      <w:r>
        <w:rPr>
          <w:rFonts w:cs="Calibri" w:ascii="Calibri" w:hAnsi="Calibri"/>
          <w:lang w:val="en-US"/>
        </w:rPr>
      </w:r>
    </w:p>
    <w:p>
      <w:pPr>
        <w:pStyle w:val="Normal"/>
        <w:spacing w:before="0" w:after="120"/>
        <w:rPr/>
      </w:pPr>
      <w:r>
        <w:rPr>
          <w:rFonts w:cs="Calibri" w:ascii="Calibri" w:hAnsi="Calibri"/>
          <w:lang w:val="en-US"/>
        </w:rPr>
        <w:t>The classical tools for the identification of occupational risks in the existing production environments are Safety rounds, Incident and Accident reporting. These tools are however less suitable to identify and assess risks in future work environments. There you need other types of more proactive methods such as:</w:t>
      </w:r>
    </w:p>
    <w:p>
      <w:pPr>
        <w:pStyle w:val="Mellanmrktrutnt2"/>
        <w:numPr>
          <w:ilvl w:val="0"/>
          <w:numId w:val="3"/>
        </w:numPr>
        <w:bidi w:val="0"/>
        <w:spacing w:before="0" w:after="120"/>
        <w:jc w:val="left"/>
        <w:rPr>
          <w:rFonts w:ascii="Calibri" w:hAnsi="Calibri" w:cs="Calibri"/>
          <w:szCs w:val="24"/>
          <w:lang w:val="en-US"/>
        </w:rPr>
      </w:pPr>
      <w:r>
        <w:rPr>
          <w:rFonts w:cs="Calibri" w:ascii="Calibri" w:hAnsi="Calibri"/>
          <w:szCs w:val="24"/>
          <w:lang w:val="en-US"/>
        </w:rPr>
        <w:t xml:space="preserve">Preventive deviation analysis </w:t>
      </w:r>
    </w:p>
    <w:p>
      <w:pPr>
        <w:pStyle w:val="Mellanmrktrutnt2"/>
        <w:numPr>
          <w:ilvl w:val="0"/>
          <w:numId w:val="3"/>
        </w:numPr>
        <w:bidi w:val="0"/>
        <w:spacing w:before="0" w:after="120"/>
        <w:jc w:val="left"/>
        <w:rPr>
          <w:rFonts w:ascii="Calibri" w:hAnsi="Calibri" w:cs="Calibri"/>
          <w:szCs w:val="24"/>
          <w:lang w:val="en-US"/>
        </w:rPr>
      </w:pPr>
      <w:r>
        <w:rPr>
          <w:rFonts w:cs="Calibri" w:ascii="Calibri" w:hAnsi="Calibri"/>
          <w:szCs w:val="24"/>
          <w:lang w:val="en-US"/>
        </w:rPr>
        <w:t>Preventive energy analysis</w:t>
      </w:r>
    </w:p>
    <w:p>
      <w:pPr>
        <w:pStyle w:val="Normal"/>
        <w:spacing w:before="0" w:after="120"/>
        <w:rPr/>
      </w:pPr>
      <w:r>
        <w:rPr>
          <w:rFonts w:cs="Calibri" w:ascii="Calibri" w:hAnsi="Calibri"/>
          <w:lang w:val="en-US"/>
        </w:rPr>
        <w:t>A deviation is according to Harms-Ringdahl (2013) defined as an event or condition that deviates from the intended or normal. The purpose of a deviation analysis is to prevent, to predict abnormalities that can cause damage and to develop proposals to improve safety measures. Deviation Analysis is a very useful method since it takes into account the entire system, Human-Technology-Organization. Energy analysis focuses more on technology and might be useful when developing new productions systems. Three main components considered in an energy analysis are:</w:t>
      </w:r>
    </w:p>
    <w:p>
      <w:pPr>
        <w:pStyle w:val="Mellanmrktrutnt2"/>
        <w:numPr>
          <w:ilvl w:val="0"/>
          <w:numId w:val="2"/>
        </w:numPr>
        <w:bidi w:val="0"/>
        <w:spacing w:before="0" w:after="120"/>
        <w:jc w:val="left"/>
        <w:rPr>
          <w:rFonts w:ascii="Calibri" w:hAnsi="Calibri" w:cs="Calibri"/>
          <w:szCs w:val="24"/>
          <w:lang w:val="en-US"/>
        </w:rPr>
      </w:pPr>
      <w:r>
        <w:rPr>
          <w:rFonts w:cs="Calibri" w:ascii="Calibri" w:hAnsi="Calibri"/>
          <w:szCs w:val="24"/>
          <w:lang w:val="en-US"/>
        </w:rPr>
        <w:t xml:space="preserve">Energy that can damage </w:t>
      </w:r>
    </w:p>
    <w:p>
      <w:pPr>
        <w:pStyle w:val="Mellanmrktrutnt2"/>
        <w:numPr>
          <w:ilvl w:val="0"/>
          <w:numId w:val="2"/>
        </w:numPr>
        <w:bidi w:val="0"/>
        <w:spacing w:before="0" w:after="120"/>
        <w:jc w:val="left"/>
        <w:rPr>
          <w:rFonts w:ascii="Calibri" w:hAnsi="Calibri" w:cs="Calibri"/>
          <w:szCs w:val="24"/>
          <w:lang w:val="en-US"/>
        </w:rPr>
      </w:pPr>
      <w:r>
        <w:rPr>
          <w:rFonts w:cs="Calibri" w:ascii="Calibri" w:hAnsi="Calibri"/>
          <w:szCs w:val="24"/>
          <w:lang w:val="en-US"/>
        </w:rPr>
        <w:t xml:space="preserve">Targets that may be harmed </w:t>
      </w:r>
    </w:p>
    <w:p>
      <w:pPr>
        <w:pStyle w:val="Mellanmrktrutnt2"/>
        <w:numPr>
          <w:ilvl w:val="0"/>
          <w:numId w:val="2"/>
        </w:numPr>
        <w:bidi w:val="0"/>
        <w:spacing w:before="0" w:after="120"/>
        <w:jc w:val="left"/>
        <w:rPr>
          <w:rFonts w:ascii="Calibri" w:hAnsi="Calibri" w:cs="Calibri"/>
          <w:szCs w:val="24"/>
          <w:lang w:val="en-US"/>
        </w:rPr>
      </w:pPr>
      <w:r>
        <w:rPr>
          <w:rFonts w:cs="Calibri" w:ascii="Calibri" w:hAnsi="Calibri"/>
          <w:szCs w:val="24"/>
          <w:lang w:val="en-US"/>
        </w:rPr>
        <w:t>Barriers to Energy</w:t>
      </w:r>
    </w:p>
    <w:p>
      <w:pPr>
        <w:pStyle w:val="Normal"/>
        <w:spacing w:before="0" w:after="120"/>
        <w:rPr>
          <w:rFonts w:ascii="Calibri" w:hAnsi="Calibri" w:cs="Calibri"/>
          <w:lang w:val="en-US"/>
        </w:rPr>
      </w:pPr>
      <w:r>
        <w:rPr>
          <w:rFonts w:cs="Calibri" w:ascii="Calibri" w:hAnsi="Calibri"/>
          <w:lang w:val="en-US"/>
        </w:rPr>
        <w:t>The energies usually considered are: Gravity, height (including static load); Linear motion; Rotary motion; Stored pressure; Electrical energy; Heating and cooling; Fire and explosion; Chemical effects; Radiation; Miscellaneous (human movement, sharp edges, and points).</w:t>
      </w:r>
    </w:p>
    <w:p>
      <w:pPr>
        <w:pStyle w:val="Normal"/>
        <w:spacing w:before="0" w:after="120"/>
        <w:rPr>
          <w:rFonts w:ascii="Calibri" w:hAnsi="Calibri" w:cs="Calibri"/>
          <w:color w:val="000000"/>
          <w:lang w:val="en-US"/>
        </w:rPr>
      </w:pPr>
      <w:r>
        <w:rPr>
          <w:rFonts w:cs="Calibri" w:ascii="Calibri" w:hAnsi="Calibri"/>
          <w:color w:val="000000"/>
          <w:lang w:val="en-US"/>
        </w:rPr>
        <w:t xml:space="preserve">There are also many other different risk analysis methods that can be used during the development of new production systems. Besides the methods mentioned above methods like Preventive Work Safety Analysis (PWSA), Failure Mode Effect Analysis (FMEA), Fault Tree Analysis (FTA), Event Tree Analysis (ETA), Work Environment Screening Tool (WEST) etc. are possible to use. The most appropriate tools have to be chosen for every specific analysis task and the users of the tools must also have the necessary competence in order to attain reliable and relevant results. Here the mining business probably can learn much from other industries that have strong safety cultures and long experience of systematic risk management. Especially important will be to learn how to proactively manage risks for fatalities and other severe risks. Here so called leading indicators are preferred instead of lagging indicators. </w:t>
      </w:r>
    </w:p>
    <w:p>
      <w:pPr>
        <w:pStyle w:val="Normal"/>
        <w:spacing w:before="0" w:after="120"/>
        <w:rPr>
          <w:rFonts w:ascii="Calibri" w:hAnsi="Calibri" w:cs="Calibri"/>
          <w:color w:val="000000"/>
          <w:lang w:val="en-US"/>
        </w:rPr>
      </w:pPr>
      <w:r>
        <w:rPr>
          <w:rFonts w:cs="Calibri" w:ascii="Calibri" w:hAnsi="Calibri"/>
          <w:lang w:val="en-US"/>
        </w:rPr>
        <w:t>Even if there are many risk evaluation tools available the mining industry seems to need new and efficient tools</w:t>
      </w:r>
      <w:r>
        <w:rPr>
          <w:rFonts w:cs="Calibri" w:ascii="Calibri" w:hAnsi="Calibri"/>
          <w:bCs/>
          <w:lang w:val="en-US"/>
        </w:rPr>
        <w:t xml:space="preserve"> for description, evaluation and design of work environment during early phases of strategic decision making and production system design. The most important decisions regarding work environment and safety are made by top management when mining methods, technology, work organization etc. are decided. Therefore risk analyses regarding these matters should be made as early as possible in the mine design process. </w:t>
      </w:r>
    </w:p>
    <w:p>
      <w:pPr>
        <w:pStyle w:val="Normal"/>
        <w:spacing w:before="0" w:after="120"/>
        <w:rPr/>
      </w:pPr>
      <w:r>
        <w:rPr>
          <w:rFonts w:cs="Calibri" w:ascii="Calibri" w:hAnsi="Calibri"/>
          <w:color w:val="000000"/>
          <w:lang w:val="en-US"/>
        </w:rPr>
        <w:t>Once a risk analysis is completed it often requires measures which in most situations should be implemented in the following well known order:</w:t>
      </w:r>
    </w:p>
    <w:p>
      <w:pPr>
        <w:pStyle w:val="Normal"/>
        <w:numPr>
          <w:ilvl w:val="0"/>
          <w:numId w:val="4"/>
        </w:numPr>
        <w:spacing w:before="0" w:after="120"/>
        <w:rPr/>
      </w:pPr>
      <w:r>
        <w:rPr>
          <w:rFonts w:cs="Calibri" w:ascii="Calibri" w:hAnsi="Calibri"/>
          <w:color w:val="000000"/>
          <w:lang w:val="en-US"/>
        </w:rPr>
        <w:t xml:space="preserve">Prevent already in the planning stage, replace the hazards entirely. For example, through automation to eliminate manual or mechanized underground work. </w:t>
      </w:r>
    </w:p>
    <w:p>
      <w:pPr>
        <w:pStyle w:val="Normal"/>
        <w:numPr>
          <w:ilvl w:val="0"/>
          <w:numId w:val="4"/>
        </w:numPr>
        <w:spacing w:before="0" w:after="120"/>
        <w:rPr>
          <w:rFonts w:ascii="Calibri" w:hAnsi="Calibri" w:cs="Calibri"/>
          <w:color w:val="000000"/>
          <w:lang w:val="en-US"/>
        </w:rPr>
      </w:pPr>
      <w:r>
        <w:rPr>
          <w:rFonts w:cs="Calibri" w:ascii="Calibri" w:hAnsi="Calibri"/>
          <w:color w:val="000000"/>
          <w:lang w:val="en-US"/>
        </w:rPr>
        <w:t xml:space="preserve">Isolate the individual hazard, risk process. For example, by designing ventilation and layout so that the blasting fumes can’t be spread outside the risk zone. </w:t>
      </w:r>
    </w:p>
    <w:p>
      <w:pPr>
        <w:pStyle w:val="Normal"/>
        <w:numPr>
          <w:ilvl w:val="0"/>
          <w:numId w:val="4"/>
        </w:numPr>
        <w:spacing w:before="0" w:after="120"/>
        <w:rPr/>
      </w:pPr>
      <w:r>
        <w:rPr>
          <w:rFonts w:cs="Calibri" w:ascii="Calibri" w:hAnsi="Calibri"/>
          <w:color w:val="000000"/>
          <w:lang w:val="en-US"/>
        </w:rPr>
        <w:t xml:space="preserve">Change process technology and behavior. For example, DTH-drilling with water hydraulics rather than pneumatics to reduce dust emissions. </w:t>
      </w:r>
    </w:p>
    <w:p>
      <w:pPr>
        <w:pStyle w:val="Normal"/>
        <w:numPr>
          <w:ilvl w:val="0"/>
          <w:numId w:val="4"/>
        </w:numPr>
        <w:spacing w:before="0" w:after="120"/>
        <w:rPr>
          <w:rFonts w:ascii="Calibri" w:hAnsi="Calibri" w:cs="Calibri"/>
          <w:color w:val="000000"/>
          <w:lang w:val="en-US"/>
        </w:rPr>
      </w:pPr>
      <w:r>
        <w:rPr>
          <w:rFonts w:cs="Calibri" w:ascii="Calibri" w:hAnsi="Calibri"/>
          <w:color w:val="000000"/>
          <w:lang w:val="en-US"/>
        </w:rPr>
        <w:t xml:space="preserve">Limit the hazard through enclosures, physical protection. For example, build concrete borders and railings at the shaft openings. </w:t>
      </w:r>
    </w:p>
    <w:p>
      <w:pPr>
        <w:pStyle w:val="Normal"/>
        <w:numPr>
          <w:ilvl w:val="0"/>
          <w:numId w:val="4"/>
        </w:numPr>
        <w:spacing w:before="0" w:after="120"/>
        <w:rPr/>
      </w:pPr>
      <w:r>
        <w:rPr>
          <w:rFonts w:cs="Calibri" w:ascii="Calibri" w:hAnsi="Calibri"/>
          <w:color w:val="000000"/>
          <w:lang w:val="en-US"/>
        </w:rPr>
        <w:t xml:space="preserve">Isolate personnel from the hazard risk area. For example, by supplying the mining vehicles with safety cabs with good climate control. </w:t>
      </w:r>
    </w:p>
    <w:p>
      <w:pPr>
        <w:pStyle w:val="Normal"/>
        <w:numPr>
          <w:ilvl w:val="0"/>
          <w:numId w:val="4"/>
        </w:numPr>
        <w:spacing w:before="0" w:after="120"/>
        <w:rPr>
          <w:rFonts w:ascii="Calibri" w:hAnsi="Calibri" w:cs="Calibri"/>
          <w:color w:val="000000"/>
          <w:lang w:val="en-US"/>
        </w:rPr>
      </w:pPr>
      <w:r>
        <w:rPr>
          <w:rFonts w:cs="Calibri" w:ascii="Calibri" w:hAnsi="Calibri"/>
          <w:color w:val="000000"/>
          <w:lang w:val="en-US"/>
        </w:rPr>
        <w:t xml:space="preserve">Risk is reduced by instructions, procedures, training, etc. For example, procedures for safe handling of explosives. </w:t>
      </w:r>
    </w:p>
    <w:p>
      <w:pPr>
        <w:pStyle w:val="Normal"/>
        <w:numPr>
          <w:ilvl w:val="0"/>
          <w:numId w:val="4"/>
        </w:numPr>
        <w:spacing w:before="0" w:after="120"/>
        <w:rPr>
          <w:rFonts w:ascii="Calibri" w:hAnsi="Calibri" w:cs="Calibri"/>
          <w:color w:val="000000"/>
          <w:lang w:val="en-US"/>
        </w:rPr>
      </w:pPr>
      <w:r>
        <w:rPr>
          <w:rFonts w:cs="Calibri" w:ascii="Calibri" w:hAnsi="Calibri"/>
          <w:color w:val="000000"/>
          <w:lang w:val="en-US"/>
        </w:rPr>
        <w:t>Risk is reduced through personal protective equipment. For example, functional working clothes.</w:t>
      </w:r>
    </w:p>
    <w:p>
      <w:pPr>
        <w:pStyle w:val="Normal"/>
        <w:spacing w:before="0" w:after="120"/>
        <w:rPr>
          <w:rFonts w:ascii="Calibri" w:hAnsi="Calibri" w:cs="Calibri"/>
          <w:lang w:val="en-US"/>
        </w:rPr>
      </w:pPr>
      <w:r>
        <w:rPr>
          <w:rFonts w:cs="Calibri" w:ascii="Calibri" w:hAnsi="Calibri"/>
          <w:lang w:val="en-US"/>
        </w:rPr>
        <w:t>Depending on the complexity and severity of problems one may require different combinations of measures as described above. One recommendation is to always try to attack the root causes of the problem first. It tends to result in the most cost efficient and result efficient solutions. This is an important task for mine planners. They have the best opportunity to eliminate a lot of potential health and safety problems when they develop the first conceptual solutions. Planners that don’t realize this and neglect these matters can cause great harm for many years to the mining personnel and their company.</w:t>
      </w:r>
    </w:p>
    <w:p>
      <w:pPr>
        <w:pStyle w:val="Heading1"/>
        <w:spacing w:before="240" w:after="120"/>
        <w:rPr>
          <w:rFonts w:ascii="Calibri" w:hAnsi="Calibri" w:cs="Calibri"/>
          <w:sz w:val="24"/>
          <w:szCs w:val="24"/>
          <w:lang w:val="en-US"/>
        </w:rPr>
      </w:pPr>
      <w:r>
        <w:rPr>
          <w:rFonts w:cs="Calibri" w:ascii="Calibri" w:hAnsi="Calibri"/>
          <w:sz w:val="24"/>
          <w:szCs w:val="24"/>
          <w:lang w:val="en-US"/>
        </w:rPr>
        <w:t xml:space="preserve">References </w:t>
      </w:r>
    </w:p>
    <w:p>
      <w:pPr>
        <w:pStyle w:val="Mellanmrktrutnt2"/>
        <w:bidi w:val="0"/>
        <w:spacing w:before="0" w:after="120"/>
        <w:jc w:val="left"/>
        <w:rPr>
          <w:rFonts w:ascii="Calibri" w:hAnsi="Calibri" w:cs="Calibri"/>
          <w:szCs w:val="24"/>
          <w:lang w:val="en-US"/>
        </w:rPr>
      </w:pPr>
      <w:r>
        <w:rPr>
          <w:rFonts w:cs="Calibri" w:ascii="Calibri" w:hAnsi="Calibri"/>
          <w:szCs w:val="24"/>
          <w:lang w:val="en-US"/>
        </w:rPr>
        <w:t>Harms-Ringdahl  L (2013) Guide to safety analysis for accident prevention, IRS Riskhantering AB, Stockholm</w:t>
      </w:r>
    </w:p>
    <w:p>
      <w:pPr>
        <w:pStyle w:val="Mellanmrktrutnt2"/>
        <w:bidi w:val="0"/>
        <w:spacing w:before="0" w:after="120"/>
        <w:jc w:val="left"/>
        <w:rPr>
          <w:rFonts w:ascii="Calibri" w:hAnsi="Calibri" w:cs="Calibri"/>
          <w:szCs w:val="24"/>
          <w:lang w:val="en-US"/>
        </w:rPr>
      </w:pPr>
      <w:r>
        <w:rPr>
          <w:rFonts w:cs="Calibri" w:ascii="Calibri" w:hAnsi="Calibri"/>
          <w:szCs w:val="24"/>
          <w:lang w:val="en-US"/>
        </w:rPr>
        <w:t xml:space="preserve">Johansson B. &amp; Johansson J. (2016) </w:t>
      </w:r>
      <w:r>
        <w:rPr>
          <w:rFonts w:cs="Calibri" w:ascii="Calibri" w:hAnsi="Calibri"/>
          <w:i/>
          <w:szCs w:val="24"/>
          <w:lang w:val="en-US"/>
        </w:rPr>
        <w:t>Deep Mining, Health, and Safety Aspects</w:t>
      </w:r>
      <w:r>
        <w:rPr>
          <w:rFonts w:cs="Calibri" w:ascii="Calibri" w:hAnsi="Calibri"/>
          <w:szCs w:val="24"/>
          <w:lang w:val="en-US"/>
        </w:rPr>
        <w:t xml:space="preserve">. In </w:t>
      </w:r>
      <w:r>
        <w:rPr>
          <w:rFonts w:cs="Helvetica" w:ascii="Helvetica" w:hAnsi="Helvetica"/>
          <w:color w:val="333333"/>
          <w:spacing w:val="4"/>
          <w:sz w:val="21"/>
          <w:szCs w:val="21"/>
          <w:lang w:val="en-US"/>
        </w:rPr>
        <w:t>Tiess G., Majumder T., Cameron P.</w:t>
      </w:r>
      <w:r>
        <w:rPr>
          <w:rFonts w:cs="Calibri" w:ascii="Calibri" w:hAnsi="Calibri"/>
          <w:szCs w:val="24"/>
          <w:lang w:val="en-US"/>
        </w:rPr>
        <w:t>, Encyclopedia of Mineral and Energy Policy, Springer-Verlag GmbH Germany. DOI 10.1007/978-3-642-40871-7</w:t>
      </w:r>
    </w:p>
    <w:p>
      <w:pPr>
        <w:pStyle w:val="Mellanmrktrutnt2"/>
        <w:bidi w:val="0"/>
        <w:spacing w:before="0" w:after="120"/>
        <w:jc w:val="left"/>
        <w:rPr>
          <w:rFonts w:ascii="Calibri" w:hAnsi="Calibri" w:cs="Calibri"/>
          <w:szCs w:val="24"/>
          <w:lang w:val="en-US"/>
        </w:rPr>
      </w:pPr>
      <w:r>
        <w:rPr>
          <w:rFonts w:eastAsia="Times New Roman"/>
          <w:vanish/>
          <w:sz w:val="20"/>
          <w:szCs w:val="20"/>
        </w:rPr>
      </w:r>
      <w:bookmarkStart w:id="0" w:name="_PictureBullets"/>
      <w:bookmarkStart w:id="1" w:name="_PictureBullets"/>
      <w:bookmarkEnd w:id="1"/>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0"/>
    <w:family w:val="roman"/>
    <w:pitch w:val="variable"/>
  </w:font>
  <w:font w:name="Symbol">
    <w:charset w:val="02"/>
    <w:family w:val="decorative"/>
    <w:pitch w:val="variable"/>
  </w:font>
  <w:font w:name="Courier New">
    <w:charset w:val="00"/>
    <w:family w:val="modern"/>
    <w:pitch w:val="default"/>
  </w:font>
  <w:font w:name="Wingdings">
    <w:charset w:val="02"/>
    <w:family w:val="decorative"/>
    <w:pitch w:val="variable"/>
  </w:font>
  <w:font w:name="Calibri">
    <w:charset w:val="00"/>
    <w:family w:val="swiss"/>
    <w:pitch w:val="variable"/>
  </w:font>
  <w:font w:name="Tahoma">
    <w:charset w:val="00"/>
    <w:family w:val="swiss"/>
    <w:pitch w:val="variable"/>
  </w:font>
  <w:font w:name="Arial Black">
    <w:charset w:val="00"/>
    <w:family w:val="swiss"/>
    <w:pitch w:val="variable"/>
  </w:font>
  <w:font w:name="FOOKDG+TimesNewRomanPS">
    <w:altName w:val="Times New Roman"/>
    <w:charset w:val="00"/>
    <w:family w:val="roman"/>
    <w:pitch w:val="default"/>
  </w:font>
  <w:font w:name="Trebuchet MS">
    <w:charset w:val="00"/>
    <w:family w:val="swiss"/>
    <w:pitch w:val="variable"/>
  </w:font>
  <w:font w:name="Arial Rounded MT Bold">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decimal"/>
      <w:lvlText w:val="%1."/>
      <w:lvlJc w:val="left"/>
      <w:pPr>
        <w:tabs>
          <w:tab w:val="num" w:pos="720"/>
        </w:tabs>
        <w:ind w:left="720" w:hanging="360"/>
      </w:pPr>
      <w:rPr>
        <w:rFonts w:ascii="Calibri" w:hAnsi="Calibri" w:cs="Calibri"/>
        <w:color w:val="000000"/>
        <w:lang w:val="en-U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2"/>
  <w:defaultTabStop w:val="130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v-SE" w:bidi="ar-SA" w:eastAsia="zh-CN"/>
    </w:rPr>
  </w:style>
  <w:style w:type="paragraph" w:styleId="Heading1">
    <w:name w:val="Heading 1"/>
    <w:basedOn w:val="Normal"/>
    <w:next w:val="Normal"/>
    <w:qFormat/>
    <w:pPr>
      <w:keepNext w:val="true"/>
      <w:numPr>
        <w:ilvl w:val="0"/>
        <w:numId w:val="1"/>
      </w:numPr>
      <w:spacing w:before="240" w:after="60"/>
      <w:outlineLvl w:val="0"/>
    </w:pPr>
    <w:rPr>
      <w:rFonts w:eastAsia="Times New Roman"/>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eastAsia="Times New Roman"/>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eastAsia="Times New Roman"/>
      <w:b/>
      <w:bCs/>
      <w:szCs w:val="26"/>
    </w:rPr>
  </w:style>
  <w:style w:type="paragraph" w:styleId="Heading4">
    <w:name w:val="Heading 4"/>
    <w:basedOn w:val="Normal"/>
    <w:next w:val="Normal"/>
    <w:qFormat/>
    <w:pPr>
      <w:numPr>
        <w:ilvl w:val="3"/>
        <w:numId w:val="1"/>
      </w:numPr>
      <w:spacing w:before="200" w:after="0"/>
      <w:outlineLvl w:val="3"/>
    </w:pPr>
    <w:rPr>
      <w:rFonts w:ascii="Cambria" w:hAnsi="Cambria" w:eastAsia="Times New Roman" w:cs="Cambria"/>
      <w:b/>
      <w:bCs/>
      <w:i/>
      <w:iCs/>
    </w:rPr>
  </w:style>
  <w:style w:type="paragraph" w:styleId="Heading5">
    <w:name w:val="Heading 5"/>
    <w:basedOn w:val="Normal"/>
    <w:next w:val="Normal"/>
    <w:qFormat/>
    <w:pPr>
      <w:numPr>
        <w:ilvl w:val="4"/>
        <w:numId w:val="1"/>
      </w:numPr>
      <w:spacing w:before="200" w:after="0"/>
      <w:outlineLvl w:val="4"/>
    </w:pPr>
    <w:rPr>
      <w:rFonts w:ascii="Cambria" w:hAnsi="Cambria" w:eastAsia="Times New Roman" w:cs="Cambria"/>
      <w:b/>
      <w:bCs/>
      <w:color w:val="7F7F7F"/>
    </w:rPr>
  </w:style>
  <w:style w:type="paragraph" w:styleId="Heading6">
    <w:name w:val="Heading 6"/>
    <w:basedOn w:val="Normal"/>
    <w:next w:val="Normal"/>
    <w:qFormat/>
    <w:pPr>
      <w:numPr>
        <w:ilvl w:val="5"/>
        <w:numId w:val="1"/>
      </w:numPr>
      <w:spacing w:lineRule="auto" w:line="268" w:before="0" w:after="0"/>
      <w:outlineLvl w:val="5"/>
    </w:pPr>
    <w:rPr>
      <w:rFonts w:ascii="Cambria" w:hAnsi="Cambria" w:eastAsia="Times New Roman" w:cs="Cambria"/>
      <w:b/>
      <w:bCs/>
      <w:i/>
      <w:iCs/>
      <w:color w:val="7F7F7F"/>
    </w:rPr>
  </w:style>
  <w:style w:type="paragraph" w:styleId="Heading7">
    <w:name w:val="Heading 7"/>
    <w:basedOn w:val="Normal"/>
    <w:next w:val="Normal"/>
    <w:qFormat/>
    <w:pPr>
      <w:numPr>
        <w:ilvl w:val="6"/>
        <w:numId w:val="1"/>
      </w:numPr>
      <w:spacing w:before="0" w:after="0"/>
      <w:outlineLvl w:val="6"/>
    </w:pPr>
    <w:rPr>
      <w:rFonts w:ascii="Cambria" w:hAnsi="Cambria" w:eastAsia="Times New Roman" w:cs="Cambria"/>
      <w:i/>
      <w:iCs/>
    </w:rPr>
  </w:style>
  <w:style w:type="paragraph" w:styleId="Heading8">
    <w:name w:val="Heading 8"/>
    <w:basedOn w:val="Normal"/>
    <w:next w:val="Normal"/>
    <w:qFormat/>
    <w:pPr>
      <w:numPr>
        <w:ilvl w:val="7"/>
        <w:numId w:val="1"/>
      </w:numPr>
      <w:spacing w:before="0" w:after="0"/>
      <w:outlineLvl w:val="7"/>
    </w:pPr>
    <w:rPr>
      <w:rFonts w:ascii="Cambria" w:hAnsi="Cambria" w:eastAsia="Times New Roman" w:cs="Cambria"/>
      <w:sz w:val="20"/>
      <w:szCs w:val="20"/>
    </w:rPr>
  </w:style>
  <w:style w:type="paragraph" w:styleId="Heading9">
    <w:name w:val="Heading 9"/>
    <w:basedOn w:val="Normal"/>
    <w:next w:val="Normal"/>
    <w:qFormat/>
    <w:pPr>
      <w:numPr>
        <w:ilvl w:val="8"/>
        <w:numId w:val="1"/>
      </w:numPr>
      <w:spacing w:before="0" w:after="0"/>
      <w:outlineLvl w:val="8"/>
    </w:pPr>
    <w:rPr>
      <w:rFonts w:ascii="Cambria" w:hAnsi="Cambria" w:eastAsia="Times New Roman" w:cs="Cambria"/>
      <w:i/>
      <w:iCs/>
      <w:spacing w:val="5"/>
      <w:sz w:val="20"/>
      <w:szCs w:val="2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cs="Times New Roman"/>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color w:val="00000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cs="Times New Roman"/>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Times New Roman" w:hAnsi="Times New Roman" w:cs="Times New Roman"/>
    </w:rPr>
  </w:style>
  <w:style w:type="character" w:styleId="WW8Num34z0">
    <w:name w:val="WW8Num34z0"/>
    <w:qFormat/>
    <w:rPr>
      <w:rFonts w:ascii="Symbol" w:hAnsi="Symbol" w:cs="Symbol"/>
      <w:color w:val="000000"/>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color w:val="000000"/>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color w:val="00000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color w:val="000000"/>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color w:val="000000"/>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Symbol" w:hAnsi="Symbol" w:cs="Symbol"/>
      <w:color w:val="000000"/>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color w:val="000000"/>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50z0">
    <w:name w:val="WW8Num50z0"/>
    <w:qFormat/>
    <w:rPr>
      <w:rFonts w:ascii="Symbol" w:hAnsi="Symbol" w:cs="Symbol"/>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WW8Num51z0">
    <w:name w:val="WW8Num51z0"/>
    <w:qFormat/>
    <w:rPr>
      <w:rFonts w:ascii="Symbol" w:hAnsi="Symbol" w:cs="Symbol"/>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rFonts w:ascii="Symbol" w:hAnsi="Symbol" w:cs="Symbol"/>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3z0">
    <w:name w:val="WW8Num53z0"/>
    <w:qFormat/>
    <w:rPr>
      <w:rFonts w:ascii="Symbol" w:hAnsi="Symbol" w:cs="Symbol"/>
      <w:color w:val="000000"/>
    </w:rPr>
  </w:style>
  <w:style w:type="character" w:styleId="WW8Num53z1">
    <w:name w:val="WW8Num53z1"/>
    <w:qFormat/>
    <w:rPr>
      <w:rFonts w:ascii="Courier New" w:hAnsi="Courier New" w:cs="Courier New"/>
    </w:rPr>
  </w:style>
  <w:style w:type="character" w:styleId="WW8Num53z2">
    <w:name w:val="WW8Num53z2"/>
    <w:qFormat/>
    <w:rPr>
      <w:rFonts w:ascii="Wingdings" w:hAnsi="Wingdings" w:cs="Wingdings"/>
    </w:rPr>
  </w:style>
  <w:style w:type="character" w:styleId="WW8Num53z3">
    <w:name w:val="WW8Num53z3"/>
    <w:qFormat/>
    <w:rPr>
      <w:rFonts w:ascii="Symbol" w:hAnsi="Symbol" w:cs="Symbol"/>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rFonts w:ascii="Calibri" w:hAnsi="Calibri" w:cs="Calibri"/>
      <w:color w:val="000000"/>
      <w:lang w:val="en-US"/>
    </w:rPr>
  </w:style>
  <w:style w:type="character" w:styleId="WW8Num55z1">
    <w:name w:val="WW8Num55z1"/>
    <w:qFormat/>
    <w:rPr/>
  </w:style>
  <w:style w:type="character" w:styleId="WW8Num55z2">
    <w:name w:val="WW8Num55z2"/>
    <w:qFormat/>
    <w:rPr/>
  </w:style>
  <w:style w:type="character" w:styleId="WW8Num55z3">
    <w:name w:val="WW8Num55z3"/>
    <w:qFormat/>
    <w:rPr/>
  </w:style>
  <w:style w:type="character" w:styleId="WW8Num55z4">
    <w:name w:val="WW8Num55z4"/>
    <w:qFormat/>
    <w:rPr/>
  </w:style>
  <w:style w:type="character" w:styleId="WW8Num55z5">
    <w:name w:val="WW8Num55z5"/>
    <w:qFormat/>
    <w:rPr/>
  </w:style>
  <w:style w:type="character" w:styleId="WW8Num55z6">
    <w:name w:val="WW8Num55z6"/>
    <w:qFormat/>
    <w:rPr/>
  </w:style>
  <w:style w:type="character" w:styleId="WW8Num55z7">
    <w:name w:val="WW8Num55z7"/>
    <w:qFormat/>
    <w:rPr/>
  </w:style>
  <w:style w:type="character" w:styleId="WW8Num55z8">
    <w:name w:val="WW8Num55z8"/>
    <w:qFormat/>
    <w:rPr/>
  </w:style>
  <w:style w:type="character" w:styleId="Standardstycketeckensnitt">
    <w:name w:val="Standardstycketeckensnitt"/>
    <w:qFormat/>
    <w:rPr/>
  </w:style>
  <w:style w:type="character" w:styleId="Rubrik1Char">
    <w:name w:val="Rubrik 1 Char"/>
    <w:qFormat/>
    <w:rPr>
      <w:rFonts w:ascii="Times New Roman" w:hAnsi="Times New Roman" w:eastAsia="Times New Roman" w:cs="Times New Roman"/>
      <w:b/>
      <w:bCs/>
      <w:kern w:val="2"/>
      <w:sz w:val="32"/>
      <w:szCs w:val="32"/>
    </w:rPr>
  </w:style>
  <w:style w:type="character" w:styleId="Rubrik2Char">
    <w:name w:val="Rubrik 2 Char"/>
    <w:qFormat/>
    <w:rPr>
      <w:rFonts w:ascii="Times New Roman" w:hAnsi="Times New Roman" w:eastAsia="Times New Roman" w:cs="Times New Roman"/>
      <w:b/>
      <w:bCs/>
      <w:i/>
      <w:iCs/>
      <w:sz w:val="28"/>
      <w:szCs w:val="28"/>
    </w:rPr>
  </w:style>
  <w:style w:type="character" w:styleId="Rubrik3Char">
    <w:name w:val="Rubrik 3 Char"/>
    <w:qFormat/>
    <w:rPr>
      <w:rFonts w:ascii="Times New Roman" w:hAnsi="Times New Roman" w:eastAsia="Times New Roman" w:cs="Times New Roman"/>
      <w:b/>
      <w:bCs/>
      <w:sz w:val="24"/>
      <w:szCs w:val="26"/>
    </w:rPr>
  </w:style>
  <w:style w:type="character" w:styleId="Rubrik4Char">
    <w:name w:val="Rubrik 4 Char"/>
    <w:qFormat/>
    <w:rPr>
      <w:rFonts w:ascii="Cambria" w:hAnsi="Cambria" w:eastAsia="Times New Roman" w:cs="Cambria"/>
      <w:b/>
      <w:bCs/>
      <w:i/>
      <w:iCs/>
      <w:sz w:val="24"/>
      <w:szCs w:val="22"/>
      <w:lang w:val="sv-SE"/>
    </w:rPr>
  </w:style>
  <w:style w:type="character" w:styleId="Rubrik5Char">
    <w:name w:val="Rubrik 5 Char"/>
    <w:qFormat/>
    <w:rPr>
      <w:rFonts w:ascii="Cambria" w:hAnsi="Cambria" w:eastAsia="Times New Roman" w:cs="Cambria"/>
      <w:b/>
      <w:bCs/>
      <w:color w:val="7F7F7F"/>
      <w:sz w:val="24"/>
      <w:szCs w:val="22"/>
      <w:lang w:val="sv-SE"/>
    </w:rPr>
  </w:style>
  <w:style w:type="character" w:styleId="BrdtextChar">
    <w:name w:val="Brödtext Char"/>
    <w:qFormat/>
    <w:rPr>
      <w:rFonts w:ascii="Times New Roman" w:hAnsi="Times New Roman" w:eastAsia="Times New Roman" w:cs="Times New Roman"/>
      <w:bCs/>
      <w:sz w:val="24"/>
      <w:szCs w:val="24"/>
      <w:lang w:val="en-GB"/>
    </w:rPr>
  </w:style>
  <w:style w:type="character" w:styleId="InternetLink">
    <w:name w:val="Hyperlink"/>
    <w:rPr>
      <w:color w:val="0000FF"/>
      <w:u w:val="single"/>
    </w:rPr>
  </w:style>
  <w:style w:type="character" w:styleId="StrongEmphasis">
    <w:name w:val="Strong Emphasis"/>
    <w:qFormat/>
    <w:rPr>
      <w:b/>
      <w:bCs/>
    </w:rPr>
  </w:style>
  <w:style w:type="character" w:styleId="Emphasis">
    <w:name w:val="Emphasis"/>
    <w:qFormat/>
    <w:rPr>
      <w:i/>
      <w:iCs/>
    </w:rPr>
  </w:style>
  <w:style w:type="character" w:styleId="Contenttypedocumentsummary">
    <w:name w:val="contenttype-document summary"/>
    <w:qFormat/>
    <w:rPr/>
  </w:style>
  <w:style w:type="character" w:styleId="Description">
    <w:name w:val="description"/>
    <w:qFormat/>
    <w:rPr/>
  </w:style>
  <w:style w:type="character" w:styleId="Hps">
    <w:name w:val="hps"/>
    <w:qFormat/>
    <w:rPr/>
  </w:style>
  <w:style w:type="character" w:styleId="Shorttext">
    <w:name w:val="short_text"/>
    <w:qFormat/>
    <w:rPr/>
  </w:style>
  <w:style w:type="character" w:styleId="Hpsatn">
    <w:name w:val="hps atn"/>
    <w:qFormat/>
    <w:rPr/>
  </w:style>
  <w:style w:type="character" w:styleId="Hpsaltedited">
    <w:name w:val="hps alt-edited"/>
    <w:qFormat/>
    <w:rPr/>
  </w:style>
  <w:style w:type="character" w:styleId="Altedited">
    <w:name w:val="alt-edited"/>
    <w:qFormat/>
    <w:rPr/>
  </w:style>
  <w:style w:type="character" w:styleId="BrdtextmedindragChar">
    <w:name w:val="Brödtext med indrag Char"/>
    <w:qFormat/>
    <w:rPr>
      <w:rFonts w:ascii="Arial" w:hAnsi="Arial" w:eastAsia="Times New Roman" w:cs="Arial"/>
      <w:sz w:val="22"/>
      <w:szCs w:val="22"/>
      <w:lang w:val="en-GB"/>
    </w:rPr>
  </w:style>
  <w:style w:type="character" w:styleId="St1">
    <w:name w:val="st1"/>
    <w:qFormat/>
    <w:rPr>
      <w:spacing w:val="240"/>
    </w:rPr>
  </w:style>
  <w:style w:type="character" w:styleId="SidhuvudChar">
    <w:name w:val="Sidhuvud Char"/>
    <w:qFormat/>
    <w:rPr>
      <w:sz w:val="22"/>
      <w:szCs w:val="22"/>
    </w:rPr>
  </w:style>
  <w:style w:type="character" w:styleId="SidfotChar">
    <w:name w:val="Sidfot Char"/>
    <w:qFormat/>
    <w:rPr>
      <w:sz w:val="22"/>
      <w:szCs w:val="22"/>
    </w:rPr>
  </w:style>
  <w:style w:type="character" w:styleId="BallongtextChar">
    <w:name w:val="Ballongtext Char"/>
    <w:qFormat/>
    <w:rPr>
      <w:rFonts w:ascii="Tahoma" w:hAnsi="Tahoma" w:cs="Tahoma"/>
      <w:sz w:val="16"/>
      <w:szCs w:val="16"/>
    </w:rPr>
  </w:style>
  <w:style w:type="character" w:styleId="FootnoteCharacters">
    <w:name w:val="Footnote Characters"/>
    <w:qFormat/>
    <w:rPr>
      <w:vertAlign w:val="superscript"/>
    </w:rPr>
  </w:style>
  <w:style w:type="character" w:styleId="Citation">
    <w:name w:val="citation"/>
    <w:qFormat/>
    <w:rPr/>
  </w:style>
  <w:style w:type="character" w:styleId="FotnotstextChar">
    <w:name w:val="Fotnotstext Char"/>
    <w:qFormat/>
    <w:rPr>
      <w:rFonts w:ascii="Times New Roman" w:hAnsi="Times New Roman" w:cs="Times New Roman"/>
    </w:rPr>
  </w:style>
  <w:style w:type="character" w:styleId="Entryword2">
    <w:name w:val="entry-word2"/>
    <w:qFormat/>
    <w:rPr>
      <w:rFonts w:ascii="Arial Black" w:hAnsi="Arial Black" w:cs="Arial Black"/>
      <w:caps/>
      <w:color w:val="000000"/>
      <w:spacing w:val="9"/>
      <w:sz w:val="19"/>
      <w:szCs w:val="19"/>
    </w:rPr>
  </w:style>
  <w:style w:type="character" w:styleId="Referenceaccessdate">
    <w:name w:val="reference-accessdate"/>
    <w:qFormat/>
    <w:rPr/>
  </w:style>
  <w:style w:type="character" w:styleId="Rubrik6Char">
    <w:name w:val="Rubrik 6 Char"/>
    <w:qFormat/>
    <w:rPr>
      <w:rFonts w:ascii="Cambria" w:hAnsi="Cambria" w:eastAsia="Times New Roman" w:cs="Cambria"/>
      <w:b/>
      <w:bCs/>
      <w:i/>
      <w:iCs/>
      <w:color w:val="7F7F7F"/>
      <w:sz w:val="24"/>
      <w:szCs w:val="22"/>
      <w:lang w:val="sv-SE"/>
    </w:rPr>
  </w:style>
  <w:style w:type="character" w:styleId="Rubrik7Char">
    <w:name w:val="Rubrik 7 Char"/>
    <w:qFormat/>
    <w:rPr>
      <w:rFonts w:ascii="Cambria" w:hAnsi="Cambria" w:eastAsia="Times New Roman" w:cs="Cambria"/>
      <w:i/>
      <w:iCs/>
      <w:sz w:val="24"/>
      <w:szCs w:val="22"/>
      <w:lang w:val="sv-SE"/>
    </w:rPr>
  </w:style>
  <w:style w:type="character" w:styleId="Rubrik8Char">
    <w:name w:val="Rubrik 8 Char"/>
    <w:qFormat/>
    <w:rPr>
      <w:rFonts w:ascii="Cambria" w:hAnsi="Cambria" w:eastAsia="Times New Roman" w:cs="Cambria"/>
      <w:lang w:val="sv-SE"/>
    </w:rPr>
  </w:style>
  <w:style w:type="character" w:styleId="Rubrik9Char">
    <w:name w:val="Rubrik 9 Char"/>
    <w:qFormat/>
    <w:rPr>
      <w:rFonts w:ascii="Cambria" w:hAnsi="Cambria" w:eastAsia="Times New Roman" w:cs="Cambria"/>
      <w:i/>
      <w:iCs/>
      <w:spacing w:val="5"/>
      <w:lang w:val="sv-SE"/>
    </w:rPr>
  </w:style>
  <w:style w:type="character" w:styleId="RubrikChar">
    <w:name w:val="Rubrik Char"/>
    <w:qFormat/>
    <w:rPr>
      <w:rFonts w:ascii="Cambria" w:hAnsi="Cambria" w:eastAsia="Times New Roman" w:cs="Cambria"/>
      <w:spacing w:val="5"/>
      <w:sz w:val="52"/>
      <w:szCs w:val="52"/>
      <w:lang w:val="sv-SE"/>
    </w:rPr>
  </w:style>
  <w:style w:type="character" w:styleId="UnderrubrikChar">
    <w:name w:val="Underrubrik Char"/>
    <w:qFormat/>
    <w:rPr>
      <w:rFonts w:ascii="Cambria" w:hAnsi="Cambria" w:eastAsia="Times New Roman" w:cs="Cambria"/>
      <w:i/>
      <w:iCs/>
      <w:spacing w:val="13"/>
      <w:sz w:val="24"/>
      <w:szCs w:val="24"/>
      <w:lang w:val="sv-SE"/>
    </w:rPr>
  </w:style>
  <w:style w:type="character" w:styleId="Frgatrutntdekorfrg1Char">
    <w:name w:val="Färgat rutnät - dekorfärg 1 Char"/>
    <w:qFormat/>
    <w:rPr>
      <w:rFonts w:ascii="Times New Roman" w:hAnsi="Times New Roman" w:eastAsia="Times New Roman" w:cs="Times New Roman"/>
      <w:i/>
      <w:iCs/>
      <w:sz w:val="24"/>
      <w:szCs w:val="22"/>
      <w:lang w:val="sv-SE"/>
    </w:rPr>
  </w:style>
  <w:style w:type="character" w:styleId="Ljusskuggningdekorfrg2Char">
    <w:name w:val="Ljus skuggning - dekorfärg 2 Char"/>
    <w:qFormat/>
    <w:rPr>
      <w:rFonts w:ascii="Times New Roman" w:hAnsi="Times New Roman" w:eastAsia="Times New Roman" w:cs="Times New Roman"/>
      <w:b/>
      <w:bCs/>
      <w:i/>
      <w:iCs/>
      <w:sz w:val="24"/>
      <w:szCs w:val="22"/>
      <w:lang w:val="sv-SE"/>
    </w:rPr>
  </w:style>
  <w:style w:type="character" w:styleId="Oformateradtabell3">
    <w:name w:val="Oformaterad tabell 3"/>
    <w:qFormat/>
    <w:rPr>
      <w:i/>
      <w:iCs/>
    </w:rPr>
  </w:style>
  <w:style w:type="character" w:styleId="Oformateradtabell4">
    <w:name w:val="Oformaterad tabell 4"/>
    <w:qFormat/>
    <w:rPr>
      <w:b/>
      <w:bCs/>
    </w:rPr>
  </w:style>
  <w:style w:type="character" w:styleId="Oformateradtabell5">
    <w:name w:val="Oformaterad tabell 5"/>
    <w:qFormat/>
    <w:rPr>
      <w:smallCaps/>
    </w:rPr>
  </w:style>
  <w:style w:type="character" w:styleId="Tabellrutntljust">
    <w:name w:val="Tabellrutnät ljust"/>
    <w:qFormat/>
    <w:rPr>
      <w:smallCaps/>
      <w:spacing w:val="5"/>
      <w:u w:val="single"/>
    </w:rPr>
  </w:style>
  <w:style w:type="character" w:styleId="Rutntstabell1ljus">
    <w:name w:val="Rutnätstabell 1 ljus"/>
    <w:qFormat/>
    <w:rPr>
      <w:i/>
      <w:iCs/>
      <w:smallCaps/>
      <w:spacing w:val="5"/>
    </w:rPr>
  </w:style>
  <w:style w:type="character" w:styleId="KommentarerChar">
    <w:name w:val="Kommentarer Char"/>
    <w:qFormat/>
    <w:rPr>
      <w:rFonts w:ascii="Times New Roman" w:hAnsi="Times New Roman" w:eastAsia="Times New Roman" w:cs="Times New Roman"/>
      <w:lang w:val="sv-SE"/>
    </w:rPr>
  </w:style>
  <w:style w:type="character" w:styleId="KommentarsmneChar">
    <w:name w:val="Kommentarsämne Char"/>
    <w:qFormat/>
    <w:rPr>
      <w:rFonts w:ascii="Times New Roman" w:hAnsi="Times New Roman" w:eastAsia="Times New Roman" w:cs="Times New Roman"/>
      <w:b/>
      <w:bCs/>
      <w:lang w:val="sv-SE"/>
    </w:rPr>
  </w:style>
  <w:style w:type="paragraph" w:styleId="Heading">
    <w:name w:val="Heading"/>
    <w:basedOn w:val="Normal"/>
    <w:next w:val="Normal"/>
    <w:qFormat/>
    <w:pPr>
      <w:pBdr>
        <w:bottom w:val="single" w:sz="4" w:space="1" w:color="000000"/>
      </w:pBdr>
      <w:spacing w:lineRule="auto" w:line="240" w:before="0" w:after="0"/>
      <w:contextualSpacing/>
    </w:pPr>
    <w:rPr>
      <w:rFonts w:ascii="Cambria" w:hAnsi="Cambria" w:eastAsia="Times New Roman" w:cs="Cambria"/>
      <w:spacing w:val="5"/>
      <w:sz w:val="52"/>
      <w:szCs w:val="52"/>
    </w:rPr>
  </w:style>
  <w:style w:type="paragraph" w:styleId="TextBody">
    <w:name w:val="Body Text"/>
    <w:basedOn w:val="Normal"/>
    <w:pPr>
      <w:tabs>
        <w:tab w:val="clear" w:pos="1304"/>
        <w:tab w:val="left" w:pos="540" w:leader="none"/>
      </w:tabs>
      <w:spacing w:lineRule="auto" w:line="360" w:before="120" w:after="0"/>
    </w:pPr>
    <w:rPr>
      <w:rFonts w:ascii="Times New Roman" w:hAnsi="Times New Roman" w:eastAsia="Times New Roman" w:cs="Times New Roman"/>
      <w:bCs/>
      <w:sz w:val="24"/>
      <w:szCs w:val="24"/>
      <w:lang w:val="en-GB"/>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b">
    <w:name w:val="Normal (webb)"/>
    <w:basedOn w:val="Normal"/>
    <w:qFormat/>
    <w:pPr>
      <w:spacing w:lineRule="auto" w:line="240" w:before="280" w:after="280"/>
    </w:pPr>
    <w:rPr>
      <w:rFonts w:ascii="Arial" w:hAnsi="Arial" w:eastAsia="Times New Roman" w:cs="Arial"/>
      <w:sz w:val="24"/>
      <w:szCs w:val="24"/>
      <w:lang w:val="pl-PL"/>
    </w:rPr>
  </w:style>
  <w:style w:type="paragraph" w:styleId="CM10">
    <w:name w:val="CM10"/>
    <w:basedOn w:val="Normal"/>
    <w:next w:val="Normal"/>
    <w:qFormat/>
    <w:pPr>
      <w:widowControl w:val="false"/>
      <w:autoSpaceDE w:val="false"/>
      <w:spacing w:lineRule="auto" w:line="240" w:before="0" w:after="0"/>
    </w:pPr>
    <w:rPr>
      <w:rFonts w:ascii="FOOKDG+TimesNewRomanPS;Times New Roman" w:hAnsi="FOOKDG+TimesNewRomanPS;Times New Roman" w:eastAsia="Times New Roman" w:cs="FOOKDG+TimesNewRomanPS;Times New Roman"/>
      <w:sz w:val="24"/>
      <w:szCs w:val="24"/>
    </w:rPr>
  </w:style>
  <w:style w:type="paragraph" w:styleId="TextBodyIndent">
    <w:name w:val="Body Text Indent"/>
    <w:basedOn w:val="Normal"/>
    <w:pPr>
      <w:spacing w:lineRule="auto" w:line="240" w:before="0" w:after="120"/>
      <w:ind w:left="283" w:hanging="0"/>
    </w:pPr>
    <w:rPr>
      <w:rFonts w:ascii="Arial" w:hAnsi="Arial" w:eastAsia="Times New Roman" w:cs="Arial"/>
      <w:lang w:val="en-GB"/>
    </w:rPr>
  </w:style>
  <w:style w:type="paragraph" w:styleId="Akapitzlist1">
    <w:name w:val="Akapit z listą1"/>
    <w:basedOn w:val="Normal"/>
    <w:qFormat/>
    <w:pPr>
      <w:spacing w:lineRule="auto" w:line="240" w:before="0" w:after="0"/>
      <w:ind w:left="720" w:hanging="0"/>
    </w:pPr>
    <w:rPr>
      <w:rFonts w:ascii="Arial" w:hAnsi="Arial" w:eastAsia="Times New Roman" w:cs="Arial"/>
      <w:lang w:val="en-GB"/>
    </w:rPr>
  </w:style>
  <w:style w:type="paragraph" w:styleId="HeaderandFooter">
    <w:name w:val="Header and Footer"/>
    <w:basedOn w:val="Normal"/>
    <w:qFormat/>
    <w:pPr>
      <w:suppressLineNumbers/>
      <w:tabs>
        <w:tab w:val="clear" w:pos="1304"/>
        <w:tab w:val="center" w:pos="4986" w:leader="none"/>
        <w:tab w:val="right" w:pos="9972" w:leader="none"/>
      </w:tabs>
    </w:pPr>
    <w:rPr/>
  </w:style>
  <w:style w:type="paragraph" w:styleId="Header">
    <w:name w:val="Header"/>
    <w:basedOn w:val="Normal"/>
    <w:pPr>
      <w:tabs>
        <w:tab w:val="clear" w:pos="1304"/>
        <w:tab w:val="center" w:pos="4536" w:leader="none"/>
        <w:tab w:val="right" w:pos="9072" w:leader="none"/>
      </w:tabs>
    </w:pPr>
    <w:rPr/>
  </w:style>
  <w:style w:type="paragraph" w:styleId="Footer">
    <w:name w:val="Footer"/>
    <w:basedOn w:val="Normal"/>
    <w:pPr>
      <w:tabs>
        <w:tab w:val="clear" w:pos="1304"/>
        <w:tab w:val="center" w:pos="4536" w:leader="none"/>
        <w:tab w:val="right" w:pos="9072" w:leader="none"/>
      </w:tabs>
    </w:pPr>
    <w:rPr/>
  </w:style>
  <w:style w:type="paragraph" w:styleId="Mellanmrktrutnt2">
    <w:name w:val="Mellanmörkt rutnät 2"/>
    <w:qFormat/>
    <w:pPr>
      <w:widowControl/>
      <w:bidi w:val="0"/>
    </w:pPr>
    <w:rPr>
      <w:rFonts w:ascii="Times New Roman" w:hAnsi="Times New Roman" w:eastAsia="Calibri" w:cs="Times New Roman"/>
      <w:color w:val="auto"/>
      <w:sz w:val="24"/>
      <w:szCs w:val="22"/>
      <w:lang w:val="sv-SE" w:bidi="ar-SA" w:eastAsia="zh-CN"/>
    </w:rPr>
  </w:style>
  <w:style w:type="paragraph" w:styleId="Default">
    <w:name w:val="Default"/>
    <w:qFormat/>
    <w:pPr>
      <w:widowControl/>
      <w:autoSpaceDE w:val="false"/>
      <w:bidi w:val="0"/>
    </w:pPr>
    <w:rPr>
      <w:rFonts w:ascii="Trebuchet MS" w:hAnsi="Trebuchet MS" w:eastAsia="Calibri" w:cs="Trebuchet MS"/>
      <w:color w:val="000000"/>
      <w:sz w:val="24"/>
      <w:szCs w:val="24"/>
      <w:lang w:val="sv-SE" w:bidi="ar-SA" w:eastAsia="zh-CN"/>
    </w:rPr>
  </w:style>
  <w:style w:type="paragraph" w:styleId="Rutntstabell3">
    <w:name w:val="Rutnätstabell 3"/>
    <w:basedOn w:val="Heading1"/>
    <w:next w:val="Normal"/>
    <w:qFormat/>
    <w:pPr>
      <w:keepLines/>
      <w:numPr>
        <w:ilvl w:val="0"/>
        <w:numId w:val="0"/>
      </w:numPr>
      <w:spacing w:before="480" w:after="0"/>
    </w:pPr>
    <w:rPr>
      <w:rFonts w:ascii="Cambria" w:hAnsi="Cambria" w:eastAsia="MS Gothic;ＭＳ ゴシック" w:cs="Times New Roman"/>
      <w:color w:val="365F91"/>
      <w:kern w:val="0"/>
      <w:sz w:val="28"/>
      <w:szCs w:val="28"/>
      <w:lang w:val="en-US" w:eastAsia="ja-JP"/>
    </w:rPr>
  </w:style>
  <w:style w:type="paragraph" w:styleId="Contents1">
    <w:name w:val="TOC 1"/>
    <w:basedOn w:val="Normal"/>
    <w:next w:val="Normal"/>
    <w:pPr>
      <w:shd w:fill="FFFFFF" w:val="clear"/>
      <w:tabs>
        <w:tab w:val="clear" w:pos="1304"/>
        <w:tab w:val="right" w:pos="9062" w:leader="dot"/>
      </w:tabs>
    </w:pPr>
    <w:rPr>
      <w:rFonts w:ascii="Arial Rounded MT Bold" w:hAnsi="Arial Rounded MT Bold" w:cs="Arial"/>
      <w:b/>
      <w:sz w:val="28"/>
      <w:szCs w:val="28"/>
      <w:lang w:val="en-US" w:eastAsia="en-US"/>
    </w:rPr>
  </w:style>
  <w:style w:type="paragraph" w:styleId="Contents2">
    <w:name w:val="TOC 2"/>
    <w:basedOn w:val="Normal"/>
    <w:next w:val="Normal"/>
    <w:pPr>
      <w:tabs>
        <w:tab w:val="clear" w:pos="1304"/>
        <w:tab w:val="right" w:pos="9062" w:leader="dot"/>
      </w:tabs>
      <w:ind w:left="240" w:hanging="0"/>
    </w:pPr>
    <w:rPr/>
  </w:style>
  <w:style w:type="paragraph" w:styleId="Contents3">
    <w:name w:val="TOC 3"/>
    <w:basedOn w:val="Normal"/>
    <w:next w:val="Normal"/>
    <w:pPr>
      <w:ind w:left="480" w:hanging="0"/>
    </w:pPr>
    <w:rPr/>
  </w:style>
  <w:style w:type="paragraph" w:styleId="Ballongtext">
    <w:name w:val="Ballongtext"/>
    <w:basedOn w:val="Normal"/>
    <w:qFormat/>
    <w:pPr>
      <w:spacing w:lineRule="auto" w:line="240" w:before="0" w:after="0"/>
    </w:pPr>
    <w:rPr>
      <w:rFonts w:ascii="Tahoma" w:hAnsi="Tahoma" w:cs="Tahoma"/>
      <w:sz w:val="16"/>
      <w:szCs w:val="16"/>
    </w:rPr>
  </w:style>
  <w:style w:type="paragraph" w:styleId="Tabellrubrikkapitler">
    <w:name w:val="Tabell rubrik kapitäler"/>
    <w:basedOn w:val="Normal"/>
    <w:qFormat/>
    <w:pPr>
      <w:spacing w:lineRule="auto" w:line="240" w:before="0" w:after="0"/>
    </w:pPr>
    <w:rPr>
      <w:rFonts w:eastAsia="Times New Roman"/>
      <w:b/>
      <w:bCs/>
      <w:smallCaps/>
      <w:szCs w:val="24"/>
      <w:lang w:val="en-GB"/>
    </w:rPr>
  </w:style>
  <w:style w:type="paragraph" w:styleId="Tabelltextkapitler">
    <w:name w:val="Tabell text kapitäler"/>
    <w:basedOn w:val="Normal"/>
    <w:qFormat/>
    <w:pPr>
      <w:spacing w:lineRule="auto" w:line="240" w:before="0" w:after="0"/>
    </w:pPr>
    <w:rPr>
      <w:rFonts w:eastAsia="Times New Roman"/>
      <w:smallCaps/>
      <w:szCs w:val="24"/>
      <w:lang w:val="en-GB"/>
    </w:rPr>
  </w:style>
  <w:style w:type="paragraph" w:styleId="Beskrivning">
    <w:name w:val="Beskrivning"/>
    <w:basedOn w:val="Normal"/>
    <w:next w:val="Normal"/>
    <w:qFormat/>
    <w:pPr>
      <w:spacing w:lineRule="auto" w:line="240" w:before="140" w:after="140"/>
      <w:jc w:val="center"/>
    </w:pPr>
    <w:rPr>
      <w:rFonts w:ascii="Arial" w:hAnsi="Arial" w:eastAsia="Times New Roman" w:cs="Arial"/>
      <w:b/>
      <w:bCs/>
      <w:color w:val="000000"/>
      <w:sz w:val="20"/>
      <w:szCs w:val="18"/>
      <w:lang w:val="en-CA"/>
    </w:rPr>
  </w:style>
  <w:style w:type="paragraph" w:styleId="Footnote">
    <w:name w:val="Footnote Text"/>
    <w:basedOn w:val="Normal"/>
    <w:pPr/>
    <w:rPr>
      <w:sz w:val="20"/>
      <w:szCs w:val="20"/>
    </w:rPr>
  </w:style>
  <w:style w:type="paragraph" w:styleId="Frgadlistadekorfrg1">
    <w:name w:val="Färgad lista - dekorfärg 1"/>
    <w:basedOn w:val="Normal"/>
    <w:qFormat/>
    <w:pPr>
      <w:spacing w:before="0" w:after="0"/>
      <w:ind w:left="720" w:hanging="0"/>
      <w:contextualSpacing/>
    </w:pPr>
    <w:rPr>
      <w:rFonts w:eastAsia="Times New Roman"/>
    </w:rPr>
  </w:style>
  <w:style w:type="paragraph" w:styleId="Normal12">
    <w:name w:val="Normal 12"/>
    <w:basedOn w:val="Normal"/>
    <w:qFormat/>
    <w:pPr>
      <w:widowControl w:val="false"/>
      <w:overflowPunct w:val="false"/>
      <w:autoSpaceDE w:val="false"/>
      <w:spacing w:lineRule="auto" w:line="240" w:before="0" w:after="0"/>
    </w:pPr>
    <w:rPr>
      <w:rFonts w:eastAsia="Times New Roman"/>
      <w:kern w:val="2"/>
      <w:szCs w:val="20"/>
    </w:rPr>
  </w:style>
  <w:style w:type="paragraph" w:styleId="Subtitle">
    <w:name w:val="Subtitle"/>
    <w:basedOn w:val="Normal"/>
    <w:next w:val="Normal"/>
    <w:qFormat/>
    <w:pPr>
      <w:spacing w:before="0" w:after="600"/>
    </w:pPr>
    <w:rPr>
      <w:rFonts w:ascii="Cambria" w:hAnsi="Cambria" w:eastAsia="Times New Roman" w:cs="Cambria"/>
      <w:i/>
      <w:iCs/>
      <w:spacing w:val="13"/>
      <w:szCs w:val="24"/>
    </w:rPr>
  </w:style>
  <w:style w:type="paragraph" w:styleId="Frgatrutntdekorfrg1">
    <w:name w:val="Färgat rutnät - dekorfärg 1"/>
    <w:basedOn w:val="Normal"/>
    <w:next w:val="Normal"/>
    <w:qFormat/>
    <w:pPr>
      <w:spacing w:before="200" w:after="0"/>
      <w:ind w:left="360" w:right="360" w:hanging="0"/>
    </w:pPr>
    <w:rPr>
      <w:rFonts w:eastAsia="Times New Roman"/>
      <w:i/>
      <w:iCs/>
    </w:rPr>
  </w:style>
  <w:style w:type="paragraph" w:styleId="Ljusskuggningdekorfrg2">
    <w:name w:val="Ljus skuggning - dekorfärg 2"/>
    <w:basedOn w:val="Normal"/>
    <w:next w:val="Normal"/>
    <w:qFormat/>
    <w:pPr>
      <w:pBdr>
        <w:bottom w:val="single" w:sz="4" w:space="1" w:color="000000"/>
      </w:pBdr>
      <w:spacing w:before="200" w:after="280"/>
      <w:ind w:left="1008" w:right="1152" w:hanging="0"/>
      <w:jc w:val="both"/>
    </w:pPr>
    <w:rPr>
      <w:rFonts w:eastAsia="Times New Roman"/>
      <w:b/>
      <w:bCs/>
      <w:i/>
      <w:iCs/>
    </w:rPr>
  </w:style>
  <w:style w:type="paragraph" w:styleId="Kommentarer">
    <w:name w:val="Kommentarer"/>
    <w:basedOn w:val="Normal"/>
    <w:qFormat/>
    <w:pPr/>
    <w:rPr>
      <w:rFonts w:eastAsia="Times New Roman"/>
      <w:sz w:val="20"/>
      <w:szCs w:val="20"/>
    </w:rPr>
  </w:style>
  <w:style w:type="paragraph" w:styleId="Kommentarsmne">
    <w:name w:val="Kommentarsämne"/>
    <w:basedOn w:val="Kommentarer"/>
    <w:next w:val="Kommentarer"/>
    <w:qFormat/>
    <w:pPr/>
    <w:rPr>
      <w:b/>
      <w:bCs/>
    </w:rPr>
  </w:style>
  <w:style w:type="paragraph" w:styleId="Contents4">
    <w:name w:val="TOC 4"/>
    <w:basedOn w:val="Normal"/>
    <w:next w:val="Normal"/>
    <w:pPr>
      <w:spacing w:before="0" w:after="100"/>
      <w:ind w:left="660" w:hanging="0"/>
    </w:pPr>
    <w:rPr>
      <w:rFonts w:ascii="Calibri" w:hAnsi="Calibri" w:eastAsia="Times New Roman" w:cs="Times New Roman"/>
      <w:sz w:val="22"/>
      <w:lang w:val="en-US"/>
    </w:rPr>
  </w:style>
  <w:style w:type="paragraph" w:styleId="Contents5">
    <w:name w:val="TOC 5"/>
    <w:basedOn w:val="Normal"/>
    <w:next w:val="Normal"/>
    <w:pPr>
      <w:spacing w:before="0" w:after="100"/>
      <w:ind w:left="880" w:hanging="0"/>
    </w:pPr>
    <w:rPr>
      <w:rFonts w:ascii="Calibri" w:hAnsi="Calibri" w:eastAsia="Times New Roman" w:cs="Times New Roman"/>
      <w:sz w:val="22"/>
      <w:lang w:val="en-US"/>
    </w:rPr>
  </w:style>
  <w:style w:type="paragraph" w:styleId="Contents6">
    <w:name w:val="TOC 6"/>
    <w:basedOn w:val="Normal"/>
    <w:next w:val="Normal"/>
    <w:pPr>
      <w:spacing w:before="0" w:after="100"/>
      <w:ind w:left="1100" w:hanging="0"/>
    </w:pPr>
    <w:rPr>
      <w:rFonts w:ascii="Calibri" w:hAnsi="Calibri" w:eastAsia="Times New Roman" w:cs="Times New Roman"/>
      <w:sz w:val="22"/>
      <w:lang w:val="en-US"/>
    </w:rPr>
  </w:style>
  <w:style w:type="paragraph" w:styleId="Contents7">
    <w:name w:val="TOC 7"/>
    <w:basedOn w:val="Normal"/>
    <w:next w:val="Normal"/>
    <w:pPr>
      <w:spacing w:before="0" w:after="100"/>
      <w:ind w:left="1320" w:hanging="0"/>
    </w:pPr>
    <w:rPr>
      <w:rFonts w:ascii="Calibri" w:hAnsi="Calibri" w:eastAsia="Times New Roman" w:cs="Times New Roman"/>
      <w:sz w:val="22"/>
      <w:lang w:val="en-US"/>
    </w:rPr>
  </w:style>
  <w:style w:type="paragraph" w:styleId="Contents8">
    <w:name w:val="TOC 8"/>
    <w:basedOn w:val="Normal"/>
    <w:next w:val="Normal"/>
    <w:pPr>
      <w:spacing w:before="0" w:after="100"/>
      <w:ind w:left="1540" w:hanging="0"/>
    </w:pPr>
    <w:rPr>
      <w:rFonts w:ascii="Calibri" w:hAnsi="Calibri" w:eastAsia="Times New Roman" w:cs="Times New Roman"/>
      <w:sz w:val="22"/>
      <w:lang w:val="en-US"/>
    </w:rPr>
  </w:style>
  <w:style w:type="paragraph" w:styleId="Contents9">
    <w:name w:val="TOC 9"/>
    <w:basedOn w:val="Normal"/>
    <w:next w:val="Normal"/>
    <w:pPr>
      <w:spacing w:before="0" w:after="100"/>
      <w:ind w:left="1760" w:hanging="0"/>
    </w:pPr>
    <w:rPr>
      <w:rFonts w:ascii="Calibri" w:hAnsi="Calibri" w:eastAsia="Times New Roman" w:cs="Times New Roman"/>
      <w:sz w:val="22"/>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LibreOffice/6.4.2.2$Linux_X86_64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2020-03-11T09:11:00Z</dcterms:created>
  <dc:creator>Bo Johansson</dc:creator>
  <dc:description/>
  <cp:keywords/>
  <dc:language>en-US</dc:language>
  <cp:lastModifiedBy>Jan Johansson</cp:lastModifiedBy>
  <cp:lastPrinted>2014-08-15T12:39:00Z</cp:lastPrinted>
  <dcterms:modified xsi:type="dcterms:W3CDTF">2020-03-11T09:14:00Z</dcterms:modified>
  <cp:revision>3</cp:revision>
  <dc:subject/>
  <dc:title/>
</cp:coreProperties>
</file>