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A14" w:rsidRPr="00834101" w:rsidRDefault="00C63764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8</w:t>
      </w:r>
      <w:r w:rsidR="00674CA1" w:rsidRPr="00834101">
        <w:rPr>
          <w:rFonts w:ascii="Arial" w:hAnsi="Arial" w:cs="Arial"/>
          <w:b/>
          <w:sz w:val="32"/>
          <w:szCs w:val="32"/>
          <w:lang w:val="en-US"/>
        </w:rPr>
        <w:t xml:space="preserve">. </w:t>
      </w:r>
      <w:r w:rsidR="00B2369E" w:rsidRPr="00834101">
        <w:rPr>
          <w:rFonts w:ascii="Arial" w:hAnsi="Arial" w:cs="Arial"/>
          <w:b/>
          <w:sz w:val="32"/>
          <w:szCs w:val="32"/>
          <w:lang w:val="en-US"/>
        </w:rPr>
        <w:t>Safe and attractive workplaces for contractor personnel</w:t>
      </w:r>
      <w:r w:rsidR="00082EE1" w:rsidRPr="00834101">
        <w:rPr>
          <w:rFonts w:ascii="Arial" w:hAnsi="Arial" w:cs="Arial"/>
          <w:b/>
          <w:sz w:val="32"/>
          <w:szCs w:val="32"/>
          <w:lang w:val="en-US"/>
        </w:rPr>
        <w:t xml:space="preserve"> </w:t>
      </w:r>
    </w:p>
    <w:p w:rsidR="00952E7B" w:rsidRDefault="00952E7B" w:rsidP="007F5938">
      <w:pPr>
        <w:spacing w:after="120" w:line="240" w:lineRule="auto"/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Magnus</w:t>
      </w:r>
      <w:bookmarkStart w:id="0" w:name="_GoBack"/>
      <w:bookmarkEnd w:id="0"/>
    </w:p>
    <w:p w:rsidR="00D010C0" w:rsidRPr="003041CE" w:rsidRDefault="00945F81" w:rsidP="007F5938">
      <w:pPr>
        <w:spacing w:after="120" w:line="240" w:lineRule="auto"/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I</w:t>
      </w:r>
      <w:r w:rsidR="00493F2C" w:rsidRPr="003041CE">
        <w:rPr>
          <w:rFonts w:cstheme="minorHAnsi"/>
          <w:sz w:val="24"/>
          <w:lang w:val="en-US"/>
        </w:rPr>
        <w:t xml:space="preserve">t is common </w:t>
      </w:r>
      <w:r w:rsidR="009F0567" w:rsidRPr="003041CE">
        <w:rPr>
          <w:rFonts w:cstheme="minorHAnsi"/>
          <w:sz w:val="24"/>
          <w:lang w:val="en-US"/>
        </w:rPr>
        <w:t>practice in the contemporary mining industry to hire contractors to</w:t>
      </w:r>
      <w:r w:rsidR="00C37047" w:rsidRPr="003041CE">
        <w:rPr>
          <w:rFonts w:cstheme="minorHAnsi"/>
          <w:sz w:val="24"/>
          <w:lang w:val="en-US"/>
        </w:rPr>
        <w:t xml:space="preserve"> perform certain work tasks. This has led to the emergence of multi-employer worksites</w:t>
      </w:r>
      <w:r w:rsidR="00493F2C" w:rsidRPr="003041CE">
        <w:rPr>
          <w:rFonts w:cstheme="minorHAnsi"/>
          <w:sz w:val="24"/>
          <w:lang w:val="en-US"/>
        </w:rPr>
        <w:t xml:space="preserve"> </w:t>
      </w:r>
      <w:r w:rsidR="00C37047" w:rsidRPr="003041CE">
        <w:rPr>
          <w:rFonts w:cstheme="minorHAnsi"/>
          <w:sz w:val="24"/>
          <w:lang w:val="en-US"/>
        </w:rPr>
        <w:t>w</w:t>
      </w:r>
      <w:r w:rsidR="00286F58" w:rsidRPr="003041CE">
        <w:rPr>
          <w:rFonts w:cstheme="minorHAnsi"/>
          <w:sz w:val="24"/>
          <w:lang w:val="en-US"/>
        </w:rPr>
        <w:t>here</w:t>
      </w:r>
      <w:r w:rsidR="00C37047" w:rsidRPr="003041CE">
        <w:rPr>
          <w:rFonts w:cstheme="minorHAnsi"/>
          <w:sz w:val="24"/>
          <w:lang w:val="en-US"/>
        </w:rPr>
        <w:t xml:space="preserve"> workers from different companies</w:t>
      </w:r>
      <w:r w:rsidR="00286F58" w:rsidRPr="003041CE">
        <w:rPr>
          <w:rFonts w:cstheme="minorHAnsi"/>
          <w:sz w:val="24"/>
          <w:lang w:val="en-US"/>
        </w:rPr>
        <w:t xml:space="preserve"> are</w:t>
      </w:r>
      <w:r w:rsidR="00C37047" w:rsidRPr="003041CE">
        <w:rPr>
          <w:rFonts w:cstheme="minorHAnsi"/>
          <w:sz w:val="24"/>
          <w:lang w:val="en-US"/>
        </w:rPr>
        <w:t xml:space="preserve"> activ</w:t>
      </w:r>
      <w:r w:rsidR="00B2369E" w:rsidRPr="003041CE">
        <w:rPr>
          <w:rFonts w:cstheme="minorHAnsi"/>
          <w:sz w:val="24"/>
          <w:lang w:val="en-US"/>
        </w:rPr>
        <w:t>e</w:t>
      </w:r>
      <w:r w:rsidR="00C37047" w:rsidRPr="003041CE">
        <w:rPr>
          <w:rFonts w:cstheme="minorHAnsi"/>
          <w:sz w:val="24"/>
          <w:lang w:val="en-US"/>
        </w:rPr>
        <w:t xml:space="preserve"> in close proximity to each other. This poses specific challenges when it comes to health and safety and, by extension, work attractiveness. </w:t>
      </w:r>
      <w:r w:rsidR="00024551" w:rsidRPr="003041CE">
        <w:rPr>
          <w:rFonts w:cstheme="minorHAnsi"/>
          <w:sz w:val="24"/>
          <w:lang w:val="en-US"/>
        </w:rPr>
        <w:t>W</w:t>
      </w:r>
      <w:r w:rsidR="00C37047" w:rsidRPr="003041CE">
        <w:rPr>
          <w:rFonts w:cstheme="minorHAnsi"/>
          <w:sz w:val="24"/>
          <w:lang w:val="en-US"/>
        </w:rPr>
        <w:t>orkplace accident</w:t>
      </w:r>
      <w:r w:rsidR="00A26CF0" w:rsidRPr="003041CE">
        <w:rPr>
          <w:rFonts w:cstheme="minorHAnsi"/>
          <w:sz w:val="24"/>
          <w:lang w:val="en-US"/>
        </w:rPr>
        <w:t>s</w:t>
      </w:r>
      <w:r w:rsidR="00024551" w:rsidRPr="003041CE">
        <w:rPr>
          <w:rFonts w:cstheme="minorHAnsi"/>
          <w:sz w:val="24"/>
          <w:lang w:val="en-US"/>
        </w:rPr>
        <w:t>,</w:t>
      </w:r>
      <w:r w:rsidR="00C37047" w:rsidRPr="003041CE">
        <w:rPr>
          <w:rFonts w:cstheme="minorHAnsi"/>
          <w:sz w:val="24"/>
          <w:lang w:val="en-US"/>
        </w:rPr>
        <w:t xml:space="preserve"> in particular</w:t>
      </w:r>
      <w:r w:rsidR="00024551" w:rsidRPr="003041CE">
        <w:rPr>
          <w:rFonts w:cstheme="minorHAnsi"/>
          <w:sz w:val="24"/>
          <w:lang w:val="en-US"/>
        </w:rPr>
        <w:t>,</w:t>
      </w:r>
      <w:r w:rsidR="00387739" w:rsidRPr="003041CE">
        <w:rPr>
          <w:rFonts w:cstheme="minorHAnsi"/>
          <w:sz w:val="24"/>
          <w:lang w:val="en-US"/>
        </w:rPr>
        <w:t xml:space="preserve"> have</w:t>
      </w:r>
      <w:r w:rsidR="00024551" w:rsidRPr="003041CE">
        <w:rPr>
          <w:rFonts w:cstheme="minorHAnsi"/>
          <w:sz w:val="24"/>
          <w:lang w:val="en-US"/>
        </w:rPr>
        <w:t xml:space="preserve"> historically</w:t>
      </w:r>
      <w:r w:rsidR="00C37047" w:rsidRPr="003041CE">
        <w:rPr>
          <w:rFonts w:cstheme="minorHAnsi"/>
          <w:sz w:val="24"/>
          <w:lang w:val="en-US"/>
        </w:rPr>
        <w:t xml:space="preserve"> been a problem in relation to </w:t>
      </w:r>
      <w:r w:rsidR="00337982" w:rsidRPr="003041CE">
        <w:rPr>
          <w:rFonts w:cstheme="minorHAnsi"/>
          <w:sz w:val="24"/>
          <w:lang w:val="en-US"/>
        </w:rPr>
        <w:t xml:space="preserve">outsourcing and </w:t>
      </w:r>
      <w:r w:rsidR="00387739" w:rsidRPr="003041CE">
        <w:rPr>
          <w:rFonts w:cstheme="minorHAnsi"/>
          <w:sz w:val="24"/>
          <w:lang w:val="en-US"/>
        </w:rPr>
        <w:t>contracting</w:t>
      </w:r>
      <w:r w:rsidR="00286F58" w:rsidRPr="003041CE">
        <w:rPr>
          <w:rFonts w:cstheme="minorHAnsi"/>
          <w:sz w:val="24"/>
          <w:lang w:val="en-US"/>
        </w:rPr>
        <w:t>. Muzaffar et al. (2013) show</w:t>
      </w:r>
      <w:r w:rsidR="00C37047" w:rsidRPr="003041CE">
        <w:rPr>
          <w:rFonts w:cstheme="minorHAnsi"/>
          <w:sz w:val="24"/>
          <w:lang w:val="en-US"/>
        </w:rPr>
        <w:t xml:space="preserve"> that </w:t>
      </w:r>
      <w:r w:rsidR="00D010C0" w:rsidRPr="003041CE">
        <w:rPr>
          <w:rFonts w:cstheme="minorHAnsi"/>
          <w:sz w:val="24"/>
          <w:lang w:val="en-US"/>
        </w:rPr>
        <w:t>the odds for contractor employees sustaining a fatal injury while performing work in the</w:t>
      </w:r>
      <w:r w:rsidR="00530B8B" w:rsidRPr="003041CE">
        <w:rPr>
          <w:rFonts w:cstheme="minorHAnsi"/>
          <w:sz w:val="24"/>
          <w:lang w:val="en-US"/>
        </w:rPr>
        <w:t xml:space="preserve"> US</w:t>
      </w:r>
      <w:r w:rsidR="00D010C0" w:rsidRPr="003041CE">
        <w:rPr>
          <w:rFonts w:cstheme="minorHAnsi"/>
          <w:sz w:val="24"/>
          <w:lang w:val="en-US"/>
        </w:rPr>
        <w:t xml:space="preserve"> mining industry were almost three times higher compared to the mining companies’ own personnel. In the Swedish mining industry, contractor workers have likewise regularly had higher accident rates in </w:t>
      </w:r>
      <w:r w:rsidR="00493F2C" w:rsidRPr="003041CE">
        <w:rPr>
          <w:rFonts w:cstheme="minorHAnsi"/>
          <w:sz w:val="24"/>
          <w:lang w:val="en-US"/>
        </w:rPr>
        <w:t>recent years</w:t>
      </w:r>
      <w:r w:rsidR="00337982" w:rsidRPr="003041CE">
        <w:rPr>
          <w:rFonts w:cstheme="minorHAnsi"/>
          <w:sz w:val="24"/>
          <w:lang w:val="en-US"/>
        </w:rPr>
        <w:t xml:space="preserve"> (</w:t>
      </w:r>
      <w:proofErr w:type="spellStart"/>
      <w:r w:rsidR="00337982" w:rsidRPr="003041CE">
        <w:rPr>
          <w:rFonts w:cstheme="minorHAnsi"/>
          <w:sz w:val="24"/>
          <w:lang w:val="en-US"/>
        </w:rPr>
        <w:t>Svemin</w:t>
      </w:r>
      <w:proofErr w:type="spellEnd"/>
      <w:r w:rsidR="00337982" w:rsidRPr="003041CE">
        <w:rPr>
          <w:rFonts w:cstheme="minorHAnsi"/>
          <w:sz w:val="24"/>
          <w:lang w:val="en-US"/>
        </w:rPr>
        <w:t>, 2010)</w:t>
      </w:r>
      <w:r w:rsidR="00D010C0" w:rsidRPr="003041CE">
        <w:rPr>
          <w:rFonts w:cstheme="minorHAnsi"/>
          <w:sz w:val="24"/>
          <w:lang w:val="en-US"/>
        </w:rPr>
        <w:t>.</w:t>
      </w:r>
      <w:r w:rsidR="00082EE1" w:rsidRPr="003041CE">
        <w:rPr>
          <w:rFonts w:cstheme="minorHAnsi"/>
          <w:sz w:val="24"/>
          <w:lang w:val="en-US"/>
        </w:rPr>
        <w:t xml:space="preserve"> The matter of certain groups of workers potentially having an increased risk of </w:t>
      </w:r>
      <w:r w:rsidR="0023788C" w:rsidRPr="003041CE">
        <w:rPr>
          <w:rFonts w:cstheme="minorHAnsi"/>
          <w:sz w:val="24"/>
          <w:lang w:val="en-US"/>
        </w:rPr>
        <w:t>suffering</w:t>
      </w:r>
      <w:r w:rsidR="00082EE1" w:rsidRPr="003041CE">
        <w:rPr>
          <w:rFonts w:cstheme="minorHAnsi"/>
          <w:sz w:val="24"/>
          <w:lang w:val="en-US"/>
        </w:rPr>
        <w:t xml:space="preserve"> accidents </w:t>
      </w:r>
      <w:r w:rsidR="00024551" w:rsidRPr="003041CE">
        <w:rPr>
          <w:rFonts w:cstheme="minorHAnsi"/>
          <w:sz w:val="24"/>
          <w:lang w:val="en-US"/>
        </w:rPr>
        <w:t>is important to address in its own right. However, it is also important to consider from the perspective of recruitment and ensuring work attractiveness.</w:t>
      </w:r>
      <w:r w:rsidR="00082EE1" w:rsidRPr="003041CE">
        <w:rPr>
          <w:rFonts w:cstheme="minorHAnsi"/>
          <w:sz w:val="24"/>
          <w:lang w:val="en-US"/>
        </w:rPr>
        <w:t xml:space="preserve">  </w:t>
      </w:r>
    </w:p>
    <w:p w:rsidR="00D010C0" w:rsidRPr="003041CE" w:rsidRDefault="009F0567" w:rsidP="007F5938">
      <w:pPr>
        <w:spacing w:after="120" w:line="240" w:lineRule="auto"/>
        <w:jc w:val="both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  <w:lang w:val="en-US"/>
        </w:rPr>
        <w:t xml:space="preserve">In a literature review of research </w:t>
      </w:r>
      <w:r w:rsidR="00D010C0" w:rsidRPr="003041CE">
        <w:rPr>
          <w:rFonts w:cstheme="minorHAnsi"/>
          <w:sz w:val="24"/>
          <w:lang w:val="en-US"/>
        </w:rPr>
        <w:t>on safety on multi-employer worksites,</w:t>
      </w:r>
      <w:r w:rsidR="009309BD" w:rsidRPr="003041CE">
        <w:rPr>
          <w:rFonts w:cstheme="minorHAnsi"/>
          <w:sz w:val="24"/>
          <w:lang w:val="en-US"/>
        </w:rPr>
        <w:t xml:space="preserve"> </w:t>
      </w:r>
      <w:r w:rsidR="00337982" w:rsidRPr="003041CE">
        <w:rPr>
          <w:rFonts w:cstheme="minorHAnsi"/>
          <w:sz w:val="24"/>
          <w:lang w:val="en-US"/>
        </w:rPr>
        <w:t xml:space="preserve">Nygren et al. (2017) propose that </w:t>
      </w:r>
      <w:r w:rsidR="00B77F2B" w:rsidRPr="003041CE">
        <w:rPr>
          <w:rFonts w:cstheme="minorHAnsi"/>
          <w:sz w:val="24"/>
          <w:lang w:val="en-US"/>
        </w:rPr>
        <w:t xml:space="preserve">a number of key concepts and terms can be found and divided into </w:t>
      </w:r>
      <w:r w:rsidR="009309BD" w:rsidRPr="003041CE">
        <w:rPr>
          <w:rFonts w:cstheme="minorHAnsi"/>
          <w:sz w:val="24"/>
          <w:lang w:val="en-US"/>
        </w:rPr>
        <w:t>three overlapping categories</w:t>
      </w:r>
      <w:r w:rsidR="00337982" w:rsidRPr="003041CE">
        <w:rPr>
          <w:rFonts w:cstheme="minorHAnsi"/>
          <w:sz w:val="24"/>
          <w:lang w:val="en-US"/>
        </w:rPr>
        <w:t xml:space="preserve"> </w:t>
      </w:r>
      <w:r w:rsidR="009309BD" w:rsidRPr="003041CE">
        <w:rPr>
          <w:rFonts w:cstheme="minorHAnsi"/>
          <w:sz w:val="24"/>
          <w:lang w:val="en-US"/>
        </w:rPr>
        <w:t xml:space="preserve">(figure </w:t>
      </w:r>
      <w:r w:rsidR="004C30FB">
        <w:rPr>
          <w:rFonts w:cstheme="minorHAnsi"/>
          <w:sz w:val="24"/>
          <w:lang w:val="en-US"/>
        </w:rPr>
        <w:t>8.1</w:t>
      </w:r>
      <w:r w:rsidR="009309BD" w:rsidRPr="003041CE">
        <w:rPr>
          <w:rFonts w:cstheme="minorHAnsi"/>
          <w:sz w:val="24"/>
          <w:lang w:val="en-US"/>
        </w:rPr>
        <w:t>).</w:t>
      </w:r>
    </w:p>
    <w:tbl>
      <w:tblPr>
        <w:tblW w:w="852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3543"/>
        <w:gridCol w:w="3402"/>
      </w:tblGrid>
      <w:tr w:rsidR="00D010C0" w:rsidRPr="003C2FFE" w:rsidTr="006A56E4">
        <w:trPr>
          <w:trHeight w:val="510"/>
        </w:trPr>
        <w:tc>
          <w:tcPr>
            <w:tcW w:w="15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D010C0" w:rsidRPr="003C2FFE" w:rsidRDefault="00D010C0" w:rsidP="006A56E4">
            <w:pPr>
              <w:spacing w:after="0" w:line="240" w:lineRule="auto"/>
              <w:rPr>
                <w:rFonts w:eastAsia="Times New Roman" w:cs="Times"/>
                <w:b/>
                <w:bCs/>
                <w:color w:val="000000"/>
                <w:lang w:eastAsia="sv-SE"/>
              </w:rPr>
            </w:pPr>
            <w:proofErr w:type="spellStart"/>
            <w:r w:rsidRPr="003C2FFE">
              <w:rPr>
                <w:rFonts w:eastAsia="Times New Roman" w:cs="Times"/>
                <w:b/>
                <w:bCs/>
                <w:color w:val="000000"/>
                <w:lang w:eastAsia="sv-SE"/>
              </w:rPr>
              <w:t>Category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D010C0" w:rsidRPr="003C2FFE" w:rsidRDefault="00D010C0" w:rsidP="006A56E4">
            <w:pPr>
              <w:spacing w:after="0" w:line="240" w:lineRule="auto"/>
              <w:jc w:val="center"/>
              <w:rPr>
                <w:rFonts w:eastAsia="Times New Roman" w:cs="Times"/>
                <w:b/>
                <w:bCs/>
                <w:color w:val="000000"/>
                <w:lang w:eastAsia="sv-SE"/>
              </w:rPr>
            </w:pPr>
            <w:proofErr w:type="spellStart"/>
            <w:r w:rsidRPr="003C2FFE">
              <w:rPr>
                <w:rFonts w:eastAsia="Times New Roman" w:cs="Times"/>
                <w:b/>
                <w:bCs/>
                <w:color w:val="000000"/>
                <w:lang w:eastAsia="sv-SE"/>
              </w:rPr>
              <w:t>Key</w:t>
            </w:r>
            <w:proofErr w:type="spellEnd"/>
            <w:r w:rsidRPr="003C2FFE">
              <w:rPr>
                <w:rFonts w:eastAsia="Times New Roman" w:cs="Times"/>
                <w:b/>
                <w:bCs/>
                <w:color w:val="000000"/>
                <w:lang w:eastAsia="sv-SE"/>
              </w:rPr>
              <w:t xml:space="preserve"> </w:t>
            </w:r>
            <w:proofErr w:type="spellStart"/>
            <w:r w:rsidRPr="003C2FFE">
              <w:rPr>
                <w:rFonts w:eastAsia="Times New Roman" w:cs="Times"/>
                <w:b/>
                <w:bCs/>
                <w:color w:val="000000"/>
                <w:lang w:eastAsia="sv-SE"/>
              </w:rPr>
              <w:t>concepts</w:t>
            </w:r>
            <w:proofErr w:type="spellEnd"/>
            <w:r w:rsidRPr="003C2FFE">
              <w:rPr>
                <w:rFonts w:eastAsia="Times New Roman" w:cs="Times"/>
                <w:b/>
                <w:bCs/>
                <w:color w:val="000000"/>
                <w:lang w:eastAsia="sv-SE"/>
              </w:rPr>
              <w:t xml:space="preserve"> </w:t>
            </w:r>
            <w:proofErr w:type="gramStart"/>
            <w:r w:rsidRPr="003C2FFE">
              <w:rPr>
                <w:rFonts w:eastAsia="Times New Roman" w:cs="Times"/>
                <w:b/>
                <w:bCs/>
                <w:color w:val="000000"/>
                <w:lang w:eastAsia="sv-SE"/>
              </w:rPr>
              <w:t>and terms</w:t>
            </w:r>
            <w:proofErr w:type="gramEnd"/>
          </w:p>
        </w:tc>
      </w:tr>
      <w:tr w:rsidR="00D010C0" w:rsidRPr="003C2FFE" w:rsidTr="00B2369E">
        <w:trPr>
          <w:trHeight w:val="1726"/>
        </w:trPr>
        <w:tc>
          <w:tcPr>
            <w:tcW w:w="157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010C0" w:rsidRPr="003C2FFE" w:rsidRDefault="00D010C0" w:rsidP="006A56E4">
            <w:p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>Contract work characteristics</w:t>
            </w:r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010C0" w:rsidRPr="003C2FFE" w:rsidRDefault="00D010C0" w:rsidP="006A56E4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 xml:space="preserve">High workload </w:t>
            </w:r>
          </w:p>
          <w:p w:rsidR="00D010C0" w:rsidRPr="003C2FFE" w:rsidRDefault="00D010C0" w:rsidP="006A56E4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>Insufficient training</w:t>
            </w:r>
          </w:p>
          <w:p w:rsidR="00D010C0" w:rsidRPr="003C2FFE" w:rsidRDefault="00D010C0" w:rsidP="006A56E4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 xml:space="preserve">Low autonomy and task demand </w:t>
            </w:r>
          </w:p>
          <w:p w:rsidR="00B2369E" w:rsidRPr="00B2369E" w:rsidRDefault="00D010C0" w:rsidP="00B2369E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>Normalization of risk</w:t>
            </w:r>
          </w:p>
          <w:p w:rsidR="00B2369E" w:rsidRDefault="00B2369E" w:rsidP="00B2369E">
            <w:p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</w:p>
          <w:p w:rsidR="00B2369E" w:rsidRPr="00B2369E" w:rsidRDefault="00B2369E" w:rsidP="00B2369E">
            <w:p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010C0" w:rsidRPr="003C2FFE" w:rsidRDefault="00D010C0" w:rsidP="006A56E4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>Time constraints</w:t>
            </w:r>
          </w:p>
          <w:p w:rsidR="00D010C0" w:rsidRPr="003C2FFE" w:rsidRDefault="00D010C0" w:rsidP="006A56E4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>Temporary and/or peripheral work</w:t>
            </w:r>
          </w:p>
          <w:p w:rsidR="00D010C0" w:rsidRPr="003C2FFE" w:rsidRDefault="00D010C0" w:rsidP="006A56E4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 xml:space="preserve">Unfamiliarity with work environment </w:t>
            </w:r>
          </w:p>
        </w:tc>
      </w:tr>
      <w:tr w:rsidR="00D010C0" w:rsidRPr="003C2FFE" w:rsidTr="006A56E4">
        <w:trPr>
          <w:trHeight w:val="1530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010C0" w:rsidRPr="003C2FFE" w:rsidRDefault="00D010C0" w:rsidP="006A56E4">
            <w:p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>Structural/ organizational factors and conditions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010C0" w:rsidRPr="003C2FFE" w:rsidRDefault="00D010C0" w:rsidP="006A56E4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>Communication barriers</w:t>
            </w:r>
          </w:p>
          <w:p w:rsidR="00D010C0" w:rsidRPr="003C2FFE" w:rsidRDefault="00D010C0" w:rsidP="006A56E4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 xml:space="preserve">Disorganization effects </w:t>
            </w:r>
          </w:p>
          <w:p w:rsidR="00D010C0" w:rsidRPr="003C2FFE" w:rsidRDefault="00B2369E" w:rsidP="006A56E4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>
              <w:rPr>
                <w:rFonts w:eastAsia="Times New Roman" w:cs="Times"/>
                <w:color w:val="000000"/>
                <w:lang w:val="en-US" w:eastAsia="sv-SE"/>
              </w:rPr>
              <w:t>Substandard d</w:t>
            </w:r>
            <w:r w:rsidR="00D010C0" w:rsidRPr="003C2FFE">
              <w:rPr>
                <w:rFonts w:eastAsia="Times New Roman" w:cs="Times"/>
                <w:color w:val="000000"/>
                <w:lang w:val="en-US" w:eastAsia="sv-SE"/>
              </w:rPr>
              <w:t>ivision of responsibility</w:t>
            </w:r>
          </w:p>
          <w:p w:rsidR="00D010C0" w:rsidRPr="003C2FFE" w:rsidRDefault="00D010C0" w:rsidP="00B2369E">
            <w:pPr>
              <w:spacing w:after="0" w:line="240" w:lineRule="auto"/>
              <w:ind w:left="720"/>
              <w:rPr>
                <w:rFonts w:eastAsia="Times New Roman" w:cs="Times"/>
                <w:color w:val="000000"/>
                <w:lang w:val="en-US" w:eastAsia="sv-SE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010C0" w:rsidRPr="003C2FFE" w:rsidRDefault="00D010C0" w:rsidP="006A56E4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>Ineffective and insufficient information sharing</w:t>
            </w:r>
          </w:p>
          <w:p w:rsidR="00D010C0" w:rsidRPr="003C2FFE" w:rsidRDefault="00D010C0" w:rsidP="006A56E4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>Unstable social relations</w:t>
            </w:r>
          </w:p>
          <w:p w:rsidR="00D010C0" w:rsidRPr="003C2FFE" w:rsidRDefault="00D010C0" w:rsidP="00B2369E">
            <w:pPr>
              <w:spacing w:after="0" w:line="240" w:lineRule="auto"/>
              <w:ind w:left="720"/>
              <w:rPr>
                <w:rFonts w:eastAsia="Times New Roman" w:cs="Times"/>
                <w:color w:val="000000"/>
                <w:lang w:val="en-US" w:eastAsia="sv-SE"/>
              </w:rPr>
            </w:pPr>
          </w:p>
        </w:tc>
      </w:tr>
      <w:tr w:rsidR="00D010C0" w:rsidRPr="003C2FFE" w:rsidTr="006A56E4">
        <w:trPr>
          <w:trHeight w:val="960"/>
        </w:trPr>
        <w:tc>
          <w:tcPr>
            <w:tcW w:w="1575" w:type="dxa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D010C0" w:rsidRPr="003C2FFE" w:rsidRDefault="00D010C0" w:rsidP="006A56E4">
            <w:pPr>
              <w:spacing w:after="0" w:line="240" w:lineRule="auto"/>
              <w:rPr>
                <w:rFonts w:eastAsia="Times New Roman" w:cs="Times"/>
                <w:color w:val="000000"/>
                <w:lang w:eastAsia="sv-SE"/>
              </w:rPr>
            </w:pPr>
            <w:proofErr w:type="spellStart"/>
            <w:r w:rsidRPr="003C2FFE">
              <w:rPr>
                <w:rFonts w:eastAsia="Times New Roman" w:cs="Times"/>
                <w:color w:val="000000"/>
                <w:lang w:eastAsia="sv-SE"/>
              </w:rPr>
              <w:t>Cultural</w:t>
            </w:r>
            <w:proofErr w:type="spellEnd"/>
            <w:r w:rsidRPr="003C2FFE">
              <w:rPr>
                <w:rFonts w:eastAsia="Times New Roman" w:cs="Times"/>
                <w:color w:val="000000"/>
                <w:lang w:eastAsia="sv-SE"/>
              </w:rPr>
              <w:t xml:space="preserve"> </w:t>
            </w:r>
            <w:proofErr w:type="spellStart"/>
            <w:r w:rsidRPr="003C2FFE">
              <w:rPr>
                <w:rFonts w:eastAsia="Times New Roman" w:cs="Times"/>
                <w:color w:val="000000"/>
                <w:lang w:eastAsia="sv-SE"/>
              </w:rPr>
              <w:t>conditions</w:t>
            </w:r>
            <w:proofErr w:type="spellEnd"/>
          </w:p>
        </w:tc>
        <w:tc>
          <w:tcPr>
            <w:tcW w:w="3543" w:type="dxa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D010C0" w:rsidRPr="003C2FFE" w:rsidRDefault="00D010C0" w:rsidP="006A56E4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>Cultural integration difficulties</w:t>
            </w:r>
          </w:p>
          <w:p w:rsidR="00D010C0" w:rsidRPr="003C2FFE" w:rsidRDefault="00D010C0" w:rsidP="006A56E4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 xml:space="preserve">Culture of independence </w:t>
            </w:r>
          </w:p>
          <w:p w:rsidR="00D010C0" w:rsidRPr="003C2FFE" w:rsidRDefault="00D010C0" w:rsidP="006A56E4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 xml:space="preserve">Differing norms and values </w:t>
            </w:r>
          </w:p>
          <w:p w:rsidR="00D010C0" w:rsidRPr="003C2FFE" w:rsidRDefault="00D010C0" w:rsidP="006A56E4">
            <w:pPr>
              <w:spacing w:after="0" w:line="240" w:lineRule="auto"/>
              <w:ind w:left="720"/>
              <w:rPr>
                <w:rFonts w:eastAsia="Times New Roman" w:cs="Times"/>
                <w:color w:val="000000"/>
                <w:lang w:val="en-US" w:eastAsia="sv-SE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010C0" w:rsidRPr="003C2FFE" w:rsidRDefault="00D010C0" w:rsidP="006A56E4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"/>
                <w:color w:val="000000"/>
                <w:lang w:val="en-US" w:eastAsia="sv-SE"/>
              </w:rPr>
            </w:pPr>
            <w:r w:rsidRPr="003C2FFE">
              <w:rPr>
                <w:rFonts w:eastAsia="Times New Roman" w:cs="Times"/>
                <w:color w:val="000000"/>
                <w:lang w:val="en-US" w:eastAsia="sv-SE"/>
              </w:rPr>
              <w:t xml:space="preserve">Macho-masculine work culture </w:t>
            </w:r>
          </w:p>
        </w:tc>
      </w:tr>
      <w:tr w:rsidR="00D010C0" w:rsidRPr="003C2FFE" w:rsidTr="006A56E4">
        <w:trPr>
          <w:trHeight w:val="552"/>
        </w:trPr>
        <w:tc>
          <w:tcPr>
            <w:tcW w:w="1575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D010C0" w:rsidRPr="003C2FFE" w:rsidRDefault="00D010C0" w:rsidP="006A56E4">
            <w:p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sv-SE"/>
              </w:rPr>
            </w:pPr>
          </w:p>
        </w:tc>
        <w:tc>
          <w:tcPr>
            <w:tcW w:w="3543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D010C0" w:rsidRPr="003C2FFE" w:rsidRDefault="00D010C0" w:rsidP="006A56E4">
            <w:p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sv-SE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010C0" w:rsidRPr="003C2FFE" w:rsidRDefault="00D010C0" w:rsidP="006A56E4">
            <w:p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sv-SE"/>
              </w:rPr>
            </w:pPr>
          </w:p>
        </w:tc>
      </w:tr>
    </w:tbl>
    <w:p w:rsidR="0032017E" w:rsidRDefault="0032017E" w:rsidP="0068457C">
      <w:pPr>
        <w:rPr>
          <w:rFonts w:ascii="Times New Roman" w:hAnsi="Times New Roman" w:cs="Times New Roman"/>
          <w:lang w:val="en-US"/>
        </w:rPr>
      </w:pPr>
    </w:p>
    <w:p w:rsidR="00D010C0" w:rsidRPr="0032017E" w:rsidRDefault="00D010C0" w:rsidP="00D010C0">
      <w:pPr>
        <w:jc w:val="center"/>
        <w:rPr>
          <w:rFonts w:ascii="Times New Roman" w:hAnsi="Times New Roman" w:cs="Times New Roman"/>
          <w:lang w:val="en-US"/>
        </w:rPr>
      </w:pPr>
      <w:r w:rsidRPr="0032017E">
        <w:rPr>
          <w:rFonts w:ascii="Times New Roman" w:hAnsi="Times New Roman" w:cs="Times New Roman"/>
          <w:lang w:val="en-US"/>
        </w:rPr>
        <w:t xml:space="preserve">Figure </w:t>
      </w:r>
      <w:r w:rsidR="004C30FB">
        <w:rPr>
          <w:rFonts w:ascii="Times New Roman" w:hAnsi="Times New Roman" w:cs="Times New Roman"/>
          <w:lang w:val="en-US"/>
        </w:rPr>
        <w:t>8.1</w:t>
      </w:r>
      <w:r w:rsidRPr="0032017E">
        <w:rPr>
          <w:rFonts w:ascii="Times New Roman" w:hAnsi="Times New Roman" w:cs="Times New Roman"/>
          <w:lang w:val="en-US"/>
        </w:rPr>
        <w:t>.</w:t>
      </w:r>
      <w:r w:rsidR="002156FB" w:rsidRPr="0032017E">
        <w:rPr>
          <w:rFonts w:ascii="Times New Roman" w:hAnsi="Times New Roman" w:cs="Times New Roman"/>
          <w:lang w:val="en-US"/>
        </w:rPr>
        <w:t xml:space="preserve"> Examples of key concepts and terms</w:t>
      </w:r>
      <w:r w:rsidR="00530B8B" w:rsidRPr="0032017E">
        <w:rPr>
          <w:rFonts w:ascii="Times New Roman" w:hAnsi="Times New Roman" w:cs="Times New Roman"/>
          <w:lang w:val="en-US"/>
        </w:rPr>
        <w:t xml:space="preserve"> </w:t>
      </w:r>
      <w:r w:rsidR="002156FB" w:rsidRPr="0032017E">
        <w:rPr>
          <w:rFonts w:ascii="Times New Roman" w:hAnsi="Times New Roman" w:cs="Times New Roman"/>
          <w:lang w:val="en-US"/>
        </w:rPr>
        <w:t>(Nygren et al., 2017)</w:t>
      </w:r>
      <w:r w:rsidR="00657E30" w:rsidRPr="0032017E">
        <w:rPr>
          <w:rFonts w:ascii="Times New Roman" w:hAnsi="Times New Roman" w:cs="Times New Roman"/>
          <w:lang w:val="en-US"/>
        </w:rPr>
        <w:t>.</w:t>
      </w:r>
    </w:p>
    <w:p w:rsidR="0075135C" w:rsidRPr="003041CE" w:rsidRDefault="009309BD" w:rsidP="007F5938">
      <w:pPr>
        <w:spacing w:after="120" w:line="240" w:lineRule="auto"/>
        <w:jc w:val="both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  <w:lang w:val="en-US"/>
        </w:rPr>
        <w:t xml:space="preserve">As seen, </w:t>
      </w:r>
      <w:r w:rsidR="00530B8B" w:rsidRPr="003041CE">
        <w:rPr>
          <w:rFonts w:cstheme="minorHAnsi"/>
          <w:sz w:val="24"/>
          <w:lang w:val="en-US"/>
        </w:rPr>
        <w:t>research on the subject</w:t>
      </w:r>
      <w:r w:rsidRPr="003041CE">
        <w:rPr>
          <w:rFonts w:cstheme="minorHAnsi"/>
          <w:sz w:val="24"/>
          <w:lang w:val="en-US"/>
        </w:rPr>
        <w:t xml:space="preserve"> mainly highlights the safety-related problems that a</w:t>
      </w:r>
      <w:r w:rsidR="00286F58" w:rsidRPr="003041CE">
        <w:rPr>
          <w:rFonts w:cstheme="minorHAnsi"/>
          <w:sz w:val="24"/>
          <w:lang w:val="en-US"/>
        </w:rPr>
        <w:t xml:space="preserve">rise </w:t>
      </w:r>
      <w:r w:rsidR="00BD4BC6" w:rsidRPr="003041CE">
        <w:rPr>
          <w:rFonts w:cstheme="minorHAnsi"/>
          <w:sz w:val="24"/>
          <w:lang w:val="en-US"/>
        </w:rPr>
        <w:t>when contractors are hired</w:t>
      </w:r>
      <w:r w:rsidR="00024551" w:rsidRPr="003041CE">
        <w:rPr>
          <w:rFonts w:cstheme="minorHAnsi"/>
          <w:sz w:val="24"/>
          <w:lang w:val="en-US"/>
        </w:rPr>
        <w:t>, rather than the benefits that multi-employer arrangements may bring.</w:t>
      </w:r>
      <w:r w:rsidRPr="003041CE">
        <w:rPr>
          <w:rFonts w:cstheme="minorHAnsi"/>
          <w:sz w:val="24"/>
          <w:lang w:val="en-US"/>
        </w:rPr>
        <w:t xml:space="preserve"> In line with </w:t>
      </w:r>
      <w:r w:rsidR="00530B8B" w:rsidRPr="003041CE">
        <w:rPr>
          <w:rFonts w:cstheme="minorHAnsi"/>
          <w:sz w:val="24"/>
          <w:lang w:val="en-US"/>
        </w:rPr>
        <w:t>Mayhew et al</w:t>
      </w:r>
      <w:r w:rsidR="002156FB" w:rsidRPr="003041CE">
        <w:rPr>
          <w:rFonts w:cstheme="minorHAnsi"/>
          <w:sz w:val="24"/>
          <w:lang w:val="en-US"/>
        </w:rPr>
        <w:t xml:space="preserve"> (</w:t>
      </w:r>
      <w:r w:rsidR="00711EF4" w:rsidRPr="003041CE">
        <w:rPr>
          <w:rFonts w:cstheme="minorHAnsi"/>
          <w:sz w:val="24"/>
          <w:lang w:val="en-US"/>
        </w:rPr>
        <w:t>1997</w:t>
      </w:r>
      <w:r w:rsidR="002156FB" w:rsidRPr="003041CE">
        <w:rPr>
          <w:rFonts w:cstheme="minorHAnsi"/>
          <w:sz w:val="24"/>
          <w:lang w:val="en-US"/>
        </w:rPr>
        <w:t>), Nygren et al. (2017) argue that much of the problems can be connected to t</w:t>
      </w:r>
      <w:r w:rsidR="00BD4BC6" w:rsidRPr="003041CE">
        <w:rPr>
          <w:rFonts w:cstheme="minorHAnsi"/>
          <w:sz w:val="24"/>
          <w:lang w:val="en-US"/>
        </w:rPr>
        <w:t>wo</w:t>
      </w:r>
      <w:r w:rsidR="002156FB" w:rsidRPr="003041CE">
        <w:rPr>
          <w:rFonts w:cstheme="minorHAnsi"/>
          <w:sz w:val="24"/>
          <w:lang w:val="en-US"/>
        </w:rPr>
        <w:t xml:space="preserve"> main factors: </w:t>
      </w:r>
    </w:p>
    <w:p w:rsidR="0075135C" w:rsidRPr="003041CE" w:rsidRDefault="0075135C" w:rsidP="007F5938">
      <w:pPr>
        <w:pStyle w:val="Liststycke"/>
        <w:numPr>
          <w:ilvl w:val="0"/>
          <w:numId w:val="6"/>
        </w:numPr>
        <w:spacing w:after="120" w:line="240" w:lineRule="auto"/>
        <w:jc w:val="both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  <w:lang w:val="en-US"/>
        </w:rPr>
        <w:t>E</w:t>
      </w:r>
      <w:r w:rsidR="002156FB" w:rsidRPr="003041CE">
        <w:rPr>
          <w:rFonts w:cstheme="minorHAnsi"/>
          <w:sz w:val="24"/>
          <w:lang w:val="en-US"/>
        </w:rPr>
        <w:t>conomic p</w:t>
      </w:r>
      <w:r w:rsidRPr="003041CE">
        <w:rPr>
          <w:rFonts w:cstheme="minorHAnsi"/>
          <w:sz w:val="24"/>
          <w:lang w:val="en-US"/>
        </w:rPr>
        <w:t>ressures</w:t>
      </w:r>
    </w:p>
    <w:p w:rsidR="00BD4BC6" w:rsidRPr="0068457C" w:rsidRDefault="00BD4BC6" w:rsidP="007F5938">
      <w:pPr>
        <w:spacing w:after="120" w:line="240" w:lineRule="auto"/>
        <w:ind w:left="360"/>
        <w:jc w:val="both"/>
        <w:rPr>
          <w:rFonts w:cstheme="minorHAnsi"/>
          <w:sz w:val="24"/>
          <w:lang w:val="en-US"/>
        </w:rPr>
      </w:pPr>
    </w:p>
    <w:p w:rsidR="0075135C" w:rsidRPr="003041CE" w:rsidRDefault="0075135C" w:rsidP="007F5938">
      <w:pPr>
        <w:pStyle w:val="Liststycke"/>
        <w:numPr>
          <w:ilvl w:val="0"/>
          <w:numId w:val="6"/>
        </w:numPr>
        <w:spacing w:after="120" w:line="240" w:lineRule="auto"/>
        <w:jc w:val="both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  <w:lang w:val="en-US"/>
        </w:rPr>
        <w:t>D</w:t>
      </w:r>
      <w:r w:rsidR="002156FB" w:rsidRPr="003041CE">
        <w:rPr>
          <w:rFonts w:cstheme="minorHAnsi"/>
          <w:sz w:val="24"/>
          <w:lang w:val="en-US"/>
        </w:rPr>
        <w:t xml:space="preserve">isorganization </w:t>
      </w:r>
    </w:p>
    <w:p w:rsidR="00BD4BC6" w:rsidRPr="003041CE" w:rsidRDefault="002156FB" w:rsidP="007F5938">
      <w:pPr>
        <w:spacing w:after="120" w:line="240" w:lineRule="auto"/>
        <w:jc w:val="both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  <w:lang w:val="en-US"/>
        </w:rPr>
        <w:t>The first factor</w:t>
      </w:r>
      <w:r w:rsidR="00530B8B" w:rsidRPr="003041CE">
        <w:rPr>
          <w:rFonts w:cstheme="minorHAnsi"/>
          <w:sz w:val="24"/>
          <w:lang w:val="en-US"/>
        </w:rPr>
        <w:t xml:space="preserve">, </w:t>
      </w:r>
      <w:r w:rsidR="00530B8B" w:rsidRPr="003041CE">
        <w:rPr>
          <w:rFonts w:cstheme="minorHAnsi"/>
          <w:i/>
          <w:sz w:val="24"/>
          <w:lang w:val="en-US"/>
        </w:rPr>
        <w:t>economic pressures</w:t>
      </w:r>
      <w:r w:rsidR="00530B8B" w:rsidRPr="003041CE">
        <w:rPr>
          <w:rFonts w:cstheme="minorHAnsi"/>
          <w:sz w:val="24"/>
          <w:lang w:val="en-US"/>
        </w:rPr>
        <w:t>,</w:t>
      </w:r>
      <w:r w:rsidRPr="003041CE">
        <w:rPr>
          <w:rFonts w:cstheme="minorHAnsi"/>
          <w:sz w:val="24"/>
          <w:lang w:val="en-US"/>
        </w:rPr>
        <w:t xml:space="preserve"> highlights that contractors </w:t>
      </w:r>
      <w:r w:rsidR="00B04470" w:rsidRPr="003041CE">
        <w:rPr>
          <w:rFonts w:cstheme="minorHAnsi"/>
          <w:sz w:val="24"/>
          <w:lang w:val="en-US"/>
        </w:rPr>
        <w:t>(</w:t>
      </w:r>
      <w:r w:rsidRPr="003041CE">
        <w:rPr>
          <w:rFonts w:cstheme="minorHAnsi"/>
          <w:sz w:val="24"/>
          <w:lang w:val="en-US"/>
        </w:rPr>
        <w:t>and in particular smaller companies</w:t>
      </w:r>
      <w:r w:rsidR="00B04470" w:rsidRPr="003041CE">
        <w:rPr>
          <w:rFonts w:cstheme="minorHAnsi"/>
          <w:sz w:val="24"/>
          <w:lang w:val="en-US"/>
        </w:rPr>
        <w:t>)</w:t>
      </w:r>
      <w:r w:rsidRPr="003041CE">
        <w:rPr>
          <w:rFonts w:cstheme="minorHAnsi"/>
          <w:sz w:val="24"/>
          <w:lang w:val="en-US"/>
        </w:rPr>
        <w:t xml:space="preserve"> may not </w:t>
      </w:r>
      <w:r w:rsidR="00491ED4" w:rsidRPr="003041CE">
        <w:rPr>
          <w:rFonts w:cstheme="minorHAnsi"/>
          <w:sz w:val="24"/>
          <w:lang w:val="en-US"/>
        </w:rPr>
        <w:t>invest</w:t>
      </w:r>
      <w:r w:rsidRPr="003041CE">
        <w:rPr>
          <w:rFonts w:cstheme="minorHAnsi"/>
          <w:sz w:val="24"/>
          <w:lang w:val="en-US"/>
        </w:rPr>
        <w:t xml:space="preserve"> in h</w:t>
      </w:r>
      <w:r w:rsidR="003630D7" w:rsidRPr="003041CE">
        <w:rPr>
          <w:rFonts w:cstheme="minorHAnsi"/>
          <w:sz w:val="24"/>
          <w:lang w:val="en-US"/>
        </w:rPr>
        <w:t>ealth and safety</w:t>
      </w:r>
      <w:r w:rsidR="00491ED4" w:rsidRPr="003041CE">
        <w:rPr>
          <w:rFonts w:cstheme="minorHAnsi"/>
          <w:sz w:val="24"/>
          <w:lang w:val="en-US"/>
        </w:rPr>
        <w:t>-related matters</w:t>
      </w:r>
      <w:r w:rsidR="003630D7" w:rsidRPr="003041CE">
        <w:rPr>
          <w:rFonts w:cstheme="minorHAnsi"/>
          <w:sz w:val="24"/>
          <w:lang w:val="en-US"/>
        </w:rPr>
        <w:t xml:space="preserve"> due to a lack of resources.</w:t>
      </w:r>
      <w:r w:rsidRPr="003041CE">
        <w:rPr>
          <w:rFonts w:cstheme="minorHAnsi"/>
          <w:sz w:val="24"/>
          <w:lang w:val="en-US"/>
        </w:rPr>
        <w:t xml:space="preserve"> This includes less systematized management practices as well as </w:t>
      </w:r>
      <w:r w:rsidR="003630D7" w:rsidRPr="003041CE">
        <w:rPr>
          <w:rFonts w:cstheme="minorHAnsi"/>
          <w:sz w:val="24"/>
          <w:lang w:val="en-US"/>
        </w:rPr>
        <w:t>a lack of comprehensive</w:t>
      </w:r>
      <w:r w:rsidRPr="003041CE">
        <w:rPr>
          <w:rFonts w:cstheme="minorHAnsi"/>
          <w:sz w:val="24"/>
          <w:lang w:val="en-US"/>
        </w:rPr>
        <w:t xml:space="preserve"> safety education and training. </w:t>
      </w:r>
      <w:r w:rsidR="00711EF4" w:rsidRPr="003041CE">
        <w:rPr>
          <w:rFonts w:cstheme="minorHAnsi"/>
          <w:sz w:val="24"/>
          <w:lang w:val="en-US"/>
        </w:rPr>
        <w:t xml:space="preserve">The second factor, </w:t>
      </w:r>
      <w:r w:rsidR="00711EF4" w:rsidRPr="003041CE">
        <w:rPr>
          <w:rFonts w:cstheme="minorHAnsi"/>
          <w:i/>
          <w:sz w:val="24"/>
          <w:lang w:val="en-US"/>
        </w:rPr>
        <w:t>disorganization</w:t>
      </w:r>
      <w:r w:rsidR="00711EF4" w:rsidRPr="003041CE">
        <w:rPr>
          <w:rFonts w:cstheme="minorHAnsi"/>
          <w:sz w:val="24"/>
          <w:lang w:val="en-US"/>
        </w:rPr>
        <w:t>, focu</w:t>
      </w:r>
      <w:r w:rsidR="00B04470" w:rsidRPr="003041CE">
        <w:rPr>
          <w:rFonts w:cstheme="minorHAnsi"/>
          <w:sz w:val="24"/>
          <w:lang w:val="en-US"/>
        </w:rPr>
        <w:t>se</w:t>
      </w:r>
      <w:r w:rsidR="00711EF4" w:rsidRPr="003041CE">
        <w:rPr>
          <w:rFonts w:cstheme="minorHAnsi"/>
          <w:sz w:val="24"/>
          <w:lang w:val="en-US"/>
        </w:rPr>
        <w:t>s on the organizational conditions for safety. Multi-employer worksites are often characterized by complex contracting chains with contractor</w:t>
      </w:r>
      <w:r w:rsidR="00B04470" w:rsidRPr="003041CE">
        <w:rPr>
          <w:rFonts w:cstheme="minorHAnsi"/>
          <w:sz w:val="24"/>
          <w:lang w:val="en-US"/>
        </w:rPr>
        <w:t xml:space="preserve">s hiring other (sub)contractors, or multiple contractors being hired by a </w:t>
      </w:r>
      <w:r w:rsidR="003630D7" w:rsidRPr="003041CE">
        <w:rPr>
          <w:rFonts w:cstheme="minorHAnsi"/>
          <w:sz w:val="24"/>
          <w:lang w:val="en-US"/>
        </w:rPr>
        <w:t>mining</w:t>
      </w:r>
      <w:r w:rsidR="00B04470" w:rsidRPr="003041CE">
        <w:rPr>
          <w:rFonts w:cstheme="minorHAnsi"/>
          <w:sz w:val="24"/>
          <w:lang w:val="en-US"/>
        </w:rPr>
        <w:t xml:space="preserve"> company for different projects.</w:t>
      </w:r>
      <w:r w:rsidR="00711EF4" w:rsidRPr="003041CE">
        <w:rPr>
          <w:rFonts w:cstheme="minorHAnsi"/>
          <w:sz w:val="24"/>
          <w:lang w:val="en-US"/>
        </w:rPr>
        <w:t xml:space="preserve"> This can lead to unclear relationships between groups of workers, ambiguity in the </w:t>
      </w:r>
      <w:r w:rsidR="00B04470" w:rsidRPr="003041CE">
        <w:rPr>
          <w:rFonts w:cstheme="minorHAnsi"/>
          <w:sz w:val="24"/>
          <w:lang w:val="en-US"/>
        </w:rPr>
        <w:t>organization of work</w:t>
      </w:r>
      <w:r w:rsidR="00711EF4" w:rsidRPr="003041CE">
        <w:rPr>
          <w:rFonts w:cstheme="minorHAnsi"/>
          <w:sz w:val="24"/>
          <w:lang w:val="en-US"/>
        </w:rPr>
        <w:t>, as well as a br</w:t>
      </w:r>
      <w:r w:rsidR="00B04470" w:rsidRPr="003041CE">
        <w:rPr>
          <w:rFonts w:cstheme="minorHAnsi"/>
          <w:sz w:val="24"/>
          <w:lang w:val="en-US"/>
        </w:rPr>
        <w:t>eakdown in communication and substandard</w:t>
      </w:r>
      <w:r w:rsidR="00711EF4" w:rsidRPr="003041CE">
        <w:rPr>
          <w:rFonts w:cstheme="minorHAnsi"/>
          <w:sz w:val="24"/>
          <w:lang w:val="en-US"/>
        </w:rPr>
        <w:t xml:space="preserve"> division of </w:t>
      </w:r>
      <w:r w:rsidR="00493F2C" w:rsidRPr="003041CE">
        <w:rPr>
          <w:rFonts w:cstheme="minorHAnsi"/>
          <w:sz w:val="24"/>
          <w:lang w:val="en-US"/>
        </w:rPr>
        <w:t>management</w:t>
      </w:r>
      <w:r w:rsidR="00711EF4" w:rsidRPr="003041CE">
        <w:rPr>
          <w:rFonts w:cstheme="minorHAnsi"/>
          <w:sz w:val="24"/>
          <w:lang w:val="en-US"/>
        </w:rPr>
        <w:t xml:space="preserve"> responsibilities. </w:t>
      </w:r>
    </w:p>
    <w:p w:rsidR="00657E30" w:rsidRPr="003041CE" w:rsidRDefault="00657E30" w:rsidP="007F5938">
      <w:pPr>
        <w:spacing w:after="120" w:line="240" w:lineRule="auto"/>
        <w:jc w:val="both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  <w:lang w:val="en-US"/>
        </w:rPr>
        <w:t xml:space="preserve">Given that mining </w:t>
      </w:r>
      <w:r w:rsidR="00387739" w:rsidRPr="003041CE">
        <w:rPr>
          <w:rFonts w:cstheme="minorHAnsi"/>
          <w:sz w:val="24"/>
          <w:lang w:val="en-US"/>
        </w:rPr>
        <w:t>companies</w:t>
      </w:r>
      <w:r w:rsidRPr="003041CE">
        <w:rPr>
          <w:rFonts w:cstheme="minorHAnsi"/>
          <w:sz w:val="24"/>
          <w:lang w:val="en-US"/>
        </w:rPr>
        <w:t xml:space="preserve"> are relying on contractors to a significant extent, the concept of work attractiveness </w:t>
      </w:r>
      <w:r w:rsidR="00493F2C" w:rsidRPr="003041CE">
        <w:rPr>
          <w:rFonts w:cstheme="minorHAnsi"/>
          <w:sz w:val="24"/>
          <w:lang w:val="en-US"/>
        </w:rPr>
        <w:t>should</w:t>
      </w:r>
      <w:r w:rsidRPr="003041CE">
        <w:rPr>
          <w:rFonts w:cstheme="minorHAnsi"/>
          <w:sz w:val="24"/>
          <w:lang w:val="en-US"/>
        </w:rPr>
        <w:t xml:space="preserve"> be expanded to also include the conditions that arise in multi-employer arrangements.</w:t>
      </w:r>
      <w:r w:rsidR="00B77F2B" w:rsidRPr="003041CE">
        <w:rPr>
          <w:rFonts w:cstheme="minorHAnsi"/>
          <w:sz w:val="24"/>
          <w:lang w:val="en-US"/>
        </w:rPr>
        <w:t xml:space="preserve"> T</w:t>
      </w:r>
      <w:r w:rsidRPr="003041CE">
        <w:rPr>
          <w:rFonts w:cstheme="minorHAnsi"/>
          <w:sz w:val="24"/>
          <w:lang w:val="en-US"/>
        </w:rPr>
        <w:t>he following</w:t>
      </w:r>
      <w:r w:rsidR="00216065" w:rsidRPr="003041CE">
        <w:rPr>
          <w:rFonts w:cstheme="minorHAnsi"/>
          <w:sz w:val="24"/>
          <w:lang w:val="en-US"/>
        </w:rPr>
        <w:t xml:space="preserve"> </w:t>
      </w:r>
      <w:r w:rsidR="00493F2C" w:rsidRPr="003041CE">
        <w:rPr>
          <w:rFonts w:cstheme="minorHAnsi"/>
          <w:sz w:val="24"/>
          <w:lang w:val="en-US"/>
        </w:rPr>
        <w:t xml:space="preserve">points </w:t>
      </w:r>
      <w:r w:rsidR="003630D7" w:rsidRPr="003041CE">
        <w:rPr>
          <w:rFonts w:cstheme="minorHAnsi"/>
          <w:sz w:val="24"/>
          <w:lang w:val="en-US"/>
        </w:rPr>
        <w:t>can</w:t>
      </w:r>
      <w:r w:rsidR="00B77F2B" w:rsidRPr="003041CE">
        <w:rPr>
          <w:rFonts w:cstheme="minorHAnsi"/>
          <w:sz w:val="24"/>
          <w:lang w:val="en-US"/>
        </w:rPr>
        <w:t xml:space="preserve"> </w:t>
      </w:r>
      <w:r w:rsidR="00E47853" w:rsidRPr="003041CE">
        <w:rPr>
          <w:rFonts w:cstheme="minorHAnsi"/>
          <w:sz w:val="24"/>
          <w:lang w:val="en-US"/>
        </w:rPr>
        <w:t>be taken into consideration when aiming to increase safety</w:t>
      </w:r>
      <w:r w:rsidR="00216065" w:rsidRPr="003041CE">
        <w:rPr>
          <w:rFonts w:cstheme="minorHAnsi"/>
          <w:sz w:val="24"/>
          <w:lang w:val="en-US"/>
        </w:rPr>
        <w:t xml:space="preserve"> </w:t>
      </w:r>
      <w:r w:rsidR="00BD4BC6" w:rsidRPr="003041CE">
        <w:rPr>
          <w:rFonts w:cstheme="minorHAnsi"/>
          <w:sz w:val="24"/>
          <w:lang w:val="en-US"/>
        </w:rPr>
        <w:t>in these types of work settings</w:t>
      </w:r>
      <w:r w:rsidR="00216065" w:rsidRPr="003041CE">
        <w:rPr>
          <w:rFonts w:cstheme="minorHAnsi"/>
          <w:sz w:val="24"/>
          <w:lang w:val="en-US"/>
        </w:rPr>
        <w:t xml:space="preserve"> – and, by extension, </w:t>
      </w:r>
      <w:r w:rsidRPr="003041CE">
        <w:rPr>
          <w:rFonts w:cstheme="minorHAnsi"/>
          <w:sz w:val="24"/>
          <w:lang w:val="en-US"/>
        </w:rPr>
        <w:t xml:space="preserve">work attractiveness for contractor </w:t>
      </w:r>
      <w:r w:rsidR="00493F2C" w:rsidRPr="003041CE">
        <w:rPr>
          <w:rFonts w:cstheme="minorHAnsi"/>
          <w:sz w:val="24"/>
          <w:lang w:val="en-US"/>
        </w:rPr>
        <w:t>personnel</w:t>
      </w:r>
      <w:r w:rsidR="00491ED4" w:rsidRPr="003041CE">
        <w:rPr>
          <w:rFonts w:cstheme="minorHAnsi"/>
          <w:sz w:val="24"/>
          <w:lang w:val="en-US"/>
        </w:rPr>
        <w:t>:</w:t>
      </w:r>
      <w:r w:rsidR="00216065" w:rsidRPr="003041CE">
        <w:rPr>
          <w:rFonts w:cstheme="minorHAnsi"/>
          <w:sz w:val="24"/>
          <w:lang w:val="en-US"/>
        </w:rPr>
        <w:t xml:space="preserve"> </w:t>
      </w:r>
    </w:p>
    <w:p w:rsidR="003630D7" w:rsidRPr="0068457C" w:rsidRDefault="00657E30" w:rsidP="0068457C">
      <w:pPr>
        <w:pStyle w:val="Liststycke"/>
        <w:numPr>
          <w:ilvl w:val="0"/>
          <w:numId w:val="7"/>
        </w:numPr>
        <w:spacing w:after="120" w:line="240" w:lineRule="auto"/>
        <w:jc w:val="both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  <w:lang w:val="en-US"/>
        </w:rPr>
        <w:t xml:space="preserve">The mining </w:t>
      </w:r>
      <w:r w:rsidR="00493F2C" w:rsidRPr="003041CE">
        <w:rPr>
          <w:rFonts w:cstheme="minorHAnsi"/>
          <w:sz w:val="24"/>
          <w:lang w:val="en-US"/>
        </w:rPr>
        <w:t>company should make</w:t>
      </w:r>
      <w:r w:rsidR="003630D7" w:rsidRPr="003041CE">
        <w:rPr>
          <w:rFonts w:cstheme="minorHAnsi"/>
          <w:sz w:val="24"/>
          <w:lang w:val="en-US"/>
        </w:rPr>
        <w:t xml:space="preserve"> sure that the contractors have</w:t>
      </w:r>
      <w:r w:rsidRPr="003041CE">
        <w:rPr>
          <w:rFonts w:cstheme="minorHAnsi"/>
          <w:sz w:val="24"/>
          <w:lang w:val="en-US"/>
        </w:rPr>
        <w:t xml:space="preserve"> well-functioning health a</w:t>
      </w:r>
      <w:r w:rsidR="003630D7" w:rsidRPr="003041CE">
        <w:rPr>
          <w:rFonts w:cstheme="minorHAnsi"/>
          <w:sz w:val="24"/>
          <w:lang w:val="en-US"/>
        </w:rPr>
        <w:t>nd safety management systems in place, including a clear division of roles and responsibilities</w:t>
      </w:r>
      <w:r w:rsidR="00216065" w:rsidRPr="003041CE">
        <w:rPr>
          <w:rFonts w:cstheme="minorHAnsi"/>
          <w:sz w:val="24"/>
          <w:lang w:val="en-US"/>
        </w:rPr>
        <w:t xml:space="preserve">. </w:t>
      </w:r>
    </w:p>
    <w:p w:rsidR="00216065" w:rsidRPr="0068457C" w:rsidRDefault="003630D7" w:rsidP="0068457C">
      <w:pPr>
        <w:pStyle w:val="Liststycke"/>
        <w:numPr>
          <w:ilvl w:val="0"/>
          <w:numId w:val="7"/>
        </w:numPr>
        <w:spacing w:after="120" w:line="240" w:lineRule="auto"/>
        <w:jc w:val="both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  <w:lang w:val="en-US"/>
        </w:rPr>
        <w:t>Safety education and training should be a prerequisite for conducting work in the industry, regardless of employer. This should also be documented</w:t>
      </w:r>
      <w:r w:rsidR="00BD4BC6" w:rsidRPr="003041CE">
        <w:rPr>
          <w:rFonts w:cstheme="minorHAnsi"/>
          <w:sz w:val="24"/>
          <w:lang w:val="en-US"/>
        </w:rPr>
        <w:t xml:space="preserve"> in </w:t>
      </w:r>
      <w:r w:rsidR="00B77F2B" w:rsidRPr="003041CE">
        <w:rPr>
          <w:rFonts w:cstheme="minorHAnsi"/>
          <w:sz w:val="24"/>
          <w:lang w:val="en-US"/>
        </w:rPr>
        <w:t>the form of, e.g., certificates of completed courses.</w:t>
      </w:r>
    </w:p>
    <w:p w:rsidR="00216065" w:rsidRPr="0068457C" w:rsidRDefault="00216065" w:rsidP="0068457C">
      <w:pPr>
        <w:pStyle w:val="Liststycke"/>
        <w:numPr>
          <w:ilvl w:val="0"/>
          <w:numId w:val="7"/>
        </w:numPr>
        <w:spacing w:after="120" w:line="240" w:lineRule="auto"/>
        <w:jc w:val="both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  <w:lang w:val="en-US"/>
        </w:rPr>
        <w:t>The work</w:t>
      </w:r>
      <w:r w:rsidR="00657E30" w:rsidRPr="003041CE">
        <w:rPr>
          <w:rFonts w:cstheme="minorHAnsi"/>
          <w:sz w:val="24"/>
          <w:lang w:val="en-US"/>
        </w:rPr>
        <w:t xml:space="preserve"> need</w:t>
      </w:r>
      <w:r w:rsidRPr="003041CE">
        <w:rPr>
          <w:rFonts w:cstheme="minorHAnsi"/>
          <w:sz w:val="24"/>
          <w:lang w:val="en-US"/>
        </w:rPr>
        <w:t>s</w:t>
      </w:r>
      <w:r w:rsidR="00657E30" w:rsidRPr="003041CE">
        <w:rPr>
          <w:rFonts w:cstheme="minorHAnsi"/>
          <w:sz w:val="24"/>
          <w:lang w:val="en-US"/>
        </w:rPr>
        <w:t xml:space="preserve"> to be scheduled </w:t>
      </w:r>
      <w:r w:rsidR="00024551" w:rsidRPr="003041CE">
        <w:rPr>
          <w:rFonts w:cstheme="minorHAnsi"/>
          <w:sz w:val="24"/>
          <w:lang w:val="en-US"/>
        </w:rPr>
        <w:t xml:space="preserve">carefully, </w:t>
      </w:r>
      <w:r w:rsidR="00286F58" w:rsidRPr="003041CE">
        <w:rPr>
          <w:rFonts w:cstheme="minorHAnsi"/>
          <w:sz w:val="24"/>
          <w:lang w:val="en-US"/>
        </w:rPr>
        <w:t>include</w:t>
      </w:r>
      <w:r w:rsidR="00493F2C" w:rsidRPr="003041CE">
        <w:rPr>
          <w:rFonts w:cstheme="minorHAnsi"/>
          <w:sz w:val="24"/>
          <w:lang w:val="en-US"/>
        </w:rPr>
        <w:t xml:space="preserve"> realistic time </w:t>
      </w:r>
      <w:r w:rsidR="00286F58" w:rsidRPr="003041CE">
        <w:rPr>
          <w:rFonts w:cstheme="minorHAnsi"/>
          <w:sz w:val="24"/>
          <w:lang w:val="en-US"/>
        </w:rPr>
        <w:t>frames</w:t>
      </w:r>
      <w:r w:rsidR="003630D7" w:rsidRPr="003041CE">
        <w:rPr>
          <w:rFonts w:cstheme="minorHAnsi"/>
          <w:sz w:val="24"/>
          <w:lang w:val="en-US"/>
        </w:rPr>
        <w:t xml:space="preserve">, and </w:t>
      </w:r>
      <w:r w:rsidR="00657E30" w:rsidRPr="003041CE">
        <w:rPr>
          <w:rFonts w:cstheme="minorHAnsi"/>
          <w:sz w:val="24"/>
          <w:lang w:val="en-US"/>
        </w:rPr>
        <w:t xml:space="preserve">communicated clearly to </w:t>
      </w:r>
      <w:r w:rsidR="003630D7" w:rsidRPr="003041CE">
        <w:rPr>
          <w:rFonts w:cstheme="minorHAnsi"/>
          <w:sz w:val="24"/>
          <w:lang w:val="en-US"/>
        </w:rPr>
        <w:t>everyone involved</w:t>
      </w:r>
      <w:r w:rsidR="00657E30" w:rsidRPr="003041CE">
        <w:rPr>
          <w:rFonts w:cstheme="minorHAnsi"/>
          <w:sz w:val="24"/>
          <w:lang w:val="en-US"/>
        </w:rPr>
        <w:t>. This includes</w:t>
      </w:r>
      <w:r w:rsidR="003630D7" w:rsidRPr="003041CE">
        <w:rPr>
          <w:rFonts w:cstheme="minorHAnsi"/>
          <w:sz w:val="24"/>
          <w:lang w:val="en-US"/>
        </w:rPr>
        <w:t xml:space="preserve"> the mining company</w:t>
      </w:r>
      <w:r w:rsidR="00657E30" w:rsidRPr="003041CE">
        <w:rPr>
          <w:rFonts w:cstheme="minorHAnsi"/>
          <w:sz w:val="24"/>
          <w:lang w:val="en-US"/>
        </w:rPr>
        <w:t xml:space="preserve"> informing the contractor</w:t>
      </w:r>
      <w:r w:rsidR="00BD4BC6" w:rsidRPr="003041CE">
        <w:rPr>
          <w:rFonts w:cstheme="minorHAnsi"/>
          <w:sz w:val="24"/>
          <w:lang w:val="en-US"/>
        </w:rPr>
        <w:t>s</w:t>
      </w:r>
      <w:r w:rsidR="00657E30" w:rsidRPr="003041CE">
        <w:rPr>
          <w:rFonts w:cstheme="minorHAnsi"/>
          <w:sz w:val="24"/>
          <w:lang w:val="en-US"/>
        </w:rPr>
        <w:t xml:space="preserve"> of any/all adjacent work</w:t>
      </w:r>
      <w:r w:rsidRPr="003041CE">
        <w:rPr>
          <w:rFonts w:cstheme="minorHAnsi"/>
          <w:sz w:val="24"/>
          <w:lang w:val="en-US"/>
        </w:rPr>
        <w:t xml:space="preserve"> by other companies</w:t>
      </w:r>
      <w:r w:rsidR="00657E30" w:rsidRPr="003041CE">
        <w:rPr>
          <w:rFonts w:cstheme="minorHAnsi"/>
          <w:sz w:val="24"/>
          <w:lang w:val="en-US"/>
        </w:rPr>
        <w:t xml:space="preserve"> that </w:t>
      </w:r>
      <w:r w:rsidRPr="003041CE">
        <w:rPr>
          <w:rFonts w:cstheme="minorHAnsi"/>
          <w:sz w:val="24"/>
          <w:lang w:val="en-US"/>
        </w:rPr>
        <w:t>will be</w:t>
      </w:r>
      <w:r w:rsidR="00657E30" w:rsidRPr="003041CE">
        <w:rPr>
          <w:rFonts w:cstheme="minorHAnsi"/>
          <w:sz w:val="24"/>
          <w:lang w:val="en-US"/>
        </w:rPr>
        <w:t xml:space="preserve"> conducted simultaneously</w:t>
      </w:r>
      <w:r w:rsidR="00286F58" w:rsidRPr="003041CE">
        <w:rPr>
          <w:rFonts w:cstheme="minorHAnsi"/>
          <w:sz w:val="24"/>
          <w:lang w:val="en-US"/>
        </w:rPr>
        <w:t>.</w:t>
      </w:r>
      <w:r w:rsidR="00657E30" w:rsidRPr="003041CE">
        <w:rPr>
          <w:rFonts w:cstheme="minorHAnsi"/>
          <w:sz w:val="24"/>
          <w:lang w:val="en-US"/>
        </w:rPr>
        <w:t xml:space="preserve"> </w:t>
      </w:r>
    </w:p>
    <w:p w:rsidR="00337982" w:rsidRPr="0068457C" w:rsidRDefault="00286F58" w:rsidP="0068457C">
      <w:pPr>
        <w:pStyle w:val="Liststycke"/>
        <w:numPr>
          <w:ilvl w:val="0"/>
          <w:numId w:val="7"/>
        </w:numPr>
        <w:spacing w:after="120" w:line="240" w:lineRule="auto"/>
        <w:jc w:val="both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  <w:lang w:val="en-US"/>
        </w:rPr>
        <w:t>Meetings should be organized</w:t>
      </w:r>
      <w:r w:rsidR="00216065" w:rsidRPr="003041CE">
        <w:rPr>
          <w:rFonts w:cstheme="minorHAnsi"/>
          <w:sz w:val="24"/>
          <w:lang w:val="en-US"/>
        </w:rPr>
        <w:t xml:space="preserve"> where health and safety-related issues </w:t>
      </w:r>
      <w:r w:rsidRPr="003041CE">
        <w:rPr>
          <w:rFonts w:cstheme="minorHAnsi"/>
          <w:sz w:val="24"/>
          <w:lang w:val="en-US"/>
        </w:rPr>
        <w:t>are</w:t>
      </w:r>
      <w:r w:rsidR="00216065" w:rsidRPr="003041CE">
        <w:rPr>
          <w:rFonts w:cstheme="minorHAnsi"/>
          <w:sz w:val="24"/>
          <w:lang w:val="en-US"/>
        </w:rPr>
        <w:t xml:space="preserve"> discussed, as a way of e</w:t>
      </w:r>
      <w:r w:rsidR="00493F2C" w:rsidRPr="003041CE">
        <w:rPr>
          <w:rFonts w:cstheme="minorHAnsi"/>
          <w:sz w:val="24"/>
          <w:lang w:val="en-US"/>
        </w:rPr>
        <w:t>ncouraging</w:t>
      </w:r>
      <w:r w:rsidR="00216065" w:rsidRPr="003041CE">
        <w:rPr>
          <w:rFonts w:cstheme="minorHAnsi"/>
          <w:sz w:val="24"/>
          <w:lang w:val="en-US"/>
        </w:rPr>
        <w:t xml:space="preserve"> </w:t>
      </w:r>
      <w:r w:rsidR="00BD4BC6" w:rsidRPr="003041CE">
        <w:rPr>
          <w:rFonts w:cstheme="minorHAnsi"/>
          <w:sz w:val="24"/>
          <w:lang w:val="en-US"/>
        </w:rPr>
        <w:t>that</w:t>
      </w:r>
      <w:r w:rsidR="00216065" w:rsidRPr="003041CE">
        <w:rPr>
          <w:rFonts w:cstheme="minorHAnsi"/>
          <w:sz w:val="24"/>
          <w:lang w:val="en-US"/>
        </w:rPr>
        <w:t xml:space="preserve"> risks and hazards</w:t>
      </w:r>
      <w:r w:rsidR="00BD4BC6" w:rsidRPr="003041CE">
        <w:rPr>
          <w:rFonts w:cstheme="minorHAnsi"/>
          <w:sz w:val="24"/>
          <w:lang w:val="en-US"/>
        </w:rPr>
        <w:t xml:space="preserve"> are shared</w:t>
      </w:r>
      <w:r w:rsidR="00216065" w:rsidRPr="003041CE">
        <w:rPr>
          <w:rFonts w:cstheme="minorHAnsi"/>
          <w:sz w:val="24"/>
          <w:lang w:val="en-US"/>
        </w:rPr>
        <w:t xml:space="preserve"> between companies and between workers. The responsibility for </w:t>
      </w:r>
      <w:r w:rsidR="00BD4BC6" w:rsidRPr="003041CE">
        <w:rPr>
          <w:rFonts w:cstheme="minorHAnsi"/>
          <w:sz w:val="24"/>
          <w:lang w:val="en-US"/>
        </w:rPr>
        <w:t>organizing these</w:t>
      </w:r>
      <w:r w:rsidR="00024551" w:rsidRPr="003041CE">
        <w:rPr>
          <w:rFonts w:cstheme="minorHAnsi"/>
          <w:sz w:val="24"/>
          <w:lang w:val="en-US"/>
        </w:rPr>
        <w:t xml:space="preserve"> meetings</w:t>
      </w:r>
      <w:r w:rsidR="00337982" w:rsidRPr="003041CE">
        <w:rPr>
          <w:rFonts w:cstheme="minorHAnsi"/>
          <w:sz w:val="24"/>
          <w:lang w:val="en-US"/>
        </w:rPr>
        <w:t xml:space="preserve"> should lie on the party that owns and oversees t</w:t>
      </w:r>
      <w:r w:rsidR="00493F2C" w:rsidRPr="003041CE">
        <w:rPr>
          <w:rFonts w:cstheme="minorHAnsi"/>
          <w:sz w:val="24"/>
          <w:lang w:val="en-US"/>
        </w:rPr>
        <w:t>he operation in question, i.e.</w:t>
      </w:r>
      <w:r w:rsidR="00337982" w:rsidRPr="003041CE">
        <w:rPr>
          <w:rFonts w:cstheme="minorHAnsi"/>
          <w:sz w:val="24"/>
          <w:lang w:val="en-US"/>
        </w:rPr>
        <w:t xml:space="preserve"> representative</w:t>
      </w:r>
      <w:r w:rsidR="00493F2C" w:rsidRPr="003041CE">
        <w:rPr>
          <w:rFonts w:cstheme="minorHAnsi"/>
          <w:sz w:val="24"/>
          <w:lang w:val="en-US"/>
        </w:rPr>
        <w:t>s</w:t>
      </w:r>
      <w:r w:rsidR="00337982" w:rsidRPr="003041CE">
        <w:rPr>
          <w:rFonts w:cstheme="minorHAnsi"/>
          <w:sz w:val="24"/>
          <w:lang w:val="en-US"/>
        </w:rPr>
        <w:t xml:space="preserve"> from the mining company itself.</w:t>
      </w:r>
    </w:p>
    <w:p w:rsidR="00337982" w:rsidRPr="0068457C" w:rsidRDefault="00BD4BC6" w:rsidP="0068457C">
      <w:pPr>
        <w:pStyle w:val="Liststycke"/>
        <w:numPr>
          <w:ilvl w:val="0"/>
          <w:numId w:val="7"/>
        </w:numPr>
        <w:spacing w:after="120" w:line="240" w:lineRule="auto"/>
        <w:jc w:val="both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  <w:lang w:val="en-US"/>
        </w:rPr>
        <w:t>It should be possible for contractors to report safety-related incidents</w:t>
      </w:r>
      <w:r w:rsidR="00493F2C" w:rsidRPr="003041CE">
        <w:rPr>
          <w:rFonts w:cstheme="minorHAnsi"/>
          <w:sz w:val="24"/>
          <w:lang w:val="en-US"/>
        </w:rPr>
        <w:t xml:space="preserve"> to the mining company’s</w:t>
      </w:r>
      <w:r w:rsidR="00337982" w:rsidRPr="003041CE">
        <w:rPr>
          <w:rFonts w:cstheme="minorHAnsi"/>
          <w:sz w:val="24"/>
          <w:lang w:val="en-US"/>
        </w:rPr>
        <w:t xml:space="preserve"> own </w:t>
      </w:r>
      <w:r w:rsidRPr="003041CE">
        <w:rPr>
          <w:rFonts w:cstheme="minorHAnsi"/>
          <w:sz w:val="24"/>
          <w:lang w:val="en-US"/>
        </w:rPr>
        <w:t>safety database</w:t>
      </w:r>
      <w:r w:rsidR="00337982" w:rsidRPr="003041CE">
        <w:rPr>
          <w:rFonts w:cstheme="minorHAnsi"/>
          <w:sz w:val="24"/>
          <w:lang w:val="en-US"/>
        </w:rPr>
        <w:t>. It should also be possible to hand in observed risks and hazard manually through, e.g., specific “mail boxes” placed in and around the operations.</w:t>
      </w:r>
    </w:p>
    <w:p w:rsidR="00B77F2B" w:rsidRPr="003041CE" w:rsidRDefault="00BD4BC6" w:rsidP="007F5938">
      <w:pPr>
        <w:pStyle w:val="Liststycke"/>
        <w:numPr>
          <w:ilvl w:val="0"/>
          <w:numId w:val="7"/>
        </w:numPr>
        <w:spacing w:after="120" w:line="240" w:lineRule="auto"/>
        <w:jc w:val="both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  <w:lang w:val="en-US"/>
        </w:rPr>
        <w:t>P</w:t>
      </w:r>
      <w:r w:rsidR="00337982" w:rsidRPr="003041CE">
        <w:rPr>
          <w:rFonts w:cstheme="minorHAnsi"/>
          <w:sz w:val="24"/>
          <w:lang w:val="en-US"/>
        </w:rPr>
        <w:t>ost-work evaluations</w:t>
      </w:r>
      <w:r w:rsidRPr="003041CE">
        <w:rPr>
          <w:rFonts w:cstheme="minorHAnsi"/>
          <w:sz w:val="24"/>
          <w:lang w:val="en-US"/>
        </w:rPr>
        <w:t xml:space="preserve"> should be performed</w:t>
      </w:r>
      <w:r w:rsidR="00337982" w:rsidRPr="003041CE">
        <w:rPr>
          <w:rFonts w:cstheme="minorHAnsi"/>
          <w:sz w:val="24"/>
          <w:lang w:val="en-US"/>
        </w:rPr>
        <w:t xml:space="preserve"> of how health and safety issues have been handled by the contractor</w:t>
      </w:r>
      <w:r w:rsidR="00B2369E" w:rsidRPr="003041CE">
        <w:rPr>
          <w:rFonts w:cstheme="minorHAnsi"/>
          <w:sz w:val="24"/>
          <w:lang w:val="en-US"/>
        </w:rPr>
        <w:t>s</w:t>
      </w:r>
      <w:r w:rsidR="00337982" w:rsidRPr="003041CE">
        <w:rPr>
          <w:rFonts w:cstheme="minorHAnsi"/>
          <w:sz w:val="24"/>
          <w:lang w:val="en-US"/>
        </w:rPr>
        <w:t xml:space="preserve"> as well as</w:t>
      </w:r>
      <w:r w:rsidR="00493F2C" w:rsidRPr="003041CE">
        <w:rPr>
          <w:rFonts w:cstheme="minorHAnsi"/>
          <w:sz w:val="24"/>
          <w:lang w:val="en-US"/>
        </w:rPr>
        <w:t xml:space="preserve"> by</w:t>
      </w:r>
      <w:r w:rsidR="00337982" w:rsidRPr="003041CE">
        <w:rPr>
          <w:rFonts w:cstheme="minorHAnsi"/>
          <w:sz w:val="24"/>
          <w:lang w:val="en-US"/>
        </w:rPr>
        <w:t xml:space="preserve"> the minin</w:t>
      </w:r>
      <w:r w:rsidR="00B77F2B" w:rsidRPr="003041CE">
        <w:rPr>
          <w:rFonts w:cstheme="minorHAnsi"/>
          <w:sz w:val="24"/>
          <w:lang w:val="en-US"/>
        </w:rPr>
        <w:t xml:space="preserve">g company itself, including </w:t>
      </w:r>
      <w:r w:rsidR="00A650A1" w:rsidRPr="003041CE">
        <w:rPr>
          <w:rFonts w:cstheme="minorHAnsi"/>
          <w:sz w:val="24"/>
          <w:lang w:val="en-US"/>
        </w:rPr>
        <w:t xml:space="preserve">the </w:t>
      </w:r>
      <w:r w:rsidR="00B77F2B" w:rsidRPr="003041CE">
        <w:rPr>
          <w:rFonts w:cstheme="minorHAnsi"/>
          <w:sz w:val="24"/>
          <w:lang w:val="en-US"/>
        </w:rPr>
        <w:t>commun</w:t>
      </w:r>
      <w:r w:rsidR="00A650A1" w:rsidRPr="003041CE">
        <w:rPr>
          <w:rFonts w:cstheme="minorHAnsi"/>
          <w:sz w:val="24"/>
          <w:lang w:val="en-US"/>
        </w:rPr>
        <w:t>ication and information sharing between the parties involved.</w:t>
      </w:r>
    </w:p>
    <w:p w:rsidR="00530B8B" w:rsidRPr="003041CE" w:rsidRDefault="00530B8B" w:rsidP="007F5938">
      <w:pPr>
        <w:spacing w:after="120" w:line="240" w:lineRule="auto"/>
        <w:rPr>
          <w:rFonts w:cstheme="minorHAnsi"/>
          <w:b/>
          <w:sz w:val="28"/>
          <w:lang w:val="en-US"/>
        </w:rPr>
      </w:pPr>
      <w:r w:rsidRPr="003041CE">
        <w:rPr>
          <w:rFonts w:cstheme="minorHAnsi"/>
          <w:b/>
          <w:sz w:val="28"/>
          <w:lang w:val="en-US"/>
        </w:rPr>
        <w:t>References</w:t>
      </w:r>
    </w:p>
    <w:p w:rsidR="00530B8B" w:rsidRPr="003041CE" w:rsidRDefault="00530B8B" w:rsidP="007F5938">
      <w:pPr>
        <w:spacing w:after="120" w:line="240" w:lineRule="auto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  <w:lang w:val="en-US"/>
        </w:rPr>
        <w:t>Mayhew, C</w:t>
      </w:r>
      <w:r w:rsidR="0023788C" w:rsidRPr="003041CE">
        <w:rPr>
          <w:rFonts w:cstheme="minorHAnsi"/>
          <w:sz w:val="24"/>
          <w:lang w:val="en-US"/>
        </w:rPr>
        <w:t>.</w:t>
      </w:r>
      <w:r w:rsidRPr="003041CE">
        <w:rPr>
          <w:rFonts w:cstheme="minorHAnsi"/>
          <w:sz w:val="24"/>
          <w:lang w:val="en-US"/>
        </w:rPr>
        <w:t>, Quinlan</w:t>
      </w:r>
      <w:r w:rsidR="0023788C" w:rsidRPr="003041CE">
        <w:rPr>
          <w:rFonts w:cstheme="minorHAnsi"/>
          <w:sz w:val="24"/>
          <w:lang w:val="en-US"/>
        </w:rPr>
        <w:t>, M., &amp;</w:t>
      </w:r>
      <w:r w:rsidRPr="003041CE">
        <w:rPr>
          <w:rFonts w:cstheme="minorHAnsi"/>
          <w:sz w:val="24"/>
          <w:lang w:val="en-US"/>
        </w:rPr>
        <w:t xml:space="preserve"> Ferris</w:t>
      </w:r>
      <w:r w:rsidR="0023788C" w:rsidRPr="003041CE">
        <w:rPr>
          <w:rFonts w:cstheme="minorHAnsi"/>
          <w:sz w:val="24"/>
          <w:lang w:val="en-US"/>
        </w:rPr>
        <w:t>, R</w:t>
      </w:r>
      <w:r w:rsidRPr="003041CE">
        <w:rPr>
          <w:rFonts w:cstheme="minorHAnsi"/>
          <w:sz w:val="24"/>
          <w:lang w:val="en-US"/>
        </w:rPr>
        <w:t xml:space="preserve">. (1997). </w:t>
      </w:r>
      <w:r w:rsidR="0023788C" w:rsidRPr="003041CE">
        <w:rPr>
          <w:rFonts w:cstheme="minorHAnsi"/>
          <w:sz w:val="24"/>
          <w:lang w:val="en-US"/>
        </w:rPr>
        <w:t>The e</w:t>
      </w:r>
      <w:r w:rsidRPr="003041CE">
        <w:rPr>
          <w:rFonts w:cstheme="minorHAnsi"/>
          <w:sz w:val="24"/>
          <w:lang w:val="en-US"/>
        </w:rPr>
        <w:t xml:space="preserve">ffects </w:t>
      </w:r>
      <w:r w:rsidR="0023788C" w:rsidRPr="003041CE">
        <w:rPr>
          <w:rFonts w:cstheme="minorHAnsi"/>
          <w:sz w:val="24"/>
          <w:lang w:val="en-US"/>
        </w:rPr>
        <w:t>of subcontracting/outsourcing on occupational health and safety: Survey e</w:t>
      </w:r>
      <w:r w:rsidRPr="003041CE">
        <w:rPr>
          <w:rFonts w:cstheme="minorHAnsi"/>
          <w:sz w:val="24"/>
          <w:lang w:val="en-US"/>
        </w:rPr>
        <w:t>vidence f</w:t>
      </w:r>
      <w:r w:rsidR="0023788C" w:rsidRPr="003041CE">
        <w:rPr>
          <w:rFonts w:cstheme="minorHAnsi"/>
          <w:sz w:val="24"/>
          <w:lang w:val="en-US"/>
        </w:rPr>
        <w:t>rom f</w:t>
      </w:r>
      <w:r w:rsidRPr="003041CE">
        <w:rPr>
          <w:rFonts w:cstheme="minorHAnsi"/>
          <w:sz w:val="24"/>
          <w:lang w:val="en-US"/>
        </w:rPr>
        <w:t>our Australian</w:t>
      </w:r>
      <w:r w:rsidR="0023788C" w:rsidRPr="003041CE">
        <w:rPr>
          <w:rFonts w:cstheme="minorHAnsi"/>
          <w:sz w:val="24"/>
          <w:lang w:val="en-US"/>
        </w:rPr>
        <w:t xml:space="preserve"> industries. Safety Science, 25</w:t>
      </w:r>
      <w:r w:rsidRPr="003041CE">
        <w:rPr>
          <w:rFonts w:cstheme="minorHAnsi"/>
          <w:sz w:val="24"/>
          <w:lang w:val="en-US"/>
        </w:rPr>
        <w:t>(1-3),</w:t>
      </w:r>
      <w:r w:rsidR="0023788C" w:rsidRPr="003041CE">
        <w:rPr>
          <w:rFonts w:cstheme="minorHAnsi"/>
          <w:sz w:val="24"/>
          <w:lang w:val="en-US"/>
        </w:rPr>
        <w:t xml:space="preserve"> 163–</w:t>
      </w:r>
      <w:r w:rsidRPr="003041CE">
        <w:rPr>
          <w:rFonts w:cstheme="minorHAnsi"/>
          <w:sz w:val="24"/>
          <w:lang w:val="en-US"/>
        </w:rPr>
        <w:t>178.</w:t>
      </w:r>
    </w:p>
    <w:p w:rsidR="00530B8B" w:rsidRPr="003041CE" w:rsidRDefault="00530B8B" w:rsidP="007F5938">
      <w:pPr>
        <w:spacing w:after="120" w:line="240" w:lineRule="auto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  <w:lang w:val="en-US"/>
        </w:rPr>
        <w:lastRenderedPageBreak/>
        <w:t xml:space="preserve">Muzaffar, S., Cummings, K., Hobbs, G., Allison, P., &amp; </w:t>
      </w:r>
      <w:proofErr w:type="spellStart"/>
      <w:r w:rsidRPr="003041CE">
        <w:rPr>
          <w:rFonts w:cstheme="minorHAnsi"/>
          <w:sz w:val="24"/>
          <w:lang w:val="en-US"/>
        </w:rPr>
        <w:t>Kreiss</w:t>
      </w:r>
      <w:proofErr w:type="spellEnd"/>
      <w:r w:rsidRPr="003041CE">
        <w:rPr>
          <w:rFonts w:cstheme="minorHAnsi"/>
          <w:sz w:val="24"/>
          <w:lang w:val="en-US"/>
        </w:rPr>
        <w:t xml:space="preserve">, K. (2013). </w:t>
      </w:r>
      <w:r w:rsidR="00FA01C4" w:rsidRPr="003041CE">
        <w:rPr>
          <w:rFonts w:cstheme="minorHAnsi"/>
          <w:sz w:val="24"/>
          <w:lang w:val="en-US"/>
        </w:rPr>
        <w:t>Factors associated with fatal mining i</w:t>
      </w:r>
      <w:r w:rsidRPr="003041CE">
        <w:rPr>
          <w:rFonts w:cstheme="minorHAnsi"/>
          <w:sz w:val="24"/>
          <w:lang w:val="en-US"/>
        </w:rPr>
        <w:t>njuries a</w:t>
      </w:r>
      <w:r w:rsidR="00FA01C4" w:rsidRPr="003041CE">
        <w:rPr>
          <w:rFonts w:cstheme="minorHAnsi"/>
          <w:sz w:val="24"/>
          <w:lang w:val="en-US"/>
        </w:rPr>
        <w:t>mong contractors and o</w:t>
      </w:r>
      <w:r w:rsidRPr="003041CE">
        <w:rPr>
          <w:rFonts w:cstheme="minorHAnsi"/>
          <w:sz w:val="24"/>
          <w:lang w:val="en-US"/>
        </w:rPr>
        <w:t>perators. Journal of Occupational and Envi</w:t>
      </w:r>
      <w:r w:rsidR="0023788C" w:rsidRPr="003041CE">
        <w:rPr>
          <w:rFonts w:cstheme="minorHAnsi"/>
          <w:sz w:val="24"/>
          <w:lang w:val="en-US"/>
        </w:rPr>
        <w:t>ronmental Medicine, 55</w:t>
      </w:r>
      <w:r w:rsidRPr="003041CE">
        <w:rPr>
          <w:rFonts w:cstheme="minorHAnsi"/>
          <w:sz w:val="24"/>
          <w:lang w:val="en-US"/>
        </w:rPr>
        <w:t xml:space="preserve">(11), </w:t>
      </w:r>
      <w:r w:rsidR="0023788C" w:rsidRPr="003041CE">
        <w:rPr>
          <w:rFonts w:cstheme="minorHAnsi"/>
          <w:sz w:val="24"/>
          <w:lang w:val="en-US"/>
        </w:rPr>
        <w:t>1337–</w:t>
      </w:r>
      <w:r w:rsidRPr="003041CE">
        <w:rPr>
          <w:rFonts w:cstheme="minorHAnsi"/>
          <w:sz w:val="24"/>
          <w:lang w:val="en-US"/>
        </w:rPr>
        <w:t>1344.</w:t>
      </w:r>
    </w:p>
    <w:p w:rsidR="00530B8B" w:rsidRPr="003041CE" w:rsidRDefault="00530B8B" w:rsidP="007F5938">
      <w:pPr>
        <w:spacing w:after="120" w:line="240" w:lineRule="auto"/>
        <w:rPr>
          <w:rFonts w:cstheme="minorHAnsi"/>
          <w:sz w:val="24"/>
          <w:lang w:val="en-US"/>
        </w:rPr>
      </w:pPr>
      <w:r w:rsidRPr="003041CE">
        <w:rPr>
          <w:rFonts w:cstheme="minorHAnsi"/>
          <w:sz w:val="24"/>
        </w:rPr>
        <w:t xml:space="preserve">Nygren, M., Jakobsson, M., Andersson, E., &amp; Johansson, B. (2017). </w:t>
      </w:r>
      <w:proofErr w:type="spellStart"/>
      <w:r w:rsidRPr="003041CE">
        <w:rPr>
          <w:rFonts w:cstheme="minorHAnsi"/>
          <w:sz w:val="24"/>
          <w:lang w:val="en-US"/>
        </w:rPr>
        <w:t>Safey</w:t>
      </w:r>
      <w:proofErr w:type="spellEnd"/>
      <w:r w:rsidRPr="003041CE">
        <w:rPr>
          <w:rFonts w:cstheme="minorHAnsi"/>
          <w:sz w:val="24"/>
          <w:lang w:val="en-US"/>
        </w:rPr>
        <w:t xml:space="preserve"> and multi-employer worksites in high-risk industries. Relations </w:t>
      </w:r>
      <w:proofErr w:type="spellStart"/>
      <w:r w:rsidRPr="003041CE">
        <w:rPr>
          <w:rFonts w:cstheme="minorHAnsi"/>
          <w:sz w:val="24"/>
          <w:lang w:val="en-US"/>
        </w:rPr>
        <w:t>industrielles</w:t>
      </w:r>
      <w:proofErr w:type="spellEnd"/>
      <w:r w:rsidRPr="003041CE">
        <w:rPr>
          <w:rFonts w:cstheme="minorHAnsi"/>
          <w:sz w:val="24"/>
          <w:lang w:val="en-US"/>
        </w:rPr>
        <w:t xml:space="preserve">/Industrial </w:t>
      </w:r>
      <w:r w:rsidR="0023788C" w:rsidRPr="003041CE">
        <w:rPr>
          <w:rFonts w:cstheme="minorHAnsi"/>
          <w:sz w:val="24"/>
          <w:lang w:val="en-US"/>
        </w:rPr>
        <w:t>relations, 72(</w:t>
      </w:r>
      <w:r w:rsidRPr="003041CE">
        <w:rPr>
          <w:rFonts w:cstheme="minorHAnsi"/>
          <w:sz w:val="24"/>
          <w:lang w:val="en-US"/>
        </w:rPr>
        <w:t>2</w:t>
      </w:r>
      <w:r w:rsidR="0023788C" w:rsidRPr="003041CE">
        <w:rPr>
          <w:rFonts w:cstheme="minorHAnsi"/>
          <w:sz w:val="24"/>
          <w:lang w:val="en-US"/>
        </w:rPr>
        <w:t>), 223–</w:t>
      </w:r>
      <w:r w:rsidRPr="003041CE">
        <w:rPr>
          <w:rFonts w:cstheme="minorHAnsi"/>
          <w:sz w:val="24"/>
          <w:lang w:val="en-US"/>
        </w:rPr>
        <w:t>245.</w:t>
      </w:r>
    </w:p>
    <w:p w:rsidR="00530B8B" w:rsidRPr="003041CE" w:rsidRDefault="00B77F2B" w:rsidP="007F5938">
      <w:pPr>
        <w:spacing w:after="120" w:line="240" w:lineRule="auto"/>
        <w:rPr>
          <w:rFonts w:cstheme="minorHAnsi"/>
          <w:sz w:val="24"/>
          <w:lang w:val="en-US"/>
        </w:rPr>
      </w:pPr>
      <w:proofErr w:type="spellStart"/>
      <w:r w:rsidRPr="003041CE">
        <w:rPr>
          <w:rFonts w:cstheme="minorHAnsi"/>
          <w:sz w:val="24"/>
          <w:lang w:val="en-US"/>
        </w:rPr>
        <w:t>SveMin</w:t>
      </w:r>
      <w:proofErr w:type="spellEnd"/>
      <w:r w:rsidRPr="003041CE">
        <w:rPr>
          <w:rFonts w:cstheme="minorHAnsi"/>
          <w:sz w:val="24"/>
          <w:lang w:val="en-US"/>
        </w:rPr>
        <w:t>. (</w:t>
      </w:r>
      <w:r w:rsidR="00530B8B" w:rsidRPr="003041CE">
        <w:rPr>
          <w:rFonts w:cstheme="minorHAnsi"/>
          <w:sz w:val="24"/>
          <w:lang w:val="en-US"/>
        </w:rPr>
        <w:t>2010</w:t>
      </w:r>
      <w:r w:rsidRPr="003041CE">
        <w:rPr>
          <w:rFonts w:cstheme="minorHAnsi"/>
          <w:sz w:val="24"/>
          <w:lang w:val="en-US"/>
        </w:rPr>
        <w:t>)</w:t>
      </w:r>
      <w:r w:rsidR="00530B8B" w:rsidRPr="003041CE">
        <w:rPr>
          <w:rFonts w:cstheme="minorHAnsi"/>
          <w:sz w:val="24"/>
          <w:lang w:val="en-US"/>
        </w:rPr>
        <w:t xml:space="preserve">. Occupational Injuries and Sick Leave in the Swedish Mining and Mineral Industry 2009. </w:t>
      </w:r>
      <w:proofErr w:type="spellStart"/>
      <w:r w:rsidR="00530B8B" w:rsidRPr="003041CE">
        <w:rPr>
          <w:rFonts w:cstheme="minorHAnsi"/>
          <w:sz w:val="24"/>
          <w:lang w:val="en-US"/>
        </w:rPr>
        <w:t>SveMin</w:t>
      </w:r>
      <w:proofErr w:type="spellEnd"/>
      <w:r w:rsidR="00530B8B" w:rsidRPr="003041CE">
        <w:rPr>
          <w:rFonts w:cstheme="minorHAnsi"/>
          <w:sz w:val="24"/>
          <w:lang w:val="en-US"/>
        </w:rPr>
        <w:t>, Stockholm.</w:t>
      </w:r>
    </w:p>
    <w:sectPr w:rsidR="00530B8B" w:rsidRPr="00304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549E9"/>
    <w:multiLevelType w:val="hybridMultilevel"/>
    <w:tmpl w:val="84AADA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31E2C"/>
    <w:multiLevelType w:val="hybridMultilevel"/>
    <w:tmpl w:val="6CAC8FF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40757"/>
    <w:multiLevelType w:val="hybridMultilevel"/>
    <w:tmpl w:val="0E5C2434"/>
    <w:lvl w:ilvl="0" w:tplc="93B63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01E34"/>
    <w:multiLevelType w:val="hybridMultilevel"/>
    <w:tmpl w:val="8BCA506A"/>
    <w:lvl w:ilvl="0" w:tplc="08CCD2E0">
      <w:start w:val="1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604FA"/>
    <w:multiLevelType w:val="hybridMultilevel"/>
    <w:tmpl w:val="C1C641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06DB9"/>
    <w:multiLevelType w:val="hybridMultilevel"/>
    <w:tmpl w:val="6EBA77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8466A"/>
    <w:multiLevelType w:val="hybridMultilevel"/>
    <w:tmpl w:val="30CA27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47"/>
    <w:rsid w:val="00024551"/>
    <w:rsid w:val="00082EE1"/>
    <w:rsid w:val="002156FB"/>
    <w:rsid w:val="00216065"/>
    <w:rsid w:val="002173E6"/>
    <w:rsid w:val="0023788C"/>
    <w:rsid w:val="00286F58"/>
    <w:rsid w:val="002D63BE"/>
    <w:rsid w:val="003041CE"/>
    <w:rsid w:val="0032017E"/>
    <w:rsid w:val="00337982"/>
    <w:rsid w:val="003630D7"/>
    <w:rsid w:val="00387739"/>
    <w:rsid w:val="00491ED4"/>
    <w:rsid w:val="00493F2C"/>
    <w:rsid w:val="004C30FB"/>
    <w:rsid w:val="00530B8B"/>
    <w:rsid w:val="00657E30"/>
    <w:rsid w:val="00674CA1"/>
    <w:rsid w:val="0068457C"/>
    <w:rsid w:val="00711EF4"/>
    <w:rsid w:val="0075135C"/>
    <w:rsid w:val="007F5938"/>
    <w:rsid w:val="00834101"/>
    <w:rsid w:val="00854B01"/>
    <w:rsid w:val="009309BD"/>
    <w:rsid w:val="00945F81"/>
    <w:rsid w:val="00952E7B"/>
    <w:rsid w:val="009F0567"/>
    <w:rsid w:val="00A26CF0"/>
    <w:rsid w:val="00A650A1"/>
    <w:rsid w:val="00A93204"/>
    <w:rsid w:val="00B04470"/>
    <w:rsid w:val="00B2369E"/>
    <w:rsid w:val="00B6710A"/>
    <w:rsid w:val="00B77F2B"/>
    <w:rsid w:val="00B826C1"/>
    <w:rsid w:val="00BD4BC6"/>
    <w:rsid w:val="00C37047"/>
    <w:rsid w:val="00C63764"/>
    <w:rsid w:val="00D010C0"/>
    <w:rsid w:val="00E0035A"/>
    <w:rsid w:val="00E47853"/>
    <w:rsid w:val="00FA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D39C"/>
  <w15:chartTrackingRefBased/>
  <w15:docId w15:val="{00C8C13F-B9B7-4803-84E7-2167592F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57E30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20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20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926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Luleå tekniska universitet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Nygren</dc:creator>
  <cp:keywords/>
  <dc:description/>
  <cp:lastModifiedBy>Jan Johansson</cp:lastModifiedBy>
  <cp:revision>11</cp:revision>
  <cp:lastPrinted>2020-02-26T09:41:00Z</cp:lastPrinted>
  <dcterms:created xsi:type="dcterms:W3CDTF">2020-03-03T09:15:00Z</dcterms:created>
  <dcterms:modified xsi:type="dcterms:W3CDTF">2020-03-11T08:04:00Z</dcterms:modified>
</cp:coreProperties>
</file>