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6"/>
        </w:rPr>
        <w:t>ARQUITETURA DO PROJETO</w:t>
      </w:r>
    </w:p>
    <w:p>
      <w:pPr>
        <w:jc w:val="center"/>
      </w:pPr>
      <w:r>
        <w:rPr>
          <w:color w:val="287271"/>
          <w:sz w:val="36"/>
        </w:rPr>
        <w:t>SaaS de Gestão Imobiliária</w:t>
      </w:r>
    </w:p>
    <w:p>
      <w:pPr>
        <w:spacing w:before="280"/>
        <w:jc w:val="center"/>
      </w:pPr>
      <w:r>
        <w:rPr>
          <w:i/>
        </w:rPr>
        <w:t>Documento técnico de referência para implementação incremental</w:t>
      </w:r>
    </w:p>
    <w:p>
      <w:pPr>
        <w:spacing w:before="2400"/>
        <w:jc w:val="center"/>
      </w:pPr>
      <w:r>
        <w:t>Versão 1.0  |  Outubro de 2026</w:t>
      </w:r>
    </w:p>
    <w:p>
      <w:r>
        <w:br w:type="page"/>
      </w:r>
    </w:p>
    <w:p>
      <w:pPr>
        <w:pStyle w:val="Heading1"/>
      </w:pPr>
      <w:r>
        <w:t>1. Objetivo e decisões arquiteturais</w:t>
      </w:r>
    </w:p>
    <w:p>
      <w:r>
        <w:t>Este documento define uma arquitetura inicial para um SaaS de gestão imobiliária multiempresa, com aplicação web primeiro e possibilidade de aplicativos móveis posteriormente. A arquitetura é uma base de implementação: decisões sobre autenticação, pagamentos, hospedagem e requisitos jurídicos devem ser validadas antes da entrada em produção.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Diretriz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Estilo arquitetural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Monólito modular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Reduz complexidade operacional e permite separar módulos por domínio sem distribuir o sistema cedo demais.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Java LTS + Spring Boot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Ecossistema maduro para APIs, segurança, persistência e testes.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web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+ TypeScript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Interface modular e tipagem estática.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Banco relacional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Transações, integridade relacional e recursos robustos de consulta.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Migrações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Flyway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 versionado e reproduzível do esquema do banco.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Armazenamento de objetos compatível com S3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Imagens e documentos não devem ser armazenados como blobs no banco por padrão.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 versionada em /api/v1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 compartilhado entre web e futuros aplicativos móveis.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Identificadores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recomendado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Dificulta enumeração simples de registros e facilita integrações, sem substituir autorização.</w:t>
            </w:r>
          </w:p>
        </w:tc>
      </w:tr>
    </w:tbl>
    <w:p>
      <w:pPr>
        <w:spacing w:after="20"/>
      </w:pPr>
    </w:p>
    <w:p>
      <w:pPr>
        <w:pStyle w:val="Heading1"/>
      </w:pPr>
      <w:r>
        <w:t>2. Visão geral da solução</w:t>
      </w:r>
    </w:p>
    <w:p>
      <w:pPr>
        <w:ind w:left="288"/>
      </w:pPr>
      <w:r>
        <w:rPr>
          <w:rFonts w:ascii="Consolas" w:hAnsi="Consolas"/>
          <w:color w:val="234150"/>
          <w:sz w:val="18"/>
        </w:rPr>
        <w:t>NAVEGADOR / APLICATIVO MÓVEL FUTURO</w:t>
        <w:br/>
        <w:t xml:space="preserve">                 |</w:t>
        <w:br/>
        <w:t xml:space="preserve">              HTTPS</w:t>
        <w:br/>
        <w:t xml:space="preserve">                 |</w:t>
        <w:br/>
        <w:t xml:space="preserve">        FRONTEND WEB (React)</w:t>
        <w:br/>
        <w:t xml:space="preserve">                 |</w:t>
        <w:br/>
        <w:t xml:space="preserve">          REST /api/v1</w:t>
        <w:br/>
        <w:t xml:space="preserve">                 |</w:t>
        <w:br/>
        <w:t xml:space="preserve">     BACKEND (Spring Boot)</w:t>
        <w:br/>
        <w:t xml:space="preserve">     ├── Autenticação e autorização</w:t>
        <w:br/>
        <w:t xml:space="preserve">     ├── Contexto da empresa/tenant</w:t>
        <w:br/>
        <w:t xml:space="preserve">     ├── Validação de entrada</w:t>
        <w:br/>
        <w:t xml:space="preserve">     ├── Módulos de negócio</w:t>
        <w:br/>
        <w:t xml:space="preserve">     ├── Auditoria e notificações</w:t>
        <w:br/>
        <w:t xml:space="preserve">     └── Integrações externas</w:t>
        <w:br/>
        <w:t xml:space="preserve">           |              |</w:t>
        <w:br/>
        <w:t xml:space="preserve">      PostgreSQL     Object Storage</w:t>
        <w:br/>
        <w:t xml:space="preserve">           |</w:t>
        <w:br/>
        <w:t xml:space="preserve">    Backups + monitoramento + alertas</w:t>
        <w:br/>
        <w:br/>
        <w:t>Serviços externos possíveis:</w:t>
        <w:br/>
        <w:t>- Provedor de identidade (OIDC)</w:t>
        <w:br/>
        <w:t>- Provedor de pagamentos</w:t>
        <w:br/>
        <w:t>- Serviço de e-mail</w:t>
        <w:br/>
        <w:t>- Monitoramento e rastreamento de erros</w:t>
        <w:br/>
      </w:r>
    </w:p>
    <w:p>
      <w:pPr>
        <w:pStyle w:val="Heading1"/>
      </w:pPr>
      <w:r>
        <w:t>3. Estrutura do repositório</w:t>
      </w:r>
    </w:p>
    <w:p>
      <w:r>
        <w:t>Estrutura sugerida para um monorepositório. O nome dos pacotes e o domínio devem ser substituídos pelo nome definitivo do produto.</w:t>
      </w:r>
    </w:p>
    <w:p>
      <w:pPr>
        <w:ind w:left="144"/>
      </w:pPr>
      <w:r>
        <w:rPr>
          <w:rFonts w:ascii="Consolas" w:hAnsi="Consolas"/>
          <w:sz w:val="15"/>
        </w:rPr>
        <w:t>saas-imobiliario/</w:t>
        <w:br/>
        <w:t>├── backend/</w:t>
        <w:br/>
        <w:t>│   ├── pom.xml</w:t>
        <w:br/>
        <w:t>│   ├── Dockerfile</w:t>
        <w:br/>
        <w:t>│   ├── compose.yaml</w:t>
        <w:br/>
        <w:t>│   ├── .env.example</w:t>
        <w:br/>
        <w:t>│   └── src/</w:t>
        <w:br/>
        <w:t>│       ├── main/</w:t>
        <w:br/>
        <w:t>│       │   ├── java/br/com/seuprojeto/imobiliario/</w:t>
        <w:br/>
        <w:t>│       │   │   ├── SaaSImobiliarioApplication.java</w:t>
        <w:br/>
        <w:t>│       │   │   ├── config/</w:t>
        <w:br/>
        <w:t>│       │   │   ├── security/</w:t>
        <w:br/>
        <w:t>│       │   │   ├── tenancy/</w:t>
        <w:br/>
        <w:t>│       │   │   ├── shared/</w:t>
        <w:br/>
        <w:t>│       │   │   ├── identity/</w:t>
        <w:br/>
        <w:t>│       │   │   ├── companies/</w:t>
        <w:br/>
        <w:t>│       │   │   ├── properties/</w:t>
        <w:br/>
        <w:t>│       │   │   ├── contacts/</w:t>
        <w:br/>
        <w:t>│       │   │   ├── crm/</w:t>
        <w:br/>
        <w:t>│       │   │   ├── listings/</w:t>
        <w:br/>
        <w:t>│       │   │   ├── subscriptions/</w:t>
        <w:br/>
        <w:t>│       │   │   ├── notifications/</w:t>
        <w:br/>
        <w:t>│       │   │   ├── audit/</w:t>
        <w:br/>
        <w:t>│       │   │   └── platformadmin/</w:t>
        <w:br/>
        <w:t>│       │   └── resources/</w:t>
        <w:br/>
        <w:t>│       │       ├── application.yml</w:t>
        <w:br/>
        <w:t>│       │       ├── application-local.yml</w:t>
        <w:br/>
        <w:t>│       │       └── db/migration/</w:t>
        <w:br/>
        <w:t>│       └── test/java/br/com/seuprojeto/imobiliario/</w:t>
        <w:br/>
        <w:t>├── frontend/</w:t>
        <w:br/>
        <w:t>│   ├── package.json</w:t>
        <w:br/>
        <w:t>│   ├── public/</w:t>
        <w:br/>
        <w:t>│   └── src/</w:t>
        <w:br/>
        <w:t>│       ├── app/</w:t>
        <w:br/>
        <w:t>│       ├── components/</w:t>
        <w:br/>
        <w:t>│       ├── layouts/</w:t>
        <w:br/>
        <w:t>│       ├── pages/</w:t>
        <w:br/>
        <w:t>│       ├── features/</w:t>
        <w:br/>
        <w:t>│       │   ├── auth/</w:t>
        <w:br/>
        <w:t>│       │   ├── properties/</w:t>
        <w:br/>
        <w:t>│       │   ├── contacts/</w:t>
        <w:br/>
        <w:t>│       │   ├── crm/</w:t>
        <w:br/>
        <w:t>│       │   ├── team/</w:t>
        <w:br/>
        <w:t>│       │   └── subscriptions/</w:t>
        <w:br/>
        <w:t>│       ├── services/</w:t>
        <w:br/>
        <w:t>│       ├── hooks/</w:t>
        <w:br/>
        <w:t>│       ├── routes/</w:t>
        <w:br/>
        <w:t>│       └── types/</w:t>
        <w:br/>
        <w:t>├── docs/</w:t>
        <w:br/>
        <w:t>│   ├── architecture/</w:t>
        <w:br/>
        <w:t>│   ├── api/</w:t>
        <w:br/>
        <w:t>│   ├── security/</w:t>
        <w:br/>
        <w:t>│   └── privacy/</w:t>
        <w:br/>
        <w:t>├── infra/</w:t>
        <w:br/>
        <w:t>│   ├── docker/</w:t>
        <w:br/>
        <w:t>│   └── deployment/</w:t>
        <w:br/>
        <w:t>└── README.md</w:t>
      </w:r>
    </w:p>
    <w:p>
      <w:pPr>
        <w:pStyle w:val="Heading1"/>
      </w:pPr>
      <w:r>
        <w:t>4. Organização interna dos módulos</w:t>
      </w:r>
    </w:p>
    <w:p>
      <w:r>
        <w:t>Cada módulo deve manter seus endpoints, regras de aplicação, domínio e persistência próximos, evitando dependências desnecessárias entre módulos.</w:t>
      </w:r>
    </w:p>
    <w:p>
      <w:r>
        <w:rPr>
          <w:rFonts w:ascii="Consolas" w:hAnsi="Consolas"/>
          <w:sz w:val="17"/>
        </w:rPr>
        <w:t>properties/</w:t>
        <w:br/>
        <w:t>├── api/</w:t>
        <w:br/>
        <w:t>│   ├── PropertyController.java</w:t>
        <w:br/>
        <w:t>│   ├── PropertyRequest.java</w:t>
        <w:br/>
        <w:t>│   └── PropertyResponse.java</w:t>
        <w:br/>
        <w:t>├── application/</w:t>
        <w:br/>
        <w:t>│   ├── CreatePropertyService.java</w:t>
        <w:br/>
        <w:t>│   ├── UpdatePropertyService.java</w:t>
        <w:br/>
        <w:t>│   └── SearchPropertiesService.java</w:t>
        <w:br/>
        <w:t>├── domain/</w:t>
        <w:br/>
        <w:t>│   ├── Property.java</w:t>
        <w:br/>
        <w:t>│   ├── PropertyStatus.java</w:t>
        <w:br/>
        <w:t>│   └── PropertyRepository.java</w:t>
        <w:br/>
        <w:t>└── infrastructure/</w:t>
        <w:br/>
        <w:t xml:space="preserve">    └── persistence/</w:t>
        <w:br/>
        <w:t xml:space="preserve">        ├── JpaPropertyRepository.java</w:t>
        <w:br/>
        <w:t xml:space="preserve">        └── SpringDataPropertyRepository.java</w:t>
      </w:r>
    </w:p>
    <w:p>
      <w:pPr>
        <w:pStyle w:val="ListBullet"/>
        <w:spacing w:after="40"/>
      </w:pPr>
      <w:r>
        <w:t>api: contratos HTTP, DTOs e validação de entrada; não deve conter regras de negócio complexas.</w:t>
      </w:r>
    </w:p>
    <w:p>
      <w:pPr>
        <w:pStyle w:val="ListBullet"/>
        <w:spacing w:after="40"/>
      </w:pPr>
      <w:r>
        <w:t>application: coordena casos de uso e transações.</w:t>
      </w:r>
    </w:p>
    <w:p>
      <w:pPr>
        <w:pStyle w:val="ListBullet"/>
        <w:spacing w:after="40"/>
      </w:pPr>
      <w:r>
        <w:t>domain: entidades, objetos de valor, estados e regras essenciais.</w:t>
      </w:r>
    </w:p>
    <w:p>
      <w:pPr>
        <w:pStyle w:val="ListBullet"/>
        <w:spacing w:after="40"/>
      </w:pPr>
      <w:r>
        <w:t>infrastructure: implementação de banco, integrações e detalhes técnicos.</w:t>
      </w:r>
    </w:p>
    <w:p>
      <w:pPr>
        <w:pStyle w:val="ListBullet"/>
        <w:spacing w:after="40"/>
      </w:pPr>
      <w:r>
        <w:t>shared: apenas componentes realmente transversais; evitar transformá-lo em depósito genérico.</w:t>
      </w:r>
    </w:p>
    <w:p>
      <w:pPr>
        <w:pStyle w:val="Heading1"/>
      </w:pPr>
      <w:r>
        <w:t>5. Módulos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 principal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Identidade e conta do usuário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Usuários, login federado, perfil, recuperação de acesso.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companies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Organizações clientes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Imobiliárias, dados da empresa, membros e convites.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tenancy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Contexto e isolamento multi-tenant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Resolver empresa ativa e impor escopo de acesso.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properties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 de imóveis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Endereço, características, status, preço, proprietário.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de pessoas e empresas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Proprietários, interessados, fornecedores e contatos.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Relacionamento e operação comercial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Leads, atividades, visitas, notas e acompanhamento.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listings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Publicação de imóveis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Campos públicos, status de publicação e consultas públicas.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subscriptions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Planos e cobrança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Planos, assinaturas, limites, transações e webhooks.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Comunicação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E-mail, avisos internos e fila de envio.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Trilha de auditoria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Eventos relevantes de acesso e alteração.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platformadmin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Administração do SaaS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Suporte operacional, empresas, planos e métricas restritas.</w:t>
            </w:r>
          </w:p>
        </w:tc>
      </w:tr>
    </w:tbl>
    <w:p>
      <w:pPr>
        <w:spacing w:after="20"/>
      </w:pPr>
    </w:p>
    <w:p>
      <w:pPr>
        <w:pStyle w:val="Heading1"/>
      </w:pPr>
      <w:r>
        <w:t>6. Multi-tenancy: isolamento obrigatório</w:t>
      </w:r>
    </w:p>
    <w:p>
      <w:r>
        <w:t>O produto atenderá várias imobiliárias. Cada organização é um tenant. O isolamento de dados deve ser implementado desde o primeiro CRUD, não como melhoria posterior.</w:t>
      </w:r>
    </w:p>
    <w:p>
      <w:pPr>
        <w:pStyle w:val="ListBullet"/>
        <w:spacing w:after="40"/>
      </w:pPr>
      <w:r>
        <w:t>Tabelas de negócio pertencentes a uma empresa devem incluir tenant_id/company_id e índices adequados.</w:t>
      </w:r>
    </w:p>
    <w:p>
      <w:pPr>
        <w:pStyle w:val="ListBullet"/>
        <w:spacing w:after="40"/>
      </w:pPr>
      <w:r>
        <w:t>O backend deve determinar a empresa ativa a partir de uma associação autorizada do usuário; nunca confiar cegamente em tenant_id enviado pelo frontend.</w:t>
      </w:r>
    </w:p>
    <w:p>
      <w:pPr>
        <w:pStyle w:val="ListBullet"/>
        <w:spacing w:after="40"/>
      </w:pPr>
      <w:r>
        <w:t>Toda leitura, atualização e exclusão deve aplicar escopo do tenant e autorização por recurso.</w:t>
      </w:r>
    </w:p>
    <w:p>
      <w:pPr>
        <w:pStyle w:val="ListBullet"/>
        <w:spacing w:after="40"/>
      </w:pPr>
      <w:r>
        <w:t>Criar testes negativos: usuário da empresa A não pode consultar, alterar, excluir nem inferir registros da empresa B.</w:t>
      </w:r>
    </w:p>
    <w:p>
      <w:pPr>
        <w:pStyle w:val="ListBullet"/>
        <w:spacing w:after="40"/>
      </w:pPr>
      <w:r>
        <w:t>Avaliar Row-Level Security do PostgreSQL como camada adicional, após desenho e testes cuidadosos; não substitui autorização da aplicação.</w:t>
      </w:r>
    </w:p>
    <w:p>
      <w:pPr>
        <w:pStyle w:val="ListBullet"/>
        <w:spacing w:after="40"/>
      </w:pPr>
      <w:r>
        <w:t>Dados globais, como catálogo de planos, podem não ter tenant_id. Dados operacionais e de clientes normalmente devem ter.</w:t>
      </w:r>
    </w:p>
    <w:p>
      <w:pPr>
        <w:pStyle w:val="Heading1"/>
      </w:pPr>
      <w:r>
        <w:t>7. Modelo de dados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78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Campos/observações importantes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companies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document_number quando aplicável, status, created_at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email normalizado, nome, status, timestamps; evitar armazenar senha se usar provedor de identidade externo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company_memberships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company_id, user_id, role_id, status; associação explícita entre usuário e empresa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roles / permissions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Papéis e permissões; definir regras claras para corretor, gerente, administrador e suporte da plataforma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properties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código interno, tipo, finalidade, endereço, preço, status, created_at, updated_at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property_images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property_id, object_key, ordem, tipo, tamanho e metadados validados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property_owners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vínculo entre imóvel e contato proprietário; considerar cardinalidade e histórico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dados mínimos necessários, origem e preferências de contato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tenant_id, contact_id, property_id opcional, estágio e responsável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activities / visits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tenant_id, vínculo com lead/contato/imóvel, responsável, data e resultado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plans / subscriptions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catálogo global de planos; assinatura ligada à empresa e estado de cobrança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payment_transactions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referência do provedor, valor decimal, moeda, estado e timestamps; não armazenar dados de cartão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subscription_events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eventos idempotentes recebidos do provedor e resultado de processamento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audit_events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ator, tenant_id, ação, tipo/id do recurso, data, correlação; não registrar segredos ou conteúdo excessivo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notification_outbox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mensagens pendentes e estado de envio para processamento confiável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data_subject_requests</w:t>
            </w:r>
          </w:p>
        </w:tc>
        <w:tc>
          <w:tcPr>
            <w:tcW w:type="dxa" w:w="78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solicitações LGPD, status, responsável e prazos; restringir acesso</w:t>
            </w:r>
          </w:p>
        </w:tc>
      </w:tr>
    </w:tbl>
    <w:p>
      <w:pPr>
        <w:spacing w:after="20"/>
      </w:pPr>
    </w:p>
    <w:p>
      <w:r>
        <w:t>Regras de modelagem: usar DECIMAL/NUMERIC para dinheiro; timestamps em UTC; definir política para exclusão lógica versus física; adicionar chaves estrangeiras, restrições e índices; documentar campos pessoais e sua finalidade.</w:t>
      </w:r>
    </w:p>
    <w:p>
      <w:pPr>
        <w:pStyle w:val="Heading1"/>
      </w:pPr>
      <w:r>
        <w:t>8. API REST</w:t>
      </w:r>
    </w:p>
    <w:p>
      <w:r>
        <w:t>Prefixo padrão: /api/v1. Usar DTOs de entrada/saída, paginação, filtros permitidos, validação e erros consistentes. Não expor entidades JPA diretamente.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 e rota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/api/v1/me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Perfil e contexto autorizado do usuário atual.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/api/v1/companies/current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 da empresa ativa para a qual o usuário tem acesso.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/api/v1/members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Listar membros da empresa ativa, com permissão adequada.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/api/v1/properties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Listar imóveis do tenant atual, com paginação e filtros.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/api/v1/properties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Cadastrar imóvel após validar campos e permissão.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/api/v1/properties/{id}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imóvel apenas se o usuário puder acessá-lo.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/api/v1/properties/{id}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Atualizar campos permitidos, com validação e auditoria.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/api/v1/contacts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Listar contatos no escopo da empresa.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/api/v1/leads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 lead e validar vínculos com contatos/imóveis.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/api/v1/activities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Registrar atividade comercial.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/api/v1/subscription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plano e situação da assinatura da empresa.</w:t>
            </w:r>
          </w:p>
        </w:tc>
      </w:tr>
      <w:tr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/api/v1/platform/**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Rotas exclusivas da equipe operadora do SaaS, com autorização separada.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/api/v1/public/listings/**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somente campos explicitamente aprovados para publicação pública.</w:t>
            </w:r>
          </w:p>
        </w:tc>
      </w:tr>
    </w:tbl>
    <w:p>
      <w:pPr>
        <w:spacing w:after="20"/>
      </w:pPr>
    </w:p>
    <w:p>
      <w:pPr>
        <w:pStyle w:val="Heading1"/>
      </w:pPr>
      <w:r>
        <w:t>9. Segurança e privacidade desde o desenho</w:t>
      </w:r>
    </w:p>
    <w:p>
      <w:pPr>
        <w:pStyle w:val="Heading2"/>
      </w:pPr>
      <w:r>
        <w:t>Autenticação e autorização</w:t>
      </w:r>
    </w:p>
    <w:p>
      <w:pPr>
        <w:pStyle w:val="ListBullet"/>
        <w:spacing w:after="40"/>
      </w:pPr>
      <w:r>
        <w:t>Preferir um provedor de identidade compatível com OIDC ou uma implementação consolidada; evitar criar protocolo próprio.</w:t>
      </w:r>
    </w:p>
    <w:p>
      <w:pPr>
        <w:pStyle w:val="ListBullet"/>
        <w:spacing w:after="40"/>
      </w:pPr>
      <w:r>
        <w:t>Definir a estratégia de sessão antes de programar: cookies seguros HttpOnly/SameSite em cenário adequado ou tokens com ciclo de vida e armazenamento seguros.</w:t>
      </w:r>
    </w:p>
    <w:p>
      <w:pPr>
        <w:pStyle w:val="ListBullet"/>
        <w:spacing w:after="40"/>
      </w:pPr>
      <w:r>
        <w:t>Aplicar autorização em cada endpoint e recurso, não apenas ocultar botões no frontend.</w:t>
      </w:r>
    </w:p>
    <w:p>
      <w:pPr>
        <w:pStyle w:val="ListBullet"/>
        <w:spacing w:after="40"/>
      </w:pPr>
      <w:r>
        <w:t>Proteger operações administrativas e considerar MFA para equipe interna e contas privilegiadas.</w:t>
      </w:r>
    </w:p>
    <w:p>
      <w:pPr>
        <w:pStyle w:val="Heading2"/>
      </w:pPr>
      <w:r>
        <w:t>Dados e arquivos</w:t>
      </w:r>
    </w:p>
    <w:p>
      <w:pPr>
        <w:pStyle w:val="ListBullet"/>
        <w:spacing w:after="40"/>
      </w:pPr>
      <w:r>
        <w:t>TLS em trânsito; criptografia em repouso conforme recursos do provedor; segredos fora do repositório.</w:t>
      </w:r>
    </w:p>
    <w:p>
      <w:pPr>
        <w:pStyle w:val="ListBullet"/>
        <w:spacing w:after="40"/>
      </w:pPr>
      <w:r>
        <w:t>Upload com lista de tipos permitidos, limite de tamanho, validação real do conteúdo, nomes internos aleatórios e armazenamento privado por padrão.</w:t>
      </w:r>
    </w:p>
    <w:p>
      <w:pPr>
        <w:pStyle w:val="ListBullet"/>
        <w:spacing w:after="40"/>
      </w:pPr>
      <w:r>
        <w:t>URLs assinadas e temporárias para acesso a arquivos privados; verificar tenant e permissão antes de emiti-las.</w:t>
      </w:r>
    </w:p>
    <w:p>
      <w:pPr>
        <w:pStyle w:val="ListBullet"/>
        <w:spacing w:after="40"/>
      </w:pPr>
      <w:r>
        <w:t>Minimização de dados pessoais, política de retenção, exclusão e atendimento a solicitações de titulares.</w:t>
      </w:r>
    </w:p>
    <w:p>
      <w:pPr>
        <w:pStyle w:val="Heading2"/>
      </w:pPr>
      <w:r>
        <w:t>Resiliência e operação</w:t>
      </w:r>
    </w:p>
    <w:p>
      <w:pPr>
        <w:pStyle w:val="ListBullet"/>
        <w:spacing w:after="40"/>
      </w:pPr>
      <w:r>
        <w:t>Rate limiting, proteção contra abuso, limites de paginação e timeouts para integrações.</w:t>
      </w:r>
    </w:p>
    <w:p>
      <w:pPr>
        <w:pStyle w:val="ListBullet"/>
        <w:spacing w:after="40"/>
      </w:pPr>
      <w:r>
        <w:t>Logs estruturados, IDs de correlação e auditoria sem tokens, senhas, dados de cartão ou conteúdo pessoal desnecessário.</w:t>
      </w:r>
    </w:p>
    <w:p>
      <w:pPr>
        <w:pStyle w:val="ListBullet"/>
        <w:spacing w:after="40"/>
      </w:pPr>
      <w:r>
        <w:t>Backups automatizados e testes documentados de restauração; monitoramento de erros e alertas.</w:t>
      </w:r>
    </w:p>
    <w:p>
      <w:pPr>
        <w:pStyle w:val="ListBullet"/>
        <w:spacing w:after="40"/>
      </w:pPr>
      <w:r>
        <w:t>Verificação de dependências vulneráveis, revisão de código, testes automatizados e gestão de incidentes.</w:t>
      </w:r>
    </w:p>
    <w:p>
      <w:pPr>
        <w:pStyle w:val="ListBullet"/>
        <w:spacing w:after="40"/>
      </w:pPr>
      <w:r>
        <w:t>Webhooks de pagamento devem validar assinatura, tratar reenvios de forma idempotente e não confiar na ordem de chegada.</w:t>
      </w:r>
    </w:p>
    <w:p>
      <w:pPr>
        <w:pStyle w:val="Heading1"/>
      </w:pPr>
      <w:r>
        <w:t>10. LGPD e governança</w:t>
      </w:r>
    </w:p>
    <w:p>
      <w:r>
        <w:t>O desenho técnico ajuda a cumprir obrigações, mas não constitui parecer jurídico. Antes do lançamento, validar com assessoria jurídica e contábil os papéis das partes, contratos, bases legais e prazos aplicáveis.</w:t>
      </w:r>
    </w:p>
    <w:p>
      <w:pPr>
        <w:pStyle w:val="ListBullet"/>
        <w:spacing w:after="40"/>
      </w:pPr>
      <w:r>
        <w:t>Mapear dados pessoais, finalidade, base legal, origem, compartilhamentos, retenção e responsáveis.</w:t>
      </w:r>
    </w:p>
    <w:p>
      <w:pPr>
        <w:pStyle w:val="ListBullet"/>
        <w:spacing w:after="40"/>
      </w:pPr>
      <w:r>
        <w:t>Definir, contratualmente e por operação, quando o SaaS atua como operador e quando pode atuar como controlador.</w:t>
      </w:r>
    </w:p>
    <w:p>
      <w:pPr>
        <w:pStyle w:val="ListBullet"/>
        <w:spacing w:after="40"/>
      </w:pPr>
      <w:r>
        <w:t>Publicar aviso de privacidade e termos; documentar canais para direitos dos titulares e processo de atendimento.</w:t>
      </w:r>
    </w:p>
    <w:p>
      <w:pPr>
        <w:pStyle w:val="ListBullet"/>
        <w:spacing w:after="40"/>
      </w:pPr>
      <w:r>
        <w:t>Preparar procedimento de incidente, avaliação de impacto, registro de decisões e comunicações legalmente exigidas.</w:t>
      </w:r>
    </w:p>
    <w:p>
      <w:pPr>
        <w:pStyle w:val="ListBullet"/>
        <w:spacing w:after="40"/>
      </w:pPr>
      <w:r>
        <w:t>Definir política de retenção e descarte seguro para dados de conta, leads, documentos, logs e backups.</w:t>
      </w:r>
    </w:p>
    <w:p>
      <w:pPr>
        <w:pStyle w:val="ListBullet"/>
        <w:spacing w:after="40"/>
      </w:pPr>
      <w:r>
        <w:t>Controlar acesso interno por necessidade, com trilha de auditoria e processo de desligamento/revogação de acessos.</w:t>
      </w:r>
    </w:p>
    <w:p>
      <w:pPr>
        <w:pStyle w:val="Heading1"/>
      </w:pPr>
      <w:r>
        <w:t>11. Testes e critérios de qualidade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de teste</w:t>
            </w:r>
          </w:p>
        </w:tc>
        <w:tc>
          <w:tcPr>
            <w:tcW w:type="dxa" w:w="806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precisa cobrir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Unitário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Regras de domínio, validações e cálculos; JUnit e Mockito quando apropriado.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Integração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Repositórios, transações, migrações e banco real de teste com Testcontainers.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Códigos HTTP, validação, paginação, erros e contratos OpenAPI.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Papéis, permissões por recurso e separação entre tenants, incluindo cenários negativos.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Upload, rate limits, gestão de sessão, dependências, configuração e endpoints administrativos.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Operacional</w:t>
            </w:r>
          </w:p>
        </w:tc>
        <w:tc>
          <w:tcPr>
            <w:tcW w:type="dxa" w:w="80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Backup/restauração, migração de versão, observabilidade e recuperação de falha.</w:t>
            </w:r>
          </w:p>
        </w:tc>
      </w:tr>
    </w:tbl>
    <w:p>
      <w:pPr>
        <w:spacing w:after="20"/>
      </w:pPr>
    </w:p>
    <w:p>
      <w:r>
        <w:t>Critério mínimo para cada funcionalidade: caminho feliz testado, falhas de validação tratadas, autorização conferida, tenant verificado, documentação atualizada e migração revisada quando houver alteração de esquema.</w:t>
      </w:r>
    </w:p>
    <w:p>
      <w:pPr>
        <w:pStyle w:val="Heading1"/>
      </w:pPr>
      <w:r>
        <w:t>12. Ambientes e entrega contínua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60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Desenvolvimento individual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Docker Compose para dependências; dados fictícios; .env local ignorado pelo Git.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staging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Validação antes de produção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Configuração próxima à produção; dados sintéticos ou anonimizados; teste de migrações.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Uso real por clientes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Segredos gerenciados, HTTPS, backups, monitoramento, acesso restrito e plano de rollback.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Pipeline sugerido: build → testes unitários → testes de integração → análise de dependências → empacotamento → deploy em staging → aprovação → deploy em produção.</w:t>
      </w:r>
    </w:p>
    <w:p>
      <w:pPr>
        <w:pStyle w:val="ListBullet"/>
        <w:spacing w:after="40"/>
      </w:pPr>
      <w:r>
        <w:t>Migrações Flyway devem ser revisadas e compatíveis com a estratégia de deploy.</w:t>
      </w:r>
    </w:p>
    <w:p>
      <w:pPr>
        <w:pStyle w:val="ListBullet"/>
        <w:spacing w:after="40"/>
      </w:pPr>
      <w:r>
        <w:t>Não versionar .env real, chaves, credenciais, dumps com dados pessoais ou certificados privados.</w:t>
      </w:r>
    </w:p>
    <w:p>
      <w:pPr>
        <w:pStyle w:val="Heading1"/>
      </w:pPr>
      <w:r>
        <w:t>13. Sequência de implementação recomendada</w:t>
      </w:r>
    </w:p>
    <w:p>
      <w:pPr>
        <w:pStyle w:val="ListNumber"/>
        <w:spacing w:after="40"/>
      </w:pPr>
      <w:r>
        <w:t>Criar repositório Git, estrutura backend/frontend, README e convenções de código.</w:t>
      </w:r>
    </w:p>
    <w:p>
      <w:pPr>
        <w:pStyle w:val="ListNumber"/>
        <w:spacing w:after="40"/>
      </w:pPr>
      <w:r>
        <w:t>Configurar Java LTS, Spring Boot, Maven, Docker Compose e PostgreSQL local.</w:t>
      </w:r>
    </w:p>
    <w:p>
      <w:pPr>
        <w:pStyle w:val="ListNumber"/>
        <w:spacing w:after="40"/>
      </w:pPr>
      <w:r>
        <w:t>Configurar Flyway, health check, logs e tratamento global de erros.</w:t>
      </w:r>
    </w:p>
    <w:p>
      <w:pPr>
        <w:pStyle w:val="ListNumber"/>
        <w:spacing w:after="40"/>
      </w:pPr>
      <w:r>
        <w:t>Implementar identidade, empresas e associação de membros.</w:t>
      </w:r>
    </w:p>
    <w:p>
      <w:pPr>
        <w:pStyle w:val="ListNumber"/>
        <w:spacing w:after="40"/>
      </w:pPr>
      <w:r>
        <w:t>Implementar contexto multi-tenant e testes de isolamento antes do CRUD principal.</w:t>
      </w:r>
    </w:p>
    <w:p>
      <w:pPr>
        <w:pStyle w:val="ListNumber"/>
        <w:spacing w:after="40"/>
      </w:pPr>
      <w:r>
        <w:t>Entregar CRUD de imóveis com validação, paginação, auditoria e testes.</w:t>
      </w:r>
    </w:p>
    <w:p>
      <w:pPr>
        <w:pStyle w:val="ListNumber"/>
        <w:spacing w:after="40"/>
      </w:pPr>
      <w:r>
        <w:t>Adicionar contatos, leads, atividades e visitas.</w:t>
      </w:r>
    </w:p>
    <w:p>
      <w:pPr>
        <w:pStyle w:val="ListNumber"/>
        <w:spacing w:after="40"/>
      </w:pPr>
      <w:r>
        <w:t>Adicionar upload privado de imagens e publicação pública controlada.</w:t>
      </w:r>
    </w:p>
    <w:p>
      <w:pPr>
        <w:pStyle w:val="ListNumber"/>
        <w:spacing w:after="40"/>
      </w:pPr>
      <w:r>
        <w:t>Adicionar planos, assinaturas e integração de pagamento com webhooks idempotentes.</w:t>
      </w:r>
    </w:p>
    <w:p>
      <w:pPr>
        <w:pStyle w:val="ListNumber"/>
        <w:spacing w:after="40"/>
      </w:pPr>
      <w:r>
        <w:t>Configurar staging, backups/restauração, monitoramento, revisão de segurança e validação jurídica.</w:t>
      </w:r>
    </w:p>
    <w:p>
      <w:pPr>
        <w:pStyle w:val="ListNumber"/>
        <w:spacing w:after="40"/>
      </w:pPr>
      <w:r>
        <w:t>Depois de estabilizar a API, construir o aplicativo móvel reutilizando o contrato REST.</w:t>
      </w:r>
    </w:p>
    <w:p>
      <w:pPr>
        <w:pStyle w:val="Heading1"/>
      </w:pPr>
      <w:r>
        <w:t>14. Decisões que precisam ser confirmadas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 pendente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Nome do produto/pacote Java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Definir domínio e namespace definitivos.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Pacotes, URLs, documentação e identidade do produto.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Provedor OIDC versus autenticação própria consolidada.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Segurança, custo, UX e recuperação de conta.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Hospedagem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Provedor de aplicação, PostgreSQL e storage.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Custo, disponibilidade, região e backups.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Pagamentos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Provedor e modelo de cobrança.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Webhooks, conciliação, notas fiscais e inadimplência.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Escopo MVP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Quais módulos entram na primeira versão comercial.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 e risco de escopo.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Modelo de isolamento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Tenant_id na aplicação e possível RLS no banco.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 e complexidade de persistência.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Publicação pública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Site de anúncios próprio, domínio por cliente ou integração.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SEO, arquitetura e regras de publicação.</w:t>
            </w:r>
          </w:p>
        </w:tc>
      </w:tr>
    </w:tbl>
    <w:p>
      <w:pPr>
        <w:spacing w:after="20"/>
      </w:pPr>
    </w:p>
    <w:p>
      <w:pPr>
        <w:pStyle w:val="Heading1"/>
      </w:pPr>
      <w:r>
        <w:t>15. Checklist de prontidão antes do lançamento</w:t>
      </w:r>
    </w:p>
    <w:p>
      <w:pPr>
        <w:pStyle w:val="ListBullet"/>
        <w:spacing w:after="40"/>
      </w:pPr>
      <w:r>
        <w:t>Testes automatizados de isolamento entre empresas aprovados.</w:t>
      </w:r>
    </w:p>
    <w:p>
      <w:pPr>
        <w:pStyle w:val="ListBullet"/>
        <w:spacing w:after="40"/>
      </w:pPr>
      <w:r>
        <w:t>Autorização verificada em todos os endpoints e ações sensíveis.</w:t>
      </w:r>
    </w:p>
    <w:p>
      <w:pPr>
        <w:pStyle w:val="ListBullet"/>
        <w:spacing w:after="40"/>
      </w:pPr>
      <w:r>
        <w:t>Política de privacidade, termos, contratos e processos LGPD revisados.</w:t>
      </w:r>
    </w:p>
    <w:p>
      <w:pPr>
        <w:pStyle w:val="ListBullet"/>
        <w:spacing w:after="40"/>
      </w:pPr>
      <w:r>
        <w:t>Fluxo de pagamento testado em sandbox, incluindo reenvio de webhook e falha de pagamento.</w:t>
      </w:r>
    </w:p>
    <w:p>
      <w:pPr>
        <w:pStyle w:val="ListBullet"/>
        <w:spacing w:after="40"/>
      </w:pPr>
      <w:r>
        <w:t>Uploads protegidos e armazenamento privado por padrão.</w:t>
      </w:r>
    </w:p>
    <w:p>
      <w:pPr>
        <w:pStyle w:val="ListBullet"/>
        <w:spacing w:after="40"/>
      </w:pPr>
      <w:r>
        <w:t>Backups automatizados e restauração testada.</w:t>
      </w:r>
    </w:p>
    <w:p>
      <w:pPr>
        <w:pStyle w:val="ListBullet"/>
        <w:spacing w:after="40"/>
      </w:pPr>
      <w:r>
        <w:t>Monitoramento, alertas, logs e resposta a incidentes preparados.</w:t>
      </w:r>
    </w:p>
    <w:p>
      <w:pPr>
        <w:pStyle w:val="ListBullet"/>
        <w:spacing w:after="40"/>
      </w:pPr>
      <w:r>
        <w:t>Dependências e configuração revisadas; segredos fora do código.</w:t>
      </w:r>
    </w:p>
    <w:p>
      <w:pPr>
        <w:pStyle w:val="ListBullet"/>
        <w:spacing w:after="40"/>
      </w:pPr>
      <w:r>
        <w:t>Migrações e plano de rollback testados em staging.</w:t>
      </w:r>
    </w:p>
    <w:p>
      <w:pPr>
        <w:pStyle w:val="ListBullet"/>
        <w:spacing w:after="40"/>
      </w:pPr>
      <w:r>
        <w:t>Suporte, retenção, exclusão e exportação de dados documentados.</w:t>
      </w:r>
    </w:p>
    <w:p>
      <w:pPr>
        <w:pStyle w:val="Heading1"/>
      </w:pPr>
      <w:r>
        <w:t>Referências técnicas para consulta</w:t>
      </w:r>
    </w:p>
    <w:p>
      <w:pPr>
        <w:pStyle w:val="ListBullet"/>
        <w:spacing w:after="40"/>
      </w:pPr>
      <w:r>
        <w:t>Spring Boot: https://spring.io/projects/spring-boot</w:t>
      </w:r>
    </w:p>
    <w:p>
      <w:pPr>
        <w:pStyle w:val="ListBullet"/>
        <w:spacing w:after="40"/>
      </w:pPr>
      <w:r>
        <w:t>Spring Security: https://spring.io/projects/spring-security</w:t>
      </w:r>
    </w:p>
    <w:p>
      <w:pPr>
        <w:pStyle w:val="ListBullet"/>
        <w:spacing w:after="40"/>
      </w:pPr>
      <w:r>
        <w:t>PostgreSQL: https://www.postgresql.org/docs/</w:t>
      </w:r>
    </w:p>
    <w:p>
      <w:pPr>
        <w:pStyle w:val="ListBullet"/>
        <w:spacing w:after="40"/>
      </w:pPr>
      <w:r>
        <w:t>Flyway: https://documentation.red-gate.com/flyway</w:t>
      </w:r>
    </w:p>
    <w:p>
      <w:pPr>
        <w:pStyle w:val="ListBullet"/>
        <w:spacing w:after="40"/>
      </w:pPr>
      <w:r>
        <w:t>OWASP Application Security Verification Standard: https://owasp.org/www-project-application-security-verification-standard/</w:t>
      </w:r>
    </w:p>
    <w:p>
      <w:pPr>
        <w:pStyle w:val="ListBullet"/>
        <w:spacing w:after="40"/>
      </w:pPr>
      <w:r>
        <w:t>OWASP Cheat Sheet Series: https://cheatsheetseries.owasp.org/</w:t>
      </w:r>
    </w:p>
    <w:p>
      <w:pPr>
        <w:pStyle w:val="ListBullet"/>
        <w:spacing w:after="40"/>
      </w:pPr>
      <w:r>
        <w:t>ANPD — Autoridade Nacional de Proteção de Dados: https://www.gov.br/anpd/pt-br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46E78"/>
        <w:sz w:val="16"/>
      </w:rPr>
      <w:t xml:space="preserve">Arquitetura do SaaS de Gestão Imobiliária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2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