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C03CB" w14:textId="77777777" w:rsidR="0066238E" w:rsidRDefault="00000AE9">
      <w:pPr>
        <w:pStyle w:val="Ttulo"/>
      </w:pPr>
      <w:r>
        <w:t>Estructura temporal (subyacente) de los tipos de interés</w:t>
      </w:r>
    </w:p>
    <w:p w14:paraId="2C3A4941" w14:textId="77777777" w:rsidR="0066238E" w:rsidRDefault="00000AE9">
      <w:pPr>
        <w:pStyle w:val="Author"/>
      </w:pPr>
      <w:r>
        <w:t>Jose López Galdón</w:t>
      </w:r>
    </w:p>
    <w:p w14:paraId="53191987" w14:textId="77777777" w:rsidR="0066238E" w:rsidRDefault="00000AE9">
      <w:pPr>
        <w:pStyle w:val="Fecha"/>
      </w:pPr>
      <w:r>
        <w:t>2020-11-08</w:t>
      </w:r>
    </w:p>
    <w:p w14:paraId="04F544DC" w14:textId="680A8158" w:rsidR="0066238E" w:rsidRDefault="00000AE9">
      <w:pPr>
        <w:pStyle w:val="Ttulo2"/>
      </w:pPr>
      <w:bookmarkStart w:id="0" w:name="abstract"/>
      <w:r>
        <w:rPr>
          <w:i/>
        </w:rPr>
        <w:t>ABSTRACT</w:t>
      </w:r>
      <w:bookmarkEnd w:id="0"/>
    </w:p>
    <w:p w14:paraId="505F6637" w14:textId="77777777" w:rsidR="0066238E" w:rsidRDefault="00000AE9">
      <w:pPr>
        <w:pStyle w:val="FirstParagraph"/>
      </w:pPr>
      <w:r>
        <w:t>En el presente trabajo hemos realizado una predicción del valor del bono estadounidense a 10 años, utilzando datos de los distintos bonos americanos entre los periodos del 2 de enero de 1995 y el 30 de septiembre de 1998. Para ello utilizaremos ACP (Anális</w:t>
      </w:r>
      <w:r>
        <w:t>is de Componentes Princiaples) de manera que podamos corroborar la siguiente cuestión: ¿puede establecerse una estructura subyecente que sintetice y agrupe los distintos plazos en virtud de sus características comunes?</w:t>
      </w:r>
    </w:p>
    <w:p w14:paraId="76E131F4" w14:textId="77777777" w:rsidR="0066238E" w:rsidRDefault="00000AE9">
      <w:r>
        <w:pict w14:anchorId="5852BBB6">
          <v:rect id="_x0000_i1025" style="width:0;height:1.5pt" o:hralign="center" o:hrstd="t" o:hr="t"/>
        </w:pict>
      </w:r>
    </w:p>
    <w:p w14:paraId="38466603" w14:textId="77777777" w:rsidR="0066238E" w:rsidRDefault="00000AE9">
      <w:r>
        <w:pict w14:anchorId="78F81792">
          <v:rect id="_x0000_i1026" style="width:0;height:1.5pt" o:hralign="center" o:hrstd="t" o:hr="t"/>
        </w:pict>
      </w:r>
    </w:p>
    <w:p w14:paraId="7FC44B0A" w14:textId="77777777" w:rsidR="0066238E" w:rsidRDefault="00000AE9">
      <w:pPr>
        <w:pStyle w:val="Ttulo2"/>
      </w:pPr>
      <w:bookmarkStart w:id="1" w:name="planteamiento"/>
      <w:r>
        <w:t>PLANTEAMIENTO</w:t>
      </w:r>
      <w:bookmarkEnd w:id="1"/>
    </w:p>
    <w:p w14:paraId="287FC98D" w14:textId="77777777" w:rsidR="0066238E" w:rsidRDefault="00000AE9">
      <w:pPr>
        <w:pStyle w:val="FirstParagraph"/>
      </w:pPr>
      <w:r>
        <w:t>El estudio de la es</w:t>
      </w:r>
      <w:r>
        <w:t xml:space="preserve">tructura subyacente de los tipos de interés es reiterativa en la literatura financiera. Cabe citar, entre otros, el clásico artículo de Fama y Bliss de 1987 (The Information in Long-Maturity Forward Rates,The American Economic Review, Vol. 77, No. 4 ), el </w:t>
      </w:r>
      <w:r>
        <w:t>de Litterman y Scheinkman (Common factors affecting bond returns, Journal of fixed income, 1991) o, ya más recientes, el de Diebold, Piazzesi y Rudebusch (Modeling Bond Yields in Finance and Macroeconomics, American Economic Review 95.2, 2005), o el de Die</w:t>
      </w:r>
      <w:r>
        <w:t>bold y Li (Forecasting the term structure of government bond yields, Journal of Econometrics, 130.2, 2006). Puede consultarse también el paper de 2014 de Moody’s Analytics Principal Component Analysis for Yield Curve Modelling (Enlaces a un sitio externo.)</w:t>
      </w:r>
      <w:r>
        <w:t xml:space="preserve"> o el white paper de 2009 de Novosyolov y Satchkov, Global Term Structure Modeling Using Principal Component Analysis (Enlaces a un sitio externo.).</w:t>
      </w:r>
    </w:p>
    <w:p w14:paraId="4963F712" w14:textId="77777777" w:rsidR="0066238E" w:rsidRDefault="00000AE9">
      <w:pPr>
        <w:pStyle w:val="Textoindependiente"/>
      </w:pPr>
      <w:r>
        <w:t>El objetivo que perseguimos en el presente trabajo es, simplemente, efectuar una comprobación empírica medi</w:t>
      </w:r>
      <w:r>
        <w:t>ante la aplicación del ACP a un conjunto de 978 observaciones de los rendimientos de 10 bonos norteamericanos a distintos plazos entre el 2 de enero de 1995 y el 30 de septiembre de 1998. No pretendemos nada más que verificar si, tal y como plantean los es</w:t>
      </w:r>
      <w:r>
        <w:t>tudios teóricos, puede establecerse una estructura subyecente que sintetice y agrupe los distintos plazos en virtud de sus características comunes. Para ello, deberá trabajar con el archivo ACPTIUSD.csv Vista previa del documento, disponible en la platafor</w:t>
      </w:r>
      <w:r>
        <w:t>ma, del que deberá utilizar las 949 primeras observaciones (denominadas observaciones activas) y las 9 primeras variables (las variables activas); uno de los objetivos será emplear las observaciones 950 a 978 (llamadas observaciones suplementarias) para pr</w:t>
      </w:r>
      <w:r>
        <w:t>edecir el valor del bono a 10 años (IRS.10Y, variable suplementaria). Aparte de cubrir este objetivo, queremos asimismo tener respuesta a las siguientes preguntas:</w:t>
      </w:r>
    </w:p>
    <w:p w14:paraId="1B0A4702" w14:textId="77777777" w:rsidR="0066238E" w:rsidRDefault="00000AE9">
      <w:pPr>
        <w:numPr>
          <w:ilvl w:val="0"/>
          <w:numId w:val="2"/>
        </w:numPr>
      </w:pPr>
      <w:r>
        <w:lastRenderedPageBreak/>
        <w:t>¿Tiene sentido llevar a cabo, en este caso, un análisis de componentes principales? Para jus</w:t>
      </w:r>
      <w:r>
        <w:t>tificarlo, deberá llevar a cabo las pruebas que estime oportunas, como, por ejemplo el análisis de la matriz de correlaciones, el del determinante de dicha matriz, la prueba de esfericidad de Bartlett, el KMO o el MSA;</w:t>
      </w:r>
    </w:p>
    <w:p w14:paraId="7452C68E" w14:textId="77777777" w:rsidR="0066238E" w:rsidRDefault="00000AE9">
      <w:pPr>
        <w:numPr>
          <w:ilvl w:val="0"/>
          <w:numId w:val="2"/>
        </w:numPr>
      </w:pPr>
      <w:r>
        <w:t>¿Cuántos componentes permitirían expl</w:t>
      </w:r>
      <w:r>
        <w:t>icar, adecuadamente, la estructura subycente de los tipos de interés aquí analizados? Justifique su respuesta empleando, por ejemplo, las pruebas de la varianza explicada o del gráfico de sedimentación;</w:t>
      </w:r>
    </w:p>
    <w:p w14:paraId="26982395" w14:textId="77777777" w:rsidR="0066238E" w:rsidRDefault="00000AE9">
      <w:pPr>
        <w:numPr>
          <w:ilvl w:val="0"/>
          <w:numId w:val="2"/>
        </w:numPr>
      </w:pPr>
      <w:r>
        <w:t>Finalmente, ¿tiene sentido llevar a cabo una rotación</w:t>
      </w:r>
      <w:r>
        <w:t xml:space="preserve"> de las variables subyacentes? Para responder, lleva a cabo una rotación Varimax, por ejemplo.</w:t>
      </w:r>
    </w:p>
    <w:p w14:paraId="068D5F52" w14:textId="77777777" w:rsidR="00F874E9" w:rsidRDefault="00000AE9" w:rsidP="00F874E9">
      <w:pPr>
        <w:pStyle w:val="FirstParagraph"/>
      </w:pPr>
      <w:r>
        <w:t xml:space="preserve">Por último, deberá </w:t>
      </w:r>
      <w:proofErr w:type="spellStart"/>
      <w:r>
        <w:t>elaborar</w:t>
      </w:r>
      <w:proofErr w:type="spellEnd"/>
      <w:r>
        <w:t xml:space="preserve"> las </w:t>
      </w:r>
      <w:proofErr w:type="spellStart"/>
      <w:r>
        <w:t>oportunas</w:t>
      </w:r>
      <w:proofErr w:type="spellEnd"/>
      <w:r>
        <w:t xml:space="preserve"> </w:t>
      </w:r>
      <w:proofErr w:type="spellStart"/>
      <w:r>
        <w:t>conclusiones</w:t>
      </w:r>
      <w:proofErr w:type="spellEnd"/>
      <w:r>
        <w:t>.</w:t>
      </w:r>
      <w:bookmarkStart w:id="2" w:name="base-de-datos"/>
    </w:p>
    <w:p w14:paraId="321E343B" w14:textId="689A67CF" w:rsidR="00F874E9" w:rsidRDefault="00F874E9" w:rsidP="00F874E9">
      <w:pPr>
        <w:pStyle w:val="FirstParagraph"/>
      </w:pPr>
      <w:r>
        <w:pict w14:anchorId="5FEED103">
          <v:rect id="_x0000_i1069" style="width:0;height:1.5pt" o:hralign="center" o:hrstd="t" o:hr="t"/>
        </w:pict>
      </w:r>
    </w:p>
    <w:p w14:paraId="4BC69BDE" w14:textId="77777777" w:rsidR="00F874E9" w:rsidRDefault="00F874E9" w:rsidP="00F874E9">
      <w:r>
        <w:pict w14:anchorId="67D5453E">
          <v:rect id="_x0000_i1070" style="width:0;height:1.5pt" o:hralign="center" o:hrstd="t" o:hr="t"/>
        </w:pict>
      </w:r>
    </w:p>
    <w:p w14:paraId="449DF914" w14:textId="4311DFF4" w:rsidR="00C06A68" w:rsidRDefault="00F874E9" w:rsidP="00F874E9">
      <w:pPr>
        <w:pStyle w:val="Ttulo2"/>
      </w:pPr>
      <w:r>
        <w:t>CÓDIGO UTILIZADO</w:t>
      </w:r>
    </w:p>
    <w:p w14:paraId="1FC966AA" w14:textId="320FBD19" w:rsidR="00F874E9" w:rsidRDefault="00F874E9" w:rsidP="00F874E9">
      <w:proofErr w:type="spellStart"/>
      <w:r>
        <w:t>Adjuntaremos</w:t>
      </w:r>
      <w:proofErr w:type="spellEnd"/>
      <w:r>
        <w:t xml:space="preserve"> un enlace a </w:t>
      </w:r>
      <w:proofErr w:type="spellStart"/>
      <w:r>
        <w:t>github</w:t>
      </w:r>
      <w:proofErr w:type="spellEnd"/>
      <w:r>
        <w:t xml:space="preserve"> con el </w:t>
      </w:r>
      <w:proofErr w:type="spellStart"/>
      <w:r>
        <w:t>código</w:t>
      </w:r>
      <w:proofErr w:type="spellEnd"/>
      <w:r>
        <w:t xml:space="preserve"> </w:t>
      </w:r>
      <w:proofErr w:type="spellStart"/>
      <w:r>
        <w:t>utilizado</w:t>
      </w:r>
      <w:proofErr w:type="spellEnd"/>
      <w:r>
        <w:t>:</w:t>
      </w:r>
    </w:p>
    <w:p w14:paraId="0E0CDCA4" w14:textId="77777777" w:rsidR="00F874E9" w:rsidRPr="00F874E9" w:rsidRDefault="00F874E9" w:rsidP="00F874E9"/>
    <w:p w14:paraId="1489B518" w14:textId="77777777" w:rsidR="00C06A68" w:rsidRDefault="00C06A68">
      <w:pPr>
        <w:pStyle w:val="Ttulo2"/>
      </w:pPr>
    </w:p>
    <w:p w14:paraId="2F9259A6" w14:textId="77777777" w:rsidR="00C06A68" w:rsidRDefault="00C06A68">
      <w:pPr>
        <w:pStyle w:val="Ttulo2"/>
      </w:pPr>
    </w:p>
    <w:p w14:paraId="5DBAEA38" w14:textId="77777777" w:rsidR="00C06A68" w:rsidRDefault="00C06A68">
      <w:pPr>
        <w:pStyle w:val="Ttulo2"/>
      </w:pPr>
    </w:p>
    <w:p w14:paraId="4768E6E4" w14:textId="77777777" w:rsidR="00C06A68" w:rsidRDefault="00C06A68">
      <w:pPr>
        <w:pStyle w:val="Ttulo2"/>
      </w:pPr>
    </w:p>
    <w:p w14:paraId="120926CA" w14:textId="77777777" w:rsidR="00C06A68" w:rsidRDefault="00C06A68">
      <w:pPr>
        <w:pStyle w:val="Ttulo2"/>
      </w:pPr>
    </w:p>
    <w:p w14:paraId="1F860FB5" w14:textId="77777777" w:rsidR="00C06A68" w:rsidRDefault="00C06A68">
      <w:pPr>
        <w:pStyle w:val="Ttulo2"/>
      </w:pPr>
    </w:p>
    <w:p w14:paraId="4EB51A44" w14:textId="77777777" w:rsidR="00C06A68" w:rsidRDefault="00C06A68">
      <w:pPr>
        <w:pStyle w:val="Ttulo2"/>
      </w:pPr>
    </w:p>
    <w:p w14:paraId="44936FD7" w14:textId="77777777" w:rsidR="00C06A68" w:rsidRDefault="00C06A68">
      <w:pPr>
        <w:pStyle w:val="Ttulo2"/>
      </w:pPr>
    </w:p>
    <w:p w14:paraId="2D1BE5F7" w14:textId="77777777" w:rsidR="00C06A68" w:rsidRDefault="00C06A68">
      <w:pPr>
        <w:pStyle w:val="Ttulo2"/>
      </w:pPr>
    </w:p>
    <w:p w14:paraId="40E90A01" w14:textId="77777777" w:rsidR="00C06A68" w:rsidRDefault="00C06A68">
      <w:pPr>
        <w:pStyle w:val="Ttulo2"/>
      </w:pPr>
    </w:p>
    <w:p w14:paraId="5684726C" w14:textId="77777777" w:rsidR="00C06A68" w:rsidRDefault="00C06A68">
      <w:pPr>
        <w:pStyle w:val="Ttulo2"/>
      </w:pPr>
    </w:p>
    <w:p w14:paraId="0B440D1C" w14:textId="77777777" w:rsidR="00C06A68" w:rsidRDefault="00C06A68">
      <w:pPr>
        <w:pStyle w:val="Ttulo2"/>
      </w:pPr>
    </w:p>
    <w:p w14:paraId="398DAC27" w14:textId="77777777" w:rsidR="00C06A68" w:rsidRDefault="00C06A68">
      <w:pPr>
        <w:pStyle w:val="Ttulo2"/>
      </w:pPr>
    </w:p>
    <w:p w14:paraId="52062536" w14:textId="77777777" w:rsidR="00C06A68" w:rsidRDefault="00C06A68">
      <w:pPr>
        <w:pStyle w:val="Ttulo2"/>
      </w:pPr>
    </w:p>
    <w:p w14:paraId="185EF748" w14:textId="77777777" w:rsidR="00C06A68" w:rsidRDefault="00C06A68">
      <w:pPr>
        <w:pStyle w:val="Ttulo2"/>
      </w:pPr>
    </w:p>
    <w:p w14:paraId="0EDC500A" w14:textId="1E793B13" w:rsidR="00F874E9" w:rsidRDefault="00F874E9">
      <w:pPr>
        <w:pStyle w:val="Ttulo2"/>
      </w:pPr>
    </w:p>
    <w:p w14:paraId="2BDC03EC" w14:textId="7942377A" w:rsidR="00F874E9" w:rsidRDefault="00F874E9" w:rsidP="00F874E9"/>
    <w:p w14:paraId="7C5738CE" w14:textId="77777777" w:rsidR="002A6C63" w:rsidRPr="00F874E9" w:rsidRDefault="002A6C63" w:rsidP="00F874E9"/>
    <w:p w14:paraId="23D00FF3" w14:textId="26867251" w:rsidR="0066238E" w:rsidRDefault="00000AE9">
      <w:pPr>
        <w:pStyle w:val="Ttulo2"/>
      </w:pPr>
      <w:r>
        <w:lastRenderedPageBreak/>
        <w:t>BASE DE DATOS</w:t>
      </w:r>
      <w:bookmarkEnd w:id="2"/>
    </w:p>
    <w:p w14:paraId="000096C0" w14:textId="77777777" w:rsidR="0066238E" w:rsidRDefault="00000AE9">
      <w:pPr>
        <w:pStyle w:val="FirstParagraph"/>
      </w:pPr>
      <w:r>
        <w:t>Tenemos un dataset con 978 filas y 11 variables, estas son:</w:t>
      </w:r>
    </w:p>
    <w:p w14:paraId="31A40371" w14:textId="77777777" w:rsidR="0066238E" w:rsidRDefault="00000AE9">
      <w:pPr>
        <w:pStyle w:val="Compact"/>
        <w:numPr>
          <w:ilvl w:val="0"/>
          <w:numId w:val="3"/>
        </w:numPr>
      </w:pPr>
      <w:r>
        <w:rPr>
          <w:rStyle w:val="VerbatimChar"/>
        </w:rPr>
        <w:t>X1</w:t>
      </w:r>
      <w:r>
        <w:t>: Plazos entre el 2 de en</w:t>
      </w:r>
      <w:r>
        <w:t>ero de 1995 y el 30 de septiembre de 1998</w:t>
      </w:r>
    </w:p>
    <w:p w14:paraId="7C24C8A9" w14:textId="77777777" w:rsidR="0066238E" w:rsidRDefault="00000AE9">
      <w:pPr>
        <w:pStyle w:val="Compact"/>
        <w:numPr>
          <w:ilvl w:val="0"/>
          <w:numId w:val="3"/>
        </w:numPr>
      </w:pPr>
      <w:r>
        <w:rPr>
          <w:rStyle w:val="VerbatimChar"/>
        </w:rPr>
        <w:t>DEPO_1M</w:t>
      </w:r>
      <w:r>
        <w:t>: Bono norteamericano a 1 mes</w:t>
      </w:r>
    </w:p>
    <w:p w14:paraId="2A32F561" w14:textId="77777777" w:rsidR="0066238E" w:rsidRDefault="00000AE9">
      <w:pPr>
        <w:pStyle w:val="Compact"/>
        <w:numPr>
          <w:ilvl w:val="0"/>
          <w:numId w:val="3"/>
        </w:numPr>
      </w:pPr>
      <w:r>
        <w:rPr>
          <w:rStyle w:val="VerbatimChar"/>
        </w:rPr>
        <w:t>DEPO_3M</w:t>
      </w:r>
      <w:r>
        <w:t>: Bono norteamericano a 3 meses</w:t>
      </w:r>
    </w:p>
    <w:p w14:paraId="7FFC58FC" w14:textId="77777777" w:rsidR="0066238E" w:rsidRDefault="00000AE9">
      <w:pPr>
        <w:pStyle w:val="Compact"/>
        <w:numPr>
          <w:ilvl w:val="0"/>
          <w:numId w:val="3"/>
        </w:numPr>
      </w:pPr>
      <w:r>
        <w:rPr>
          <w:rStyle w:val="VerbatimChar"/>
        </w:rPr>
        <w:t>DEPO_6M</w:t>
      </w:r>
      <w:r>
        <w:t>: Bono norteamericano a 6 meses</w:t>
      </w:r>
    </w:p>
    <w:p w14:paraId="0EEEB815" w14:textId="77777777" w:rsidR="0066238E" w:rsidRDefault="00000AE9">
      <w:pPr>
        <w:pStyle w:val="Compact"/>
        <w:numPr>
          <w:ilvl w:val="0"/>
          <w:numId w:val="3"/>
        </w:numPr>
      </w:pPr>
      <w:r>
        <w:rPr>
          <w:rStyle w:val="VerbatimChar"/>
        </w:rPr>
        <w:t>DEPO_12M</w:t>
      </w:r>
      <w:r>
        <w:t>: Bono norteamericano a 12 meses</w:t>
      </w:r>
    </w:p>
    <w:p w14:paraId="7718ACE8" w14:textId="77777777" w:rsidR="0066238E" w:rsidRDefault="00000AE9">
      <w:pPr>
        <w:pStyle w:val="Compact"/>
        <w:numPr>
          <w:ilvl w:val="0"/>
          <w:numId w:val="3"/>
        </w:numPr>
      </w:pPr>
      <w:r>
        <w:rPr>
          <w:rStyle w:val="VerbatimChar"/>
        </w:rPr>
        <w:t>IRS_2Y</w:t>
      </w:r>
      <w:r>
        <w:t>: Bono norteamericano a 2 años</w:t>
      </w:r>
    </w:p>
    <w:p w14:paraId="08AE31BA" w14:textId="77777777" w:rsidR="0066238E" w:rsidRDefault="00000AE9">
      <w:pPr>
        <w:pStyle w:val="Compact"/>
        <w:numPr>
          <w:ilvl w:val="0"/>
          <w:numId w:val="3"/>
        </w:numPr>
      </w:pPr>
      <w:r>
        <w:rPr>
          <w:rStyle w:val="VerbatimChar"/>
        </w:rPr>
        <w:t>IRS_3Y</w:t>
      </w:r>
      <w:r>
        <w:t>: Bono norteame</w:t>
      </w:r>
      <w:r>
        <w:t>ricano a 3 años</w:t>
      </w:r>
    </w:p>
    <w:p w14:paraId="1DB66059" w14:textId="77777777" w:rsidR="0066238E" w:rsidRDefault="00000AE9">
      <w:pPr>
        <w:pStyle w:val="Compact"/>
        <w:numPr>
          <w:ilvl w:val="0"/>
          <w:numId w:val="3"/>
        </w:numPr>
      </w:pPr>
      <w:r>
        <w:rPr>
          <w:rStyle w:val="VerbatimChar"/>
        </w:rPr>
        <w:t>IRS_4Y</w:t>
      </w:r>
      <w:r>
        <w:t>: Bono norteamericano a 4 años</w:t>
      </w:r>
    </w:p>
    <w:p w14:paraId="789AFD83" w14:textId="77777777" w:rsidR="0066238E" w:rsidRDefault="00000AE9">
      <w:pPr>
        <w:pStyle w:val="Compact"/>
        <w:numPr>
          <w:ilvl w:val="0"/>
          <w:numId w:val="3"/>
        </w:numPr>
      </w:pPr>
      <w:r>
        <w:rPr>
          <w:rStyle w:val="VerbatimChar"/>
        </w:rPr>
        <w:t>IRS_5Y</w:t>
      </w:r>
      <w:r>
        <w:t>: Bono norteamericano a 5 años</w:t>
      </w:r>
    </w:p>
    <w:p w14:paraId="6CFC79DB" w14:textId="77777777" w:rsidR="0066238E" w:rsidRDefault="00000AE9">
      <w:pPr>
        <w:pStyle w:val="Compact"/>
        <w:numPr>
          <w:ilvl w:val="0"/>
          <w:numId w:val="3"/>
        </w:numPr>
      </w:pPr>
      <w:r>
        <w:rPr>
          <w:rStyle w:val="VerbatimChar"/>
        </w:rPr>
        <w:t>IRS_7Y</w:t>
      </w:r>
      <w:r>
        <w:t>: Bono norteamericano a 7 años</w:t>
      </w:r>
    </w:p>
    <w:p w14:paraId="2CDBBCB9" w14:textId="77777777" w:rsidR="0066238E" w:rsidRDefault="00000AE9">
      <w:pPr>
        <w:pStyle w:val="Compact"/>
        <w:numPr>
          <w:ilvl w:val="0"/>
          <w:numId w:val="3"/>
        </w:numPr>
      </w:pPr>
      <w:r>
        <w:rPr>
          <w:rStyle w:val="VerbatimChar"/>
        </w:rPr>
        <w:t>IRS_10Y</w:t>
      </w:r>
      <w:r>
        <w:t>: Bono norteamericano a 10 años</w:t>
      </w:r>
    </w:p>
    <w:p w14:paraId="04E3C9EC" w14:textId="77777777" w:rsidR="0066238E" w:rsidRDefault="00000AE9">
      <w:r>
        <w:pict w14:anchorId="49EED593">
          <v:rect id="_x0000_i1029" style="width:0;height:1.5pt" o:hralign="center" o:hrstd="t" o:hr="t"/>
        </w:pict>
      </w:r>
    </w:p>
    <w:p w14:paraId="076DFD71" w14:textId="77777777" w:rsidR="0066238E" w:rsidRDefault="00000AE9">
      <w:r>
        <w:pict w14:anchorId="6EC01843">
          <v:rect id="_x0000_i1031" style="width:0;height:1.5pt" o:hralign="center" o:hrstd="t" o:hr="t"/>
        </w:pict>
      </w:r>
    </w:p>
    <w:p w14:paraId="5531B113" w14:textId="77777777" w:rsidR="0066238E" w:rsidRDefault="00000AE9">
      <w:pPr>
        <w:pStyle w:val="Ttulo2"/>
      </w:pPr>
      <w:bookmarkStart w:id="3" w:name="análisis-exploratorio"/>
      <w:r>
        <w:t>ANÁLISIS EXPLORATORIO</w:t>
      </w:r>
      <w:bookmarkEnd w:id="3"/>
    </w:p>
    <w:p w14:paraId="6E6307FB" w14:textId="77777777" w:rsidR="0066238E" w:rsidRDefault="00000AE9">
      <w:pPr>
        <w:pStyle w:val="FirstParagraph"/>
      </w:pPr>
      <w:r>
        <w:t>A continuación realizaremos un aná</w:t>
      </w:r>
      <w:r>
        <w:t>lisis exploratorio de nuestra base de datos, en el que analizaremos los estadísticos principales, correlaciones…</w:t>
      </w:r>
    </w:p>
    <w:p w14:paraId="68361F78" w14:textId="77777777" w:rsidR="0066238E" w:rsidRDefault="00000AE9" w:rsidP="006C7E93">
      <w:pPr>
        <w:pStyle w:val="Textoindependiente"/>
        <w:jc w:val="center"/>
      </w:pPr>
      <w:r>
        <w:rPr>
          <w:noProof/>
        </w:rPr>
        <w:drawing>
          <wp:inline distT="0" distB="0" distL="0" distR="0" wp14:anchorId="5A6FB74D" wp14:editId="0AD7F3A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plot%20bond%20typ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57B518" w14:textId="77777777" w:rsidR="00422AA9" w:rsidRDefault="00422AA9">
      <w:pPr>
        <w:pStyle w:val="Textoindependiente"/>
      </w:pPr>
    </w:p>
    <w:p w14:paraId="7F621F06" w14:textId="21112225" w:rsidR="0066238E" w:rsidRDefault="00000AE9">
      <w:pPr>
        <w:pStyle w:val="Textoindependiente"/>
      </w:pPr>
      <w:r>
        <w:t xml:space="preserve">Como </w:t>
      </w:r>
      <w:proofErr w:type="spellStart"/>
      <w:r>
        <w:t>podemos</w:t>
      </w:r>
      <w:proofErr w:type="spellEnd"/>
      <w:r>
        <w:t xml:space="preserve"> </w:t>
      </w:r>
      <w:proofErr w:type="spellStart"/>
      <w:r>
        <w:t>observar</w:t>
      </w:r>
      <w:proofErr w:type="spellEnd"/>
      <w:r>
        <w:t xml:space="preserve"> los tipos de los bonos fluctuando a lo largo del tiempo debido a las distintas fases de los ciclos económicos, sin emba</w:t>
      </w:r>
      <w:r>
        <w:t>rgo, podemos ver cómo a partir de los bonos a 12 meses siguen una fluctuación distinta, lo que nos puede hacer pensar (a priori) que tenemos dos tipos de bonos, unos a corto plazo (por debajo de 12 meses) y a largo plazo (por encima de la anualidad).</w:t>
      </w:r>
    </w:p>
    <w:p w14:paraId="724D209D" w14:textId="77777777" w:rsidR="0066238E" w:rsidRDefault="00000AE9">
      <w:r>
        <w:pict w14:anchorId="19AABF49">
          <v:rect id="_x0000_i1032" style="width:0;height:1.5pt" o:hralign="center" o:hrstd="t" o:hr="t"/>
        </w:pict>
      </w:r>
    </w:p>
    <w:p w14:paraId="13E9158F" w14:textId="77777777" w:rsidR="0066238E" w:rsidRDefault="00000AE9">
      <w:pPr>
        <w:pStyle w:val="Ttulo3"/>
      </w:pPr>
      <w:bookmarkStart w:id="4" w:name="resumen-de-los-estadísticos"/>
      <w:r>
        <w:t>Resumen de los estadísticos</w:t>
      </w:r>
      <w:bookmarkEnd w:id="4"/>
    </w:p>
    <w:p w14:paraId="6FECBF6D" w14:textId="77777777" w:rsidR="0066238E" w:rsidRDefault="00000AE9">
      <w:pPr>
        <w:pStyle w:val="FirstParagraph"/>
      </w:pPr>
      <w:r>
        <w:t>En este apartado incluiremos un resumen con los estadísticos principales de cada variable:</w:t>
      </w:r>
    </w:p>
    <w:p w14:paraId="6878A671" w14:textId="77777777" w:rsidR="0066238E" w:rsidRDefault="00000AE9">
      <w:pPr>
        <w:pStyle w:val="TableCaption"/>
      </w:pPr>
      <w:r>
        <w:t>Data summary</w:t>
      </w:r>
    </w:p>
    <w:tbl>
      <w:tblPr>
        <w:tblStyle w:val="Table"/>
        <w:tblW w:w="0" w:type="pct"/>
        <w:tblLook w:val="07C0" w:firstRow="0" w:lastRow="1" w:firstColumn="1" w:lastColumn="1" w:noHBand="1" w:noVBand="1"/>
      </w:tblPr>
      <w:tblGrid>
        <w:gridCol w:w="2376"/>
        <w:gridCol w:w="1487"/>
      </w:tblGrid>
      <w:tr w:rsidR="0066238E" w:rsidRPr="00422AA9" w14:paraId="526411DB" w14:textId="77777777">
        <w:tc>
          <w:tcPr>
            <w:tcW w:w="0" w:type="auto"/>
          </w:tcPr>
          <w:p w14:paraId="779621FA" w14:textId="77777777" w:rsidR="0066238E" w:rsidRPr="00422AA9" w:rsidRDefault="00000AE9">
            <w:pPr>
              <w:pStyle w:val="Compact"/>
              <w:rPr>
                <w:sz w:val="18"/>
                <w:szCs w:val="18"/>
              </w:rPr>
            </w:pPr>
            <w:r w:rsidRPr="00422AA9">
              <w:rPr>
                <w:sz w:val="18"/>
                <w:szCs w:val="18"/>
              </w:rPr>
              <w:t>Name</w:t>
            </w:r>
          </w:p>
        </w:tc>
        <w:tc>
          <w:tcPr>
            <w:tcW w:w="0" w:type="auto"/>
          </w:tcPr>
          <w:p w14:paraId="55A2675C" w14:textId="77777777" w:rsidR="0066238E" w:rsidRPr="00422AA9" w:rsidRDefault="00000AE9">
            <w:pPr>
              <w:pStyle w:val="Compact"/>
              <w:rPr>
                <w:sz w:val="18"/>
                <w:szCs w:val="18"/>
              </w:rPr>
            </w:pPr>
            <w:r w:rsidRPr="00422AA9">
              <w:rPr>
                <w:sz w:val="18"/>
                <w:szCs w:val="18"/>
              </w:rPr>
              <w:t>TIUSD_activas</w:t>
            </w:r>
          </w:p>
        </w:tc>
      </w:tr>
      <w:tr w:rsidR="0066238E" w:rsidRPr="00422AA9" w14:paraId="20CDE4A5" w14:textId="77777777">
        <w:tc>
          <w:tcPr>
            <w:tcW w:w="0" w:type="auto"/>
          </w:tcPr>
          <w:p w14:paraId="640DEBCD" w14:textId="77777777" w:rsidR="0066238E" w:rsidRPr="00422AA9" w:rsidRDefault="00000AE9">
            <w:pPr>
              <w:pStyle w:val="Compact"/>
              <w:rPr>
                <w:sz w:val="18"/>
                <w:szCs w:val="18"/>
              </w:rPr>
            </w:pPr>
            <w:r w:rsidRPr="00422AA9">
              <w:rPr>
                <w:sz w:val="18"/>
                <w:szCs w:val="18"/>
              </w:rPr>
              <w:t>Number of rows</w:t>
            </w:r>
          </w:p>
        </w:tc>
        <w:tc>
          <w:tcPr>
            <w:tcW w:w="0" w:type="auto"/>
          </w:tcPr>
          <w:p w14:paraId="051C113C" w14:textId="77777777" w:rsidR="0066238E" w:rsidRPr="00422AA9" w:rsidRDefault="00000AE9">
            <w:pPr>
              <w:pStyle w:val="Compact"/>
              <w:rPr>
                <w:sz w:val="18"/>
                <w:szCs w:val="18"/>
              </w:rPr>
            </w:pPr>
            <w:r w:rsidRPr="00422AA9">
              <w:rPr>
                <w:sz w:val="18"/>
                <w:szCs w:val="18"/>
              </w:rPr>
              <w:t>949</w:t>
            </w:r>
          </w:p>
        </w:tc>
      </w:tr>
      <w:tr w:rsidR="0066238E" w:rsidRPr="00422AA9" w14:paraId="63E1E433" w14:textId="77777777">
        <w:tc>
          <w:tcPr>
            <w:tcW w:w="0" w:type="auto"/>
          </w:tcPr>
          <w:p w14:paraId="15C94A1D" w14:textId="77777777" w:rsidR="0066238E" w:rsidRPr="00422AA9" w:rsidRDefault="00000AE9">
            <w:pPr>
              <w:pStyle w:val="Compact"/>
              <w:rPr>
                <w:sz w:val="18"/>
                <w:szCs w:val="18"/>
              </w:rPr>
            </w:pPr>
            <w:r w:rsidRPr="00422AA9">
              <w:rPr>
                <w:sz w:val="18"/>
                <w:szCs w:val="18"/>
              </w:rPr>
              <w:t>Number of columns</w:t>
            </w:r>
          </w:p>
        </w:tc>
        <w:tc>
          <w:tcPr>
            <w:tcW w:w="0" w:type="auto"/>
          </w:tcPr>
          <w:p w14:paraId="662CE88A" w14:textId="77777777" w:rsidR="0066238E" w:rsidRPr="00422AA9" w:rsidRDefault="00000AE9">
            <w:pPr>
              <w:pStyle w:val="Compact"/>
              <w:rPr>
                <w:sz w:val="18"/>
                <w:szCs w:val="18"/>
              </w:rPr>
            </w:pPr>
            <w:r w:rsidRPr="00422AA9">
              <w:rPr>
                <w:sz w:val="18"/>
                <w:szCs w:val="18"/>
              </w:rPr>
              <w:t>9</w:t>
            </w:r>
          </w:p>
        </w:tc>
      </w:tr>
      <w:tr w:rsidR="0066238E" w:rsidRPr="00422AA9" w14:paraId="44C86A49" w14:textId="77777777">
        <w:tc>
          <w:tcPr>
            <w:tcW w:w="0" w:type="auto"/>
          </w:tcPr>
          <w:p w14:paraId="6BFC7235" w14:textId="77777777" w:rsidR="0066238E" w:rsidRPr="00422AA9" w:rsidRDefault="00000AE9">
            <w:pPr>
              <w:pStyle w:val="Compact"/>
              <w:rPr>
                <w:sz w:val="18"/>
                <w:szCs w:val="18"/>
              </w:rPr>
            </w:pPr>
            <w:r w:rsidRPr="00422AA9">
              <w:rPr>
                <w:sz w:val="18"/>
                <w:szCs w:val="18"/>
              </w:rPr>
              <w:t>_______________________</w:t>
            </w:r>
          </w:p>
        </w:tc>
        <w:tc>
          <w:tcPr>
            <w:tcW w:w="0" w:type="auto"/>
          </w:tcPr>
          <w:p w14:paraId="4EB65ADB" w14:textId="77777777" w:rsidR="0066238E" w:rsidRPr="00422AA9" w:rsidRDefault="0066238E">
            <w:pPr>
              <w:rPr>
                <w:sz w:val="18"/>
                <w:szCs w:val="18"/>
              </w:rPr>
            </w:pPr>
          </w:p>
        </w:tc>
      </w:tr>
      <w:tr w:rsidR="0066238E" w:rsidRPr="00422AA9" w14:paraId="3166A178" w14:textId="77777777">
        <w:tc>
          <w:tcPr>
            <w:tcW w:w="0" w:type="auto"/>
          </w:tcPr>
          <w:p w14:paraId="57A24D7B" w14:textId="77777777" w:rsidR="0066238E" w:rsidRPr="00422AA9" w:rsidRDefault="00000AE9">
            <w:pPr>
              <w:pStyle w:val="Compact"/>
              <w:rPr>
                <w:sz w:val="18"/>
                <w:szCs w:val="18"/>
              </w:rPr>
            </w:pPr>
            <w:r w:rsidRPr="00422AA9">
              <w:rPr>
                <w:sz w:val="18"/>
                <w:szCs w:val="18"/>
              </w:rPr>
              <w:t>Column type frequency:</w:t>
            </w:r>
          </w:p>
        </w:tc>
        <w:tc>
          <w:tcPr>
            <w:tcW w:w="0" w:type="auto"/>
          </w:tcPr>
          <w:p w14:paraId="08835528" w14:textId="77777777" w:rsidR="0066238E" w:rsidRPr="00422AA9" w:rsidRDefault="0066238E">
            <w:pPr>
              <w:rPr>
                <w:sz w:val="18"/>
                <w:szCs w:val="18"/>
              </w:rPr>
            </w:pPr>
          </w:p>
        </w:tc>
      </w:tr>
      <w:tr w:rsidR="0066238E" w:rsidRPr="00422AA9" w14:paraId="2F3621C6" w14:textId="77777777">
        <w:tc>
          <w:tcPr>
            <w:tcW w:w="0" w:type="auto"/>
          </w:tcPr>
          <w:p w14:paraId="494D4C70" w14:textId="77777777" w:rsidR="0066238E" w:rsidRPr="00422AA9" w:rsidRDefault="00000AE9">
            <w:pPr>
              <w:pStyle w:val="Compact"/>
              <w:rPr>
                <w:sz w:val="18"/>
                <w:szCs w:val="18"/>
              </w:rPr>
            </w:pPr>
            <w:r w:rsidRPr="00422AA9">
              <w:rPr>
                <w:sz w:val="18"/>
                <w:szCs w:val="18"/>
              </w:rPr>
              <w:t>numeric</w:t>
            </w:r>
          </w:p>
        </w:tc>
        <w:tc>
          <w:tcPr>
            <w:tcW w:w="0" w:type="auto"/>
          </w:tcPr>
          <w:p w14:paraId="357A4858" w14:textId="77777777" w:rsidR="0066238E" w:rsidRPr="00422AA9" w:rsidRDefault="00000AE9">
            <w:pPr>
              <w:pStyle w:val="Compact"/>
              <w:rPr>
                <w:sz w:val="18"/>
                <w:szCs w:val="18"/>
              </w:rPr>
            </w:pPr>
            <w:r w:rsidRPr="00422AA9">
              <w:rPr>
                <w:sz w:val="18"/>
                <w:szCs w:val="18"/>
              </w:rPr>
              <w:t>9</w:t>
            </w:r>
          </w:p>
        </w:tc>
      </w:tr>
      <w:tr w:rsidR="0066238E" w:rsidRPr="00422AA9" w14:paraId="18F7E141" w14:textId="77777777">
        <w:tc>
          <w:tcPr>
            <w:tcW w:w="0" w:type="auto"/>
          </w:tcPr>
          <w:p w14:paraId="4ABA7F8C" w14:textId="77777777" w:rsidR="0066238E" w:rsidRPr="00422AA9" w:rsidRDefault="00000AE9">
            <w:pPr>
              <w:pStyle w:val="Compact"/>
              <w:rPr>
                <w:sz w:val="18"/>
                <w:szCs w:val="18"/>
              </w:rPr>
            </w:pPr>
            <w:r w:rsidRPr="00422AA9">
              <w:rPr>
                <w:sz w:val="18"/>
                <w:szCs w:val="18"/>
              </w:rPr>
              <w:t>________________________</w:t>
            </w:r>
          </w:p>
        </w:tc>
        <w:tc>
          <w:tcPr>
            <w:tcW w:w="0" w:type="auto"/>
          </w:tcPr>
          <w:p w14:paraId="6FBBF6CC" w14:textId="77777777" w:rsidR="0066238E" w:rsidRPr="00422AA9" w:rsidRDefault="0066238E">
            <w:pPr>
              <w:rPr>
                <w:sz w:val="18"/>
                <w:szCs w:val="18"/>
              </w:rPr>
            </w:pPr>
          </w:p>
        </w:tc>
      </w:tr>
      <w:tr w:rsidR="0066238E" w:rsidRPr="00422AA9" w14:paraId="1E554857" w14:textId="77777777">
        <w:tc>
          <w:tcPr>
            <w:tcW w:w="0" w:type="auto"/>
          </w:tcPr>
          <w:p w14:paraId="788938E0" w14:textId="77777777" w:rsidR="0066238E" w:rsidRPr="00422AA9" w:rsidRDefault="00000AE9">
            <w:pPr>
              <w:pStyle w:val="Compact"/>
              <w:rPr>
                <w:sz w:val="18"/>
                <w:szCs w:val="18"/>
              </w:rPr>
            </w:pPr>
            <w:r w:rsidRPr="00422AA9">
              <w:rPr>
                <w:sz w:val="18"/>
                <w:szCs w:val="18"/>
              </w:rPr>
              <w:t>Group variables</w:t>
            </w:r>
          </w:p>
        </w:tc>
        <w:tc>
          <w:tcPr>
            <w:tcW w:w="0" w:type="auto"/>
          </w:tcPr>
          <w:p w14:paraId="4357E768" w14:textId="77777777" w:rsidR="0066238E" w:rsidRPr="00422AA9" w:rsidRDefault="00000AE9">
            <w:pPr>
              <w:pStyle w:val="Compact"/>
              <w:rPr>
                <w:sz w:val="18"/>
                <w:szCs w:val="18"/>
              </w:rPr>
            </w:pPr>
            <w:r w:rsidRPr="00422AA9">
              <w:rPr>
                <w:sz w:val="18"/>
                <w:szCs w:val="18"/>
              </w:rPr>
              <w:t>None</w:t>
            </w:r>
          </w:p>
        </w:tc>
      </w:tr>
    </w:tbl>
    <w:p w14:paraId="48C4F6FD" w14:textId="77777777" w:rsidR="0066238E" w:rsidRDefault="00000AE9">
      <w:pPr>
        <w:pStyle w:val="Textoindependiente"/>
      </w:pPr>
      <w:r>
        <w:rPr>
          <w:b/>
        </w:rPr>
        <w:t>Variable type: numeric</w:t>
      </w:r>
    </w:p>
    <w:tbl>
      <w:tblPr>
        <w:tblStyle w:val="Table"/>
        <w:tblW w:w="5077" w:type="pct"/>
        <w:tblLook w:val="07E0" w:firstRow="1" w:lastRow="1" w:firstColumn="1" w:lastColumn="1" w:noHBand="1" w:noVBand="1"/>
      </w:tblPr>
      <w:tblGrid>
        <w:gridCol w:w="1524"/>
        <w:gridCol w:w="1157"/>
        <w:gridCol w:w="1517"/>
        <w:gridCol w:w="728"/>
        <w:gridCol w:w="606"/>
        <w:gridCol w:w="606"/>
        <w:gridCol w:w="606"/>
        <w:gridCol w:w="606"/>
        <w:gridCol w:w="606"/>
        <w:gridCol w:w="665"/>
        <w:gridCol w:w="572"/>
      </w:tblGrid>
      <w:tr w:rsidR="0066238E" w14:paraId="3E055A87" w14:textId="77777777" w:rsidTr="00C06A68">
        <w:tc>
          <w:tcPr>
            <w:tcW w:w="829" w:type="pct"/>
            <w:tcBorders>
              <w:bottom w:val="single" w:sz="0" w:space="0" w:color="auto"/>
            </w:tcBorders>
            <w:vAlign w:val="bottom"/>
          </w:tcPr>
          <w:p w14:paraId="47442964" w14:textId="77777777" w:rsidR="0066238E" w:rsidRDefault="00000AE9">
            <w:pPr>
              <w:pStyle w:val="Compact"/>
              <w:ind w:right="-278"/>
            </w:pPr>
            <w:proofErr w:type="spellStart"/>
            <w:r>
              <w:t>skim_variable</w:t>
            </w:r>
            <w:proofErr w:type="spellEnd"/>
          </w:p>
        </w:tc>
        <w:tc>
          <w:tcPr>
            <w:tcW w:w="628" w:type="pct"/>
            <w:tcBorders>
              <w:bottom w:val="single" w:sz="0" w:space="0" w:color="auto"/>
            </w:tcBorders>
            <w:vAlign w:val="bottom"/>
          </w:tcPr>
          <w:p w14:paraId="1CF4C73C" w14:textId="77777777" w:rsidR="0066238E" w:rsidRDefault="00000AE9">
            <w:pPr>
              <w:pStyle w:val="Compact"/>
              <w:jc w:val="right"/>
            </w:pPr>
            <w:r>
              <w:t>n_missing</w:t>
            </w:r>
          </w:p>
        </w:tc>
        <w:tc>
          <w:tcPr>
            <w:tcW w:w="0" w:type="auto"/>
            <w:tcBorders>
              <w:bottom w:val="single" w:sz="0" w:space="0" w:color="auto"/>
            </w:tcBorders>
            <w:vAlign w:val="bottom"/>
          </w:tcPr>
          <w:p w14:paraId="758BFD78" w14:textId="77777777" w:rsidR="0066238E" w:rsidRDefault="00000AE9">
            <w:pPr>
              <w:pStyle w:val="Compact"/>
              <w:jc w:val="right"/>
            </w:pPr>
            <w:r>
              <w:t>complete_rate</w:t>
            </w:r>
          </w:p>
        </w:tc>
        <w:tc>
          <w:tcPr>
            <w:tcW w:w="0" w:type="auto"/>
            <w:tcBorders>
              <w:bottom w:val="single" w:sz="0" w:space="0" w:color="auto"/>
            </w:tcBorders>
            <w:vAlign w:val="bottom"/>
          </w:tcPr>
          <w:p w14:paraId="1687D909" w14:textId="77777777" w:rsidR="0066238E" w:rsidRDefault="00000AE9">
            <w:pPr>
              <w:pStyle w:val="Compact"/>
              <w:jc w:val="right"/>
            </w:pPr>
            <w:r>
              <w:t>mean</w:t>
            </w:r>
          </w:p>
        </w:tc>
        <w:tc>
          <w:tcPr>
            <w:tcW w:w="0" w:type="auto"/>
            <w:tcBorders>
              <w:bottom w:val="single" w:sz="0" w:space="0" w:color="auto"/>
            </w:tcBorders>
            <w:vAlign w:val="bottom"/>
          </w:tcPr>
          <w:p w14:paraId="749DEC3B" w14:textId="77777777" w:rsidR="0066238E" w:rsidRDefault="00000AE9">
            <w:pPr>
              <w:pStyle w:val="Compact"/>
              <w:jc w:val="right"/>
            </w:pPr>
            <w:r>
              <w:t>sd</w:t>
            </w:r>
          </w:p>
        </w:tc>
        <w:tc>
          <w:tcPr>
            <w:tcW w:w="0" w:type="auto"/>
            <w:tcBorders>
              <w:bottom w:val="single" w:sz="0" w:space="0" w:color="auto"/>
            </w:tcBorders>
            <w:vAlign w:val="bottom"/>
          </w:tcPr>
          <w:p w14:paraId="697C9BF3" w14:textId="77777777" w:rsidR="0066238E" w:rsidRDefault="00000AE9">
            <w:pPr>
              <w:pStyle w:val="Compact"/>
              <w:jc w:val="right"/>
            </w:pPr>
            <w:r>
              <w:t>p0</w:t>
            </w:r>
          </w:p>
        </w:tc>
        <w:tc>
          <w:tcPr>
            <w:tcW w:w="0" w:type="auto"/>
            <w:tcBorders>
              <w:bottom w:val="single" w:sz="0" w:space="0" w:color="auto"/>
            </w:tcBorders>
            <w:vAlign w:val="bottom"/>
          </w:tcPr>
          <w:p w14:paraId="6C77B7AE" w14:textId="77777777" w:rsidR="0066238E" w:rsidRDefault="00000AE9">
            <w:pPr>
              <w:pStyle w:val="Compact"/>
              <w:jc w:val="right"/>
            </w:pPr>
            <w:r>
              <w:t>p25</w:t>
            </w:r>
          </w:p>
        </w:tc>
        <w:tc>
          <w:tcPr>
            <w:tcW w:w="0" w:type="auto"/>
            <w:tcBorders>
              <w:bottom w:val="single" w:sz="0" w:space="0" w:color="auto"/>
            </w:tcBorders>
            <w:vAlign w:val="bottom"/>
          </w:tcPr>
          <w:p w14:paraId="47CE7876" w14:textId="77777777" w:rsidR="0066238E" w:rsidRDefault="00000AE9">
            <w:pPr>
              <w:pStyle w:val="Compact"/>
              <w:jc w:val="right"/>
            </w:pPr>
            <w:r>
              <w:t>p50</w:t>
            </w:r>
          </w:p>
        </w:tc>
        <w:tc>
          <w:tcPr>
            <w:tcW w:w="0" w:type="auto"/>
            <w:tcBorders>
              <w:bottom w:val="single" w:sz="0" w:space="0" w:color="auto"/>
            </w:tcBorders>
            <w:vAlign w:val="bottom"/>
          </w:tcPr>
          <w:p w14:paraId="56F01039" w14:textId="77777777" w:rsidR="0066238E" w:rsidRDefault="00000AE9">
            <w:pPr>
              <w:pStyle w:val="Compact"/>
              <w:jc w:val="right"/>
            </w:pPr>
            <w:r>
              <w:t>p75</w:t>
            </w:r>
          </w:p>
        </w:tc>
        <w:tc>
          <w:tcPr>
            <w:tcW w:w="0" w:type="auto"/>
            <w:tcBorders>
              <w:bottom w:val="single" w:sz="0" w:space="0" w:color="auto"/>
            </w:tcBorders>
            <w:vAlign w:val="bottom"/>
          </w:tcPr>
          <w:p w14:paraId="52AB2DE0" w14:textId="77777777" w:rsidR="0066238E" w:rsidRDefault="00000AE9">
            <w:pPr>
              <w:pStyle w:val="Compact"/>
              <w:jc w:val="right"/>
            </w:pPr>
            <w:r>
              <w:t>p100</w:t>
            </w:r>
          </w:p>
        </w:tc>
        <w:tc>
          <w:tcPr>
            <w:tcW w:w="0" w:type="auto"/>
            <w:tcBorders>
              <w:bottom w:val="single" w:sz="0" w:space="0" w:color="auto"/>
            </w:tcBorders>
            <w:vAlign w:val="bottom"/>
          </w:tcPr>
          <w:p w14:paraId="0C0BDC0B" w14:textId="77777777" w:rsidR="0066238E" w:rsidRDefault="00000AE9">
            <w:pPr>
              <w:pStyle w:val="Compact"/>
            </w:pPr>
            <w:r>
              <w:t>hist</w:t>
            </w:r>
          </w:p>
        </w:tc>
      </w:tr>
      <w:tr w:rsidR="0066238E" w14:paraId="24454A00" w14:textId="77777777" w:rsidTr="00C06A68">
        <w:tc>
          <w:tcPr>
            <w:tcW w:w="829" w:type="pct"/>
          </w:tcPr>
          <w:p w14:paraId="6E6EC049" w14:textId="77777777" w:rsidR="0066238E" w:rsidRDefault="00000AE9">
            <w:pPr>
              <w:pStyle w:val="Compact"/>
            </w:pPr>
            <w:r>
              <w:t>DEPO 1M</w:t>
            </w:r>
          </w:p>
        </w:tc>
        <w:tc>
          <w:tcPr>
            <w:tcW w:w="628" w:type="pct"/>
          </w:tcPr>
          <w:p w14:paraId="29D3A928" w14:textId="77777777" w:rsidR="0066238E" w:rsidRDefault="00000AE9">
            <w:pPr>
              <w:pStyle w:val="Compact"/>
              <w:jc w:val="right"/>
            </w:pPr>
            <w:r>
              <w:t>0</w:t>
            </w:r>
          </w:p>
        </w:tc>
        <w:tc>
          <w:tcPr>
            <w:tcW w:w="0" w:type="auto"/>
          </w:tcPr>
          <w:p w14:paraId="380D2817" w14:textId="77777777" w:rsidR="0066238E" w:rsidRDefault="00000AE9">
            <w:pPr>
              <w:pStyle w:val="Compact"/>
              <w:jc w:val="right"/>
            </w:pPr>
            <w:r>
              <w:t>1</w:t>
            </w:r>
          </w:p>
        </w:tc>
        <w:tc>
          <w:tcPr>
            <w:tcW w:w="0" w:type="auto"/>
          </w:tcPr>
          <w:p w14:paraId="6BC7DBE9" w14:textId="77777777" w:rsidR="0066238E" w:rsidRDefault="00000AE9">
            <w:pPr>
              <w:pStyle w:val="Compact"/>
              <w:jc w:val="right"/>
            </w:pPr>
            <w:r>
              <w:t>5.69</w:t>
            </w:r>
          </w:p>
        </w:tc>
        <w:tc>
          <w:tcPr>
            <w:tcW w:w="0" w:type="auto"/>
          </w:tcPr>
          <w:p w14:paraId="6D4C6683" w14:textId="77777777" w:rsidR="0066238E" w:rsidRDefault="00000AE9">
            <w:pPr>
              <w:pStyle w:val="Compact"/>
              <w:jc w:val="right"/>
            </w:pPr>
            <w:r>
              <w:t>0.22</w:t>
            </w:r>
          </w:p>
        </w:tc>
        <w:tc>
          <w:tcPr>
            <w:tcW w:w="0" w:type="auto"/>
          </w:tcPr>
          <w:p w14:paraId="2705ACF2" w14:textId="77777777" w:rsidR="0066238E" w:rsidRDefault="00000AE9">
            <w:pPr>
              <w:pStyle w:val="Compact"/>
              <w:jc w:val="right"/>
            </w:pPr>
            <w:r>
              <w:t>5.31</w:t>
            </w:r>
          </w:p>
        </w:tc>
        <w:tc>
          <w:tcPr>
            <w:tcW w:w="0" w:type="auto"/>
          </w:tcPr>
          <w:p w14:paraId="1FC89569" w14:textId="77777777" w:rsidR="0066238E" w:rsidRDefault="00000AE9">
            <w:pPr>
              <w:pStyle w:val="Compact"/>
              <w:jc w:val="right"/>
            </w:pPr>
            <w:r>
              <w:t>5.48</w:t>
            </w:r>
          </w:p>
        </w:tc>
        <w:tc>
          <w:tcPr>
            <w:tcW w:w="0" w:type="auto"/>
          </w:tcPr>
          <w:p w14:paraId="6D189A49" w14:textId="77777777" w:rsidR="0066238E" w:rsidRDefault="00000AE9">
            <w:pPr>
              <w:pStyle w:val="Compact"/>
              <w:jc w:val="right"/>
            </w:pPr>
            <w:r>
              <w:t>5.69</w:t>
            </w:r>
          </w:p>
        </w:tc>
        <w:tc>
          <w:tcPr>
            <w:tcW w:w="0" w:type="auto"/>
          </w:tcPr>
          <w:p w14:paraId="63E3C4C0" w14:textId="77777777" w:rsidR="0066238E" w:rsidRDefault="00000AE9">
            <w:pPr>
              <w:pStyle w:val="Compact"/>
              <w:jc w:val="right"/>
            </w:pPr>
            <w:r>
              <w:t>5.87</w:t>
            </w:r>
          </w:p>
        </w:tc>
        <w:tc>
          <w:tcPr>
            <w:tcW w:w="0" w:type="auto"/>
          </w:tcPr>
          <w:p w14:paraId="33FFD8AF" w14:textId="77777777" w:rsidR="0066238E" w:rsidRDefault="00000AE9">
            <w:pPr>
              <w:pStyle w:val="Compact"/>
              <w:jc w:val="right"/>
            </w:pPr>
            <w:r>
              <w:t>6.19</w:t>
            </w:r>
          </w:p>
        </w:tc>
        <w:tc>
          <w:tcPr>
            <w:tcW w:w="0" w:type="auto"/>
          </w:tcPr>
          <w:p w14:paraId="792890BB" w14:textId="77777777" w:rsidR="0066238E" w:rsidRDefault="00000AE9">
            <w:pPr>
              <w:pStyle w:val="Compact"/>
            </w:pPr>
            <w:r>
              <w:rPr>
                <w:rFonts w:ascii="MS Gothic" w:eastAsia="MS Gothic" w:hAnsi="MS Gothic" w:cs="MS Gothic" w:hint="eastAsia"/>
              </w:rPr>
              <w:t>▆▃▇▃▃</w:t>
            </w:r>
          </w:p>
        </w:tc>
      </w:tr>
      <w:tr w:rsidR="0066238E" w14:paraId="556F6C09" w14:textId="77777777" w:rsidTr="00C06A68">
        <w:tc>
          <w:tcPr>
            <w:tcW w:w="829" w:type="pct"/>
          </w:tcPr>
          <w:p w14:paraId="1134A36A" w14:textId="77777777" w:rsidR="0066238E" w:rsidRDefault="00000AE9">
            <w:pPr>
              <w:pStyle w:val="Compact"/>
            </w:pPr>
            <w:r>
              <w:t>DEPO 3M</w:t>
            </w:r>
          </w:p>
        </w:tc>
        <w:tc>
          <w:tcPr>
            <w:tcW w:w="628" w:type="pct"/>
          </w:tcPr>
          <w:p w14:paraId="2B6DE2F0" w14:textId="77777777" w:rsidR="0066238E" w:rsidRDefault="00000AE9">
            <w:pPr>
              <w:pStyle w:val="Compact"/>
              <w:jc w:val="right"/>
            </w:pPr>
            <w:r>
              <w:t>0</w:t>
            </w:r>
          </w:p>
        </w:tc>
        <w:tc>
          <w:tcPr>
            <w:tcW w:w="0" w:type="auto"/>
          </w:tcPr>
          <w:p w14:paraId="31A7EB54" w14:textId="77777777" w:rsidR="0066238E" w:rsidRDefault="00000AE9">
            <w:pPr>
              <w:pStyle w:val="Compact"/>
              <w:jc w:val="right"/>
            </w:pPr>
            <w:r>
              <w:t>1</w:t>
            </w:r>
          </w:p>
        </w:tc>
        <w:tc>
          <w:tcPr>
            <w:tcW w:w="0" w:type="auto"/>
          </w:tcPr>
          <w:p w14:paraId="11FBBCB3" w14:textId="77777777" w:rsidR="0066238E" w:rsidRDefault="00000AE9">
            <w:pPr>
              <w:pStyle w:val="Compact"/>
              <w:jc w:val="right"/>
            </w:pPr>
            <w:r>
              <w:t>5.75</w:t>
            </w:r>
          </w:p>
        </w:tc>
        <w:tc>
          <w:tcPr>
            <w:tcW w:w="0" w:type="auto"/>
          </w:tcPr>
          <w:p w14:paraId="0182E7F0" w14:textId="77777777" w:rsidR="0066238E" w:rsidRDefault="00000AE9">
            <w:pPr>
              <w:pStyle w:val="Compact"/>
              <w:jc w:val="right"/>
            </w:pPr>
            <w:r>
              <w:t>0.24</w:t>
            </w:r>
          </w:p>
        </w:tc>
        <w:tc>
          <w:tcPr>
            <w:tcW w:w="0" w:type="auto"/>
          </w:tcPr>
          <w:p w14:paraId="16088B8D" w14:textId="77777777" w:rsidR="0066238E" w:rsidRDefault="00000AE9">
            <w:pPr>
              <w:pStyle w:val="Compact"/>
              <w:jc w:val="right"/>
            </w:pPr>
            <w:r>
              <w:t>5.25</w:t>
            </w:r>
          </w:p>
        </w:tc>
        <w:tc>
          <w:tcPr>
            <w:tcW w:w="0" w:type="auto"/>
          </w:tcPr>
          <w:p w14:paraId="60DE5DE3" w14:textId="77777777" w:rsidR="0066238E" w:rsidRDefault="00000AE9">
            <w:pPr>
              <w:pStyle w:val="Compact"/>
              <w:jc w:val="right"/>
            </w:pPr>
            <w:r>
              <w:t>5.57</w:t>
            </w:r>
          </w:p>
        </w:tc>
        <w:tc>
          <w:tcPr>
            <w:tcW w:w="0" w:type="auto"/>
          </w:tcPr>
          <w:p w14:paraId="4DC4C59D" w14:textId="77777777" w:rsidR="0066238E" w:rsidRDefault="00000AE9">
            <w:pPr>
              <w:pStyle w:val="Compact"/>
              <w:jc w:val="right"/>
            </w:pPr>
            <w:r>
              <w:t>5.70</w:t>
            </w:r>
          </w:p>
        </w:tc>
        <w:tc>
          <w:tcPr>
            <w:tcW w:w="0" w:type="auto"/>
          </w:tcPr>
          <w:p w14:paraId="10DDE8A9" w14:textId="77777777" w:rsidR="0066238E" w:rsidRDefault="00000AE9">
            <w:pPr>
              <w:pStyle w:val="Compact"/>
              <w:jc w:val="right"/>
            </w:pPr>
            <w:r>
              <w:t>5.88</w:t>
            </w:r>
          </w:p>
        </w:tc>
        <w:tc>
          <w:tcPr>
            <w:tcW w:w="0" w:type="auto"/>
          </w:tcPr>
          <w:p w14:paraId="2C335FF5" w14:textId="77777777" w:rsidR="0066238E" w:rsidRDefault="00000AE9">
            <w:pPr>
              <w:pStyle w:val="Compact"/>
              <w:jc w:val="right"/>
            </w:pPr>
            <w:r>
              <w:t>6.50</w:t>
            </w:r>
          </w:p>
        </w:tc>
        <w:tc>
          <w:tcPr>
            <w:tcW w:w="0" w:type="auto"/>
          </w:tcPr>
          <w:p w14:paraId="49F4F532" w14:textId="77777777" w:rsidR="0066238E" w:rsidRDefault="00000AE9">
            <w:pPr>
              <w:pStyle w:val="Compact"/>
            </w:pPr>
            <w:r>
              <w:rPr>
                <w:rFonts w:ascii="MS Gothic" w:eastAsia="MS Gothic" w:hAnsi="MS Gothic" w:cs="MS Gothic" w:hint="eastAsia"/>
              </w:rPr>
              <w:t>▂▇▅▂▁</w:t>
            </w:r>
          </w:p>
        </w:tc>
      </w:tr>
      <w:tr w:rsidR="0066238E" w14:paraId="4EDE4DF4" w14:textId="77777777" w:rsidTr="00C06A68">
        <w:tc>
          <w:tcPr>
            <w:tcW w:w="829" w:type="pct"/>
          </w:tcPr>
          <w:p w14:paraId="2E906C30" w14:textId="77777777" w:rsidR="0066238E" w:rsidRDefault="00000AE9">
            <w:pPr>
              <w:pStyle w:val="Compact"/>
            </w:pPr>
            <w:r>
              <w:t>DEPO 6M</w:t>
            </w:r>
          </w:p>
        </w:tc>
        <w:tc>
          <w:tcPr>
            <w:tcW w:w="628" w:type="pct"/>
          </w:tcPr>
          <w:p w14:paraId="75933BE2" w14:textId="77777777" w:rsidR="0066238E" w:rsidRDefault="00000AE9">
            <w:pPr>
              <w:pStyle w:val="Compact"/>
              <w:jc w:val="right"/>
            </w:pPr>
            <w:r>
              <w:t>0</w:t>
            </w:r>
          </w:p>
        </w:tc>
        <w:tc>
          <w:tcPr>
            <w:tcW w:w="0" w:type="auto"/>
          </w:tcPr>
          <w:p w14:paraId="2C6D5420" w14:textId="77777777" w:rsidR="0066238E" w:rsidRDefault="00000AE9">
            <w:pPr>
              <w:pStyle w:val="Compact"/>
              <w:jc w:val="right"/>
            </w:pPr>
            <w:r>
              <w:t>1</w:t>
            </w:r>
          </w:p>
        </w:tc>
        <w:tc>
          <w:tcPr>
            <w:tcW w:w="0" w:type="auto"/>
          </w:tcPr>
          <w:p w14:paraId="79410F63" w14:textId="77777777" w:rsidR="0066238E" w:rsidRDefault="00000AE9">
            <w:pPr>
              <w:pStyle w:val="Compact"/>
              <w:jc w:val="right"/>
            </w:pPr>
            <w:r>
              <w:t>5.82</w:t>
            </w:r>
          </w:p>
        </w:tc>
        <w:tc>
          <w:tcPr>
            <w:tcW w:w="0" w:type="auto"/>
          </w:tcPr>
          <w:p w14:paraId="4FF838E8" w14:textId="77777777" w:rsidR="0066238E" w:rsidRDefault="00000AE9">
            <w:pPr>
              <w:pStyle w:val="Compact"/>
              <w:jc w:val="right"/>
            </w:pPr>
            <w:r>
              <w:t>0.30</w:t>
            </w:r>
          </w:p>
        </w:tc>
        <w:tc>
          <w:tcPr>
            <w:tcW w:w="0" w:type="auto"/>
          </w:tcPr>
          <w:p w14:paraId="00AC0483" w14:textId="77777777" w:rsidR="0066238E" w:rsidRDefault="00000AE9">
            <w:pPr>
              <w:pStyle w:val="Compact"/>
              <w:jc w:val="right"/>
            </w:pPr>
            <w:r>
              <w:t>5.12</w:t>
            </w:r>
          </w:p>
        </w:tc>
        <w:tc>
          <w:tcPr>
            <w:tcW w:w="0" w:type="auto"/>
          </w:tcPr>
          <w:p w14:paraId="6235BC1A" w14:textId="77777777" w:rsidR="0066238E" w:rsidRDefault="00000AE9">
            <w:pPr>
              <w:pStyle w:val="Compact"/>
              <w:jc w:val="right"/>
            </w:pPr>
            <w:r>
              <w:t>5.66</w:t>
            </w:r>
          </w:p>
        </w:tc>
        <w:tc>
          <w:tcPr>
            <w:tcW w:w="0" w:type="auto"/>
          </w:tcPr>
          <w:p w14:paraId="427E1939" w14:textId="77777777" w:rsidR="0066238E" w:rsidRDefault="00000AE9">
            <w:pPr>
              <w:pStyle w:val="Compact"/>
              <w:jc w:val="right"/>
            </w:pPr>
            <w:r>
              <w:t>5.78</w:t>
            </w:r>
          </w:p>
        </w:tc>
        <w:tc>
          <w:tcPr>
            <w:tcW w:w="0" w:type="auto"/>
          </w:tcPr>
          <w:p w14:paraId="7A9A7499" w14:textId="77777777" w:rsidR="0066238E" w:rsidRDefault="00000AE9">
            <w:pPr>
              <w:pStyle w:val="Compact"/>
              <w:jc w:val="right"/>
            </w:pPr>
            <w:r>
              <w:t>5.91</w:t>
            </w:r>
          </w:p>
        </w:tc>
        <w:tc>
          <w:tcPr>
            <w:tcW w:w="0" w:type="auto"/>
          </w:tcPr>
          <w:p w14:paraId="12780A12" w14:textId="77777777" w:rsidR="0066238E" w:rsidRDefault="00000AE9">
            <w:pPr>
              <w:pStyle w:val="Compact"/>
              <w:jc w:val="right"/>
            </w:pPr>
            <w:r>
              <w:t>7.00</w:t>
            </w:r>
          </w:p>
        </w:tc>
        <w:tc>
          <w:tcPr>
            <w:tcW w:w="0" w:type="auto"/>
          </w:tcPr>
          <w:p w14:paraId="22270B04" w14:textId="77777777" w:rsidR="0066238E" w:rsidRDefault="00000AE9">
            <w:pPr>
              <w:pStyle w:val="Compact"/>
            </w:pPr>
            <w:r>
              <w:rPr>
                <w:rFonts w:ascii="Cambria Math" w:hAnsi="Cambria Math" w:cs="Cambria Math"/>
              </w:rPr>
              <w:t>▁</w:t>
            </w:r>
            <w:r>
              <w:rPr>
                <w:rFonts w:ascii="MS Gothic" w:eastAsia="MS Gothic" w:hAnsi="MS Gothic" w:cs="MS Gothic" w:hint="eastAsia"/>
              </w:rPr>
              <w:t>▇▃▁▁</w:t>
            </w:r>
          </w:p>
        </w:tc>
      </w:tr>
      <w:tr w:rsidR="0066238E" w14:paraId="71E0055B" w14:textId="77777777" w:rsidTr="00C06A68">
        <w:tc>
          <w:tcPr>
            <w:tcW w:w="829" w:type="pct"/>
          </w:tcPr>
          <w:p w14:paraId="416157A4" w14:textId="77777777" w:rsidR="0066238E" w:rsidRDefault="00000AE9">
            <w:pPr>
              <w:pStyle w:val="Compact"/>
            </w:pPr>
            <w:r>
              <w:t>DEPO 12M</w:t>
            </w:r>
          </w:p>
        </w:tc>
        <w:tc>
          <w:tcPr>
            <w:tcW w:w="628" w:type="pct"/>
          </w:tcPr>
          <w:p w14:paraId="4E6C0BCA" w14:textId="77777777" w:rsidR="0066238E" w:rsidRDefault="00000AE9">
            <w:pPr>
              <w:pStyle w:val="Compact"/>
              <w:jc w:val="right"/>
            </w:pPr>
            <w:r>
              <w:t>0</w:t>
            </w:r>
          </w:p>
        </w:tc>
        <w:tc>
          <w:tcPr>
            <w:tcW w:w="0" w:type="auto"/>
          </w:tcPr>
          <w:p w14:paraId="220D1CBA" w14:textId="77777777" w:rsidR="0066238E" w:rsidRDefault="00000AE9">
            <w:pPr>
              <w:pStyle w:val="Compact"/>
              <w:jc w:val="right"/>
            </w:pPr>
            <w:r>
              <w:t>1</w:t>
            </w:r>
          </w:p>
        </w:tc>
        <w:tc>
          <w:tcPr>
            <w:tcW w:w="0" w:type="auto"/>
          </w:tcPr>
          <w:p w14:paraId="6C13C4F7" w14:textId="77777777" w:rsidR="0066238E" w:rsidRDefault="00000AE9">
            <w:pPr>
              <w:pStyle w:val="Compact"/>
              <w:jc w:val="right"/>
            </w:pPr>
            <w:r>
              <w:t>5.99</w:t>
            </w:r>
          </w:p>
        </w:tc>
        <w:tc>
          <w:tcPr>
            <w:tcW w:w="0" w:type="auto"/>
          </w:tcPr>
          <w:p w14:paraId="4D7816D0" w14:textId="77777777" w:rsidR="0066238E" w:rsidRDefault="00000AE9">
            <w:pPr>
              <w:pStyle w:val="Compact"/>
              <w:jc w:val="right"/>
            </w:pPr>
            <w:r>
              <w:t>0.42</w:t>
            </w:r>
          </w:p>
        </w:tc>
        <w:tc>
          <w:tcPr>
            <w:tcW w:w="0" w:type="auto"/>
          </w:tcPr>
          <w:p w14:paraId="131016BC" w14:textId="77777777" w:rsidR="0066238E" w:rsidRDefault="00000AE9">
            <w:pPr>
              <w:pStyle w:val="Compact"/>
              <w:jc w:val="right"/>
            </w:pPr>
            <w:r>
              <w:t>5.00</w:t>
            </w:r>
          </w:p>
        </w:tc>
        <w:tc>
          <w:tcPr>
            <w:tcW w:w="0" w:type="auto"/>
          </w:tcPr>
          <w:p w14:paraId="6B44F6B9" w14:textId="77777777" w:rsidR="0066238E" w:rsidRDefault="00000AE9">
            <w:pPr>
              <w:pStyle w:val="Compact"/>
              <w:jc w:val="right"/>
            </w:pPr>
            <w:r>
              <w:t>5.79</w:t>
            </w:r>
          </w:p>
        </w:tc>
        <w:tc>
          <w:tcPr>
            <w:tcW w:w="0" w:type="auto"/>
          </w:tcPr>
          <w:p w14:paraId="4FB9FB89" w14:textId="77777777" w:rsidR="0066238E" w:rsidRDefault="00000AE9">
            <w:pPr>
              <w:pStyle w:val="Compact"/>
              <w:jc w:val="right"/>
            </w:pPr>
            <w:r>
              <w:t>5.91</w:t>
            </w:r>
          </w:p>
        </w:tc>
        <w:tc>
          <w:tcPr>
            <w:tcW w:w="0" w:type="auto"/>
          </w:tcPr>
          <w:p w14:paraId="2CF39901" w14:textId="77777777" w:rsidR="0066238E" w:rsidRDefault="00000AE9">
            <w:pPr>
              <w:pStyle w:val="Compact"/>
              <w:jc w:val="right"/>
            </w:pPr>
            <w:r>
              <w:t>6.09</w:t>
            </w:r>
          </w:p>
        </w:tc>
        <w:tc>
          <w:tcPr>
            <w:tcW w:w="0" w:type="auto"/>
          </w:tcPr>
          <w:p w14:paraId="184173DD" w14:textId="77777777" w:rsidR="0066238E" w:rsidRDefault="00000AE9">
            <w:pPr>
              <w:pStyle w:val="Compact"/>
              <w:jc w:val="right"/>
            </w:pPr>
            <w:r>
              <w:t>7.81</w:t>
            </w:r>
          </w:p>
        </w:tc>
        <w:tc>
          <w:tcPr>
            <w:tcW w:w="0" w:type="auto"/>
          </w:tcPr>
          <w:p w14:paraId="2206971D" w14:textId="77777777" w:rsidR="0066238E" w:rsidRDefault="00000AE9">
            <w:pPr>
              <w:pStyle w:val="Compact"/>
            </w:pPr>
            <w:r>
              <w:rPr>
                <w:rFonts w:ascii="Cambria Math" w:hAnsi="Cambria Math" w:cs="Cambria Math"/>
              </w:rPr>
              <w:t>▁</w:t>
            </w:r>
            <w:r>
              <w:rPr>
                <w:rFonts w:ascii="MS Gothic" w:eastAsia="MS Gothic" w:hAnsi="MS Gothic" w:cs="MS Gothic" w:hint="eastAsia"/>
              </w:rPr>
              <w:t>▇▂▁▁</w:t>
            </w:r>
          </w:p>
        </w:tc>
      </w:tr>
      <w:tr w:rsidR="0066238E" w14:paraId="0A75194E" w14:textId="77777777" w:rsidTr="00C06A68">
        <w:tc>
          <w:tcPr>
            <w:tcW w:w="829" w:type="pct"/>
          </w:tcPr>
          <w:p w14:paraId="3A3A5B63" w14:textId="77777777" w:rsidR="0066238E" w:rsidRDefault="00000AE9">
            <w:pPr>
              <w:pStyle w:val="Compact"/>
            </w:pPr>
            <w:r>
              <w:t>IRS 2Y</w:t>
            </w:r>
          </w:p>
        </w:tc>
        <w:tc>
          <w:tcPr>
            <w:tcW w:w="628" w:type="pct"/>
          </w:tcPr>
          <w:p w14:paraId="6BD0AB05" w14:textId="77777777" w:rsidR="0066238E" w:rsidRDefault="00000AE9">
            <w:pPr>
              <w:pStyle w:val="Compact"/>
              <w:jc w:val="right"/>
            </w:pPr>
            <w:r>
              <w:t>0</w:t>
            </w:r>
          </w:p>
        </w:tc>
        <w:tc>
          <w:tcPr>
            <w:tcW w:w="0" w:type="auto"/>
          </w:tcPr>
          <w:p w14:paraId="3F3DD8A6" w14:textId="77777777" w:rsidR="0066238E" w:rsidRDefault="00000AE9">
            <w:pPr>
              <w:pStyle w:val="Compact"/>
              <w:jc w:val="right"/>
            </w:pPr>
            <w:r>
              <w:t>1</w:t>
            </w:r>
          </w:p>
        </w:tc>
        <w:tc>
          <w:tcPr>
            <w:tcW w:w="0" w:type="auto"/>
          </w:tcPr>
          <w:p w14:paraId="42AD3FA2" w14:textId="77777777" w:rsidR="0066238E" w:rsidRDefault="00000AE9">
            <w:pPr>
              <w:pStyle w:val="Compact"/>
              <w:jc w:val="right"/>
            </w:pPr>
            <w:r>
              <w:t>6.15</w:t>
            </w:r>
          </w:p>
        </w:tc>
        <w:tc>
          <w:tcPr>
            <w:tcW w:w="0" w:type="auto"/>
          </w:tcPr>
          <w:p w14:paraId="0B6EEFD7" w14:textId="77777777" w:rsidR="0066238E" w:rsidRDefault="00000AE9">
            <w:pPr>
              <w:pStyle w:val="Compact"/>
              <w:jc w:val="right"/>
            </w:pPr>
            <w:r>
              <w:t>0.51</w:t>
            </w:r>
          </w:p>
        </w:tc>
        <w:tc>
          <w:tcPr>
            <w:tcW w:w="0" w:type="auto"/>
          </w:tcPr>
          <w:p w14:paraId="39F3B13F" w14:textId="77777777" w:rsidR="0066238E" w:rsidRDefault="00000AE9">
            <w:pPr>
              <w:pStyle w:val="Compact"/>
              <w:jc w:val="right"/>
            </w:pPr>
            <w:r>
              <w:t>4.92</w:t>
            </w:r>
          </w:p>
        </w:tc>
        <w:tc>
          <w:tcPr>
            <w:tcW w:w="0" w:type="auto"/>
          </w:tcPr>
          <w:p w14:paraId="54E382D2" w14:textId="77777777" w:rsidR="0066238E" w:rsidRDefault="00000AE9">
            <w:pPr>
              <w:pStyle w:val="Compact"/>
              <w:jc w:val="right"/>
            </w:pPr>
            <w:r>
              <w:t>5.86</w:t>
            </w:r>
          </w:p>
        </w:tc>
        <w:tc>
          <w:tcPr>
            <w:tcW w:w="0" w:type="auto"/>
          </w:tcPr>
          <w:p w14:paraId="371E9053" w14:textId="77777777" w:rsidR="0066238E" w:rsidRDefault="00000AE9">
            <w:pPr>
              <w:pStyle w:val="Compact"/>
              <w:jc w:val="right"/>
            </w:pPr>
            <w:r>
              <w:t>6.08</w:t>
            </w:r>
          </w:p>
        </w:tc>
        <w:tc>
          <w:tcPr>
            <w:tcW w:w="0" w:type="auto"/>
          </w:tcPr>
          <w:p w14:paraId="2A93986B" w14:textId="77777777" w:rsidR="0066238E" w:rsidRDefault="00000AE9">
            <w:pPr>
              <w:pStyle w:val="Compact"/>
              <w:jc w:val="right"/>
            </w:pPr>
            <w:r>
              <w:t>6.32</w:t>
            </w:r>
          </w:p>
        </w:tc>
        <w:tc>
          <w:tcPr>
            <w:tcW w:w="0" w:type="auto"/>
          </w:tcPr>
          <w:p w14:paraId="7B4B19A8" w14:textId="77777777" w:rsidR="0066238E" w:rsidRDefault="00000AE9">
            <w:pPr>
              <w:pStyle w:val="Compact"/>
              <w:jc w:val="right"/>
            </w:pPr>
            <w:r>
              <w:t>8.22</w:t>
            </w:r>
          </w:p>
        </w:tc>
        <w:tc>
          <w:tcPr>
            <w:tcW w:w="0" w:type="auto"/>
          </w:tcPr>
          <w:p w14:paraId="0B244B9A" w14:textId="77777777" w:rsidR="0066238E" w:rsidRDefault="00000AE9">
            <w:pPr>
              <w:pStyle w:val="Compact"/>
            </w:pPr>
            <w:r>
              <w:rPr>
                <w:rFonts w:ascii="Cambria Math" w:hAnsi="Cambria Math" w:cs="Cambria Math"/>
              </w:rPr>
              <w:t>▁</w:t>
            </w:r>
            <w:r>
              <w:rPr>
                <w:rFonts w:ascii="MS Gothic" w:eastAsia="MS Gothic" w:hAnsi="MS Gothic" w:cs="MS Gothic" w:hint="eastAsia"/>
              </w:rPr>
              <w:t>▇▃▁▁</w:t>
            </w:r>
          </w:p>
        </w:tc>
      </w:tr>
      <w:tr w:rsidR="0066238E" w14:paraId="1FB4A379" w14:textId="77777777" w:rsidTr="00C06A68">
        <w:tc>
          <w:tcPr>
            <w:tcW w:w="829" w:type="pct"/>
          </w:tcPr>
          <w:p w14:paraId="49588E51" w14:textId="77777777" w:rsidR="0066238E" w:rsidRDefault="00000AE9">
            <w:pPr>
              <w:pStyle w:val="Compact"/>
            </w:pPr>
            <w:r>
              <w:t>IRS 3Y</w:t>
            </w:r>
          </w:p>
        </w:tc>
        <w:tc>
          <w:tcPr>
            <w:tcW w:w="628" w:type="pct"/>
          </w:tcPr>
          <w:p w14:paraId="6558901E" w14:textId="77777777" w:rsidR="0066238E" w:rsidRDefault="00000AE9">
            <w:pPr>
              <w:pStyle w:val="Compact"/>
              <w:jc w:val="right"/>
            </w:pPr>
            <w:r>
              <w:t>0</w:t>
            </w:r>
          </w:p>
        </w:tc>
        <w:tc>
          <w:tcPr>
            <w:tcW w:w="0" w:type="auto"/>
          </w:tcPr>
          <w:p w14:paraId="119DAECF" w14:textId="77777777" w:rsidR="0066238E" w:rsidRDefault="00000AE9">
            <w:pPr>
              <w:pStyle w:val="Compact"/>
              <w:jc w:val="right"/>
            </w:pPr>
            <w:r>
              <w:t>1</w:t>
            </w:r>
          </w:p>
        </w:tc>
        <w:tc>
          <w:tcPr>
            <w:tcW w:w="0" w:type="auto"/>
          </w:tcPr>
          <w:p w14:paraId="694801DB" w14:textId="77777777" w:rsidR="0066238E" w:rsidRDefault="00000AE9">
            <w:pPr>
              <w:pStyle w:val="Compact"/>
              <w:jc w:val="right"/>
            </w:pPr>
            <w:r>
              <w:t>6.28</w:t>
            </w:r>
          </w:p>
        </w:tc>
        <w:tc>
          <w:tcPr>
            <w:tcW w:w="0" w:type="auto"/>
          </w:tcPr>
          <w:p w14:paraId="0A7C136A" w14:textId="77777777" w:rsidR="0066238E" w:rsidRDefault="00000AE9">
            <w:pPr>
              <w:pStyle w:val="Compact"/>
              <w:jc w:val="right"/>
            </w:pPr>
            <w:r>
              <w:t>0.53</w:t>
            </w:r>
          </w:p>
        </w:tc>
        <w:tc>
          <w:tcPr>
            <w:tcW w:w="0" w:type="auto"/>
          </w:tcPr>
          <w:p w14:paraId="55018FB7" w14:textId="77777777" w:rsidR="0066238E" w:rsidRDefault="00000AE9">
            <w:pPr>
              <w:pStyle w:val="Compact"/>
              <w:jc w:val="right"/>
            </w:pPr>
            <w:r>
              <w:t>5.08</w:t>
            </w:r>
          </w:p>
        </w:tc>
        <w:tc>
          <w:tcPr>
            <w:tcW w:w="0" w:type="auto"/>
          </w:tcPr>
          <w:p w14:paraId="37F340E3" w14:textId="77777777" w:rsidR="0066238E" w:rsidRDefault="00000AE9">
            <w:pPr>
              <w:pStyle w:val="Compact"/>
              <w:jc w:val="right"/>
            </w:pPr>
            <w:r>
              <w:t>5.96</w:t>
            </w:r>
          </w:p>
        </w:tc>
        <w:tc>
          <w:tcPr>
            <w:tcW w:w="0" w:type="auto"/>
          </w:tcPr>
          <w:p w14:paraId="0A0D2367" w14:textId="77777777" w:rsidR="0066238E" w:rsidRDefault="00000AE9">
            <w:pPr>
              <w:pStyle w:val="Compact"/>
              <w:jc w:val="right"/>
            </w:pPr>
            <w:r>
              <w:t>6.21</w:t>
            </w:r>
          </w:p>
        </w:tc>
        <w:tc>
          <w:tcPr>
            <w:tcW w:w="0" w:type="auto"/>
          </w:tcPr>
          <w:p w14:paraId="3513DF37" w14:textId="77777777" w:rsidR="0066238E" w:rsidRDefault="00000AE9">
            <w:pPr>
              <w:pStyle w:val="Compact"/>
              <w:jc w:val="right"/>
            </w:pPr>
            <w:r>
              <w:t>6.49</w:t>
            </w:r>
          </w:p>
        </w:tc>
        <w:tc>
          <w:tcPr>
            <w:tcW w:w="0" w:type="auto"/>
          </w:tcPr>
          <w:p w14:paraId="56670EAE" w14:textId="77777777" w:rsidR="0066238E" w:rsidRDefault="00000AE9">
            <w:pPr>
              <w:pStyle w:val="Compact"/>
              <w:jc w:val="right"/>
            </w:pPr>
            <w:r>
              <w:t>8.28</w:t>
            </w:r>
          </w:p>
        </w:tc>
        <w:tc>
          <w:tcPr>
            <w:tcW w:w="0" w:type="auto"/>
          </w:tcPr>
          <w:p w14:paraId="4AAB10E9" w14:textId="77777777" w:rsidR="0066238E" w:rsidRDefault="00000AE9">
            <w:pPr>
              <w:pStyle w:val="Compact"/>
            </w:pPr>
            <w:r>
              <w:rPr>
                <w:rFonts w:ascii="Cambria Math" w:hAnsi="Cambria Math" w:cs="Cambria Math"/>
              </w:rPr>
              <w:t>▁</w:t>
            </w:r>
            <w:r>
              <w:rPr>
                <w:rFonts w:ascii="MS Gothic" w:eastAsia="MS Gothic" w:hAnsi="MS Gothic" w:cs="MS Gothic" w:hint="eastAsia"/>
              </w:rPr>
              <w:t>▇▅▁▁</w:t>
            </w:r>
          </w:p>
        </w:tc>
      </w:tr>
      <w:tr w:rsidR="0066238E" w14:paraId="676C36A9" w14:textId="77777777" w:rsidTr="00C06A68">
        <w:tc>
          <w:tcPr>
            <w:tcW w:w="829" w:type="pct"/>
          </w:tcPr>
          <w:p w14:paraId="6FF010DA" w14:textId="77777777" w:rsidR="0066238E" w:rsidRDefault="00000AE9">
            <w:pPr>
              <w:pStyle w:val="Compact"/>
            </w:pPr>
            <w:r>
              <w:t>IRS 4Y</w:t>
            </w:r>
          </w:p>
        </w:tc>
        <w:tc>
          <w:tcPr>
            <w:tcW w:w="628" w:type="pct"/>
          </w:tcPr>
          <w:p w14:paraId="67C3685D" w14:textId="77777777" w:rsidR="0066238E" w:rsidRDefault="00000AE9">
            <w:pPr>
              <w:pStyle w:val="Compact"/>
              <w:jc w:val="right"/>
            </w:pPr>
            <w:r>
              <w:t>0</w:t>
            </w:r>
          </w:p>
        </w:tc>
        <w:tc>
          <w:tcPr>
            <w:tcW w:w="0" w:type="auto"/>
          </w:tcPr>
          <w:p w14:paraId="4E87AAA6" w14:textId="77777777" w:rsidR="0066238E" w:rsidRDefault="00000AE9">
            <w:pPr>
              <w:pStyle w:val="Compact"/>
              <w:jc w:val="right"/>
            </w:pPr>
            <w:r>
              <w:t>1</w:t>
            </w:r>
          </w:p>
        </w:tc>
        <w:tc>
          <w:tcPr>
            <w:tcW w:w="0" w:type="auto"/>
          </w:tcPr>
          <w:p w14:paraId="45AA8D9A" w14:textId="77777777" w:rsidR="0066238E" w:rsidRDefault="00000AE9">
            <w:pPr>
              <w:pStyle w:val="Compact"/>
              <w:jc w:val="right"/>
            </w:pPr>
            <w:r>
              <w:t>6.37</w:t>
            </w:r>
          </w:p>
        </w:tc>
        <w:tc>
          <w:tcPr>
            <w:tcW w:w="0" w:type="auto"/>
          </w:tcPr>
          <w:p w14:paraId="3B072AFB" w14:textId="77777777" w:rsidR="0066238E" w:rsidRDefault="00000AE9">
            <w:pPr>
              <w:pStyle w:val="Compact"/>
              <w:jc w:val="right"/>
            </w:pPr>
            <w:r>
              <w:t>0.53</w:t>
            </w:r>
          </w:p>
        </w:tc>
        <w:tc>
          <w:tcPr>
            <w:tcW w:w="0" w:type="auto"/>
          </w:tcPr>
          <w:p w14:paraId="1D08B774" w14:textId="77777777" w:rsidR="0066238E" w:rsidRDefault="00000AE9">
            <w:pPr>
              <w:pStyle w:val="Compact"/>
              <w:jc w:val="right"/>
            </w:pPr>
            <w:r>
              <w:t>5.26</w:t>
            </w:r>
          </w:p>
        </w:tc>
        <w:tc>
          <w:tcPr>
            <w:tcW w:w="0" w:type="auto"/>
          </w:tcPr>
          <w:p w14:paraId="72728F91" w14:textId="77777777" w:rsidR="0066238E" w:rsidRDefault="00000AE9">
            <w:pPr>
              <w:pStyle w:val="Compact"/>
              <w:jc w:val="right"/>
            </w:pPr>
            <w:r>
              <w:t>6.02</w:t>
            </w:r>
          </w:p>
        </w:tc>
        <w:tc>
          <w:tcPr>
            <w:tcW w:w="0" w:type="auto"/>
          </w:tcPr>
          <w:p w14:paraId="2FFA90E2" w14:textId="77777777" w:rsidR="0066238E" w:rsidRDefault="00000AE9">
            <w:pPr>
              <w:pStyle w:val="Compact"/>
              <w:jc w:val="right"/>
            </w:pPr>
            <w:r>
              <w:t>6.32</w:t>
            </w:r>
          </w:p>
        </w:tc>
        <w:tc>
          <w:tcPr>
            <w:tcW w:w="0" w:type="auto"/>
          </w:tcPr>
          <w:p w14:paraId="3A94F476" w14:textId="77777777" w:rsidR="0066238E" w:rsidRDefault="00000AE9">
            <w:pPr>
              <w:pStyle w:val="Compact"/>
              <w:jc w:val="right"/>
            </w:pPr>
            <w:r>
              <w:t>6.62</w:t>
            </w:r>
          </w:p>
        </w:tc>
        <w:tc>
          <w:tcPr>
            <w:tcW w:w="0" w:type="auto"/>
          </w:tcPr>
          <w:p w14:paraId="7F731BD8" w14:textId="77777777" w:rsidR="0066238E" w:rsidRDefault="00000AE9">
            <w:pPr>
              <w:pStyle w:val="Compact"/>
              <w:jc w:val="right"/>
            </w:pPr>
            <w:r>
              <w:t>8.29</w:t>
            </w:r>
          </w:p>
        </w:tc>
        <w:tc>
          <w:tcPr>
            <w:tcW w:w="0" w:type="auto"/>
          </w:tcPr>
          <w:p w14:paraId="7E002A85" w14:textId="77777777" w:rsidR="0066238E" w:rsidRDefault="00000AE9">
            <w:pPr>
              <w:pStyle w:val="Compact"/>
            </w:pPr>
            <w:r>
              <w:rPr>
                <w:rFonts w:ascii="MS Gothic" w:eastAsia="MS Gothic" w:hAnsi="MS Gothic" w:cs="MS Gothic" w:hint="eastAsia"/>
              </w:rPr>
              <w:t>▂▇▅▁▁</w:t>
            </w:r>
          </w:p>
        </w:tc>
      </w:tr>
      <w:tr w:rsidR="0066238E" w14:paraId="7E1B9410" w14:textId="77777777" w:rsidTr="00C06A68">
        <w:tc>
          <w:tcPr>
            <w:tcW w:w="829" w:type="pct"/>
          </w:tcPr>
          <w:p w14:paraId="3D79E575" w14:textId="77777777" w:rsidR="0066238E" w:rsidRDefault="00000AE9">
            <w:pPr>
              <w:pStyle w:val="Compact"/>
            </w:pPr>
            <w:r>
              <w:lastRenderedPageBreak/>
              <w:t>IRS 5Y</w:t>
            </w:r>
          </w:p>
        </w:tc>
        <w:tc>
          <w:tcPr>
            <w:tcW w:w="628" w:type="pct"/>
          </w:tcPr>
          <w:p w14:paraId="0864A135" w14:textId="77777777" w:rsidR="0066238E" w:rsidRDefault="00000AE9">
            <w:pPr>
              <w:pStyle w:val="Compact"/>
              <w:jc w:val="right"/>
            </w:pPr>
            <w:r>
              <w:t>0</w:t>
            </w:r>
          </w:p>
        </w:tc>
        <w:tc>
          <w:tcPr>
            <w:tcW w:w="0" w:type="auto"/>
          </w:tcPr>
          <w:p w14:paraId="178930B8" w14:textId="77777777" w:rsidR="0066238E" w:rsidRDefault="00000AE9">
            <w:pPr>
              <w:pStyle w:val="Compact"/>
              <w:jc w:val="right"/>
            </w:pPr>
            <w:r>
              <w:t>1</w:t>
            </w:r>
          </w:p>
        </w:tc>
        <w:tc>
          <w:tcPr>
            <w:tcW w:w="0" w:type="auto"/>
          </w:tcPr>
          <w:p w14:paraId="051EBABF" w14:textId="77777777" w:rsidR="0066238E" w:rsidRDefault="00000AE9">
            <w:pPr>
              <w:pStyle w:val="Compact"/>
              <w:jc w:val="right"/>
            </w:pPr>
            <w:r>
              <w:t>6.45</w:t>
            </w:r>
          </w:p>
        </w:tc>
        <w:tc>
          <w:tcPr>
            <w:tcW w:w="0" w:type="auto"/>
          </w:tcPr>
          <w:p w14:paraId="06EED1D6" w14:textId="77777777" w:rsidR="0066238E" w:rsidRDefault="00000AE9">
            <w:pPr>
              <w:pStyle w:val="Compact"/>
              <w:jc w:val="right"/>
            </w:pPr>
            <w:r>
              <w:t>0.53</w:t>
            </w:r>
          </w:p>
        </w:tc>
        <w:tc>
          <w:tcPr>
            <w:tcW w:w="0" w:type="auto"/>
          </w:tcPr>
          <w:p w14:paraId="12F4A4CF" w14:textId="77777777" w:rsidR="0066238E" w:rsidRDefault="00000AE9">
            <w:pPr>
              <w:pStyle w:val="Compact"/>
              <w:jc w:val="right"/>
            </w:pPr>
            <w:r>
              <w:t>5.43</w:t>
            </w:r>
          </w:p>
        </w:tc>
        <w:tc>
          <w:tcPr>
            <w:tcW w:w="0" w:type="auto"/>
          </w:tcPr>
          <w:p w14:paraId="4E63572A" w14:textId="77777777" w:rsidR="0066238E" w:rsidRDefault="00000AE9">
            <w:pPr>
              <w:pStyle w:val="Compact"/>
              <w:jc w:val="right"/>
            </w:pPr>
            <w:r>
              <w:t>6.06</w:t>
            </w:r>
          </w:p>
        </w:tc>
        <w:tc>
          <w:tcPr>
            <w:tcW w:w="0" w:type="auto"/>
          </w:tcPr>
          <w:p w14:paraId="5413C86A" w14:textId="77777777" w:rsidR="0066238E" w:rsidRDefault="00000AE9">
            <w:pPr>
              <w:pStyle w:val="Compact"/>
              <w:jc w:val="right"/>
            </w:pPr>
            <w:r>
              <w:t>6.40</w:t>
            </w:r>
          </w:p>
        </w:tc>
        <w:tc>
          <w:tcPr>
            <w:tcW w:w="0" w:type="auto"/>
          </w:tcPr>
          <w:p w14:paraId="15FC6267" w14:textId="77777777" w:rsidR="0066238E" w:rsidRDefault="00000AE9">
            <w:pPr>
              <w:pStyle w:val="Compact"/>
              <w:jc w:val="right"/>
            </w:pPr>
            <w:r>
              <w:t>6.72</w:t>
            </w:r>
          </w:p>
        </w:tc>
        <w:tc>
          <w:tcPr>
            <w:tcW w:w="0" w:type="auto"/>
          </w:tcPr>
          <w:p w14:paraId="0E57BF5F" w14:textId="77777777" w:rsidR="0066238E" w:rsidRDefault="00000AE9">
            <w:pPr>
              <w:pStyle w:val="Compact"/>
              <w:jc w:val="right"/>
            </w:pPr>
            <w:r>
              <w:t>8.31</w:t>
            </w:r>
          </w:p>
        </w:tc>
        <w:tc>
          <w:tcPr>
            <w:tcW w:w="0" w:type="auto"/>
          </w:tcPr>
          <w:p w14:paraId="57554A98" w14:textId="77777777" w:rsidR="0066238E" w:rsidRDefault="00000AE9">
            <w:pPr>
              <w:pStyle w:val="Compact"/>
            </w:pPr>
            <w:r>
              <w:rPr>
                <w:rFonts w:ascii="MS Gothic" w:eastAsia="MS Gothic" w:hAnsi="MS Gothic" w:cs="MS Gothic" w:hint="eastAsia"/>
              </w:rPr>
              <w:t>▅▇▅▁▁</w:t>
            </w:r>
          </w:p>
        </w:tc>
      </w:tr>
      <w:tr w:rsidR="0066238E" w14:paraId="7A7FEE33" w14:textId="77777777" w:rsidTr="00C06A68">
        <w:tc>
          <w:tcPr>
            <w:tcW w:w="829" w:type="pct"/>
          </w:tcPr>
          <w:p w14:paraId="030C2AC5" w14:textId="77777777" w:rsidR="0066238E" w:rsidRDefault="00000AE9">
            <w:pPr>
              <w:pStyle w:val="Compact"/>
            </w:pPr>
            <w:r>
              <w:t>IRS 7Y</w:t>
            </w:r>
          </w:p>
        </w:tc>
        <w:tc>
          <w:tcPr>
            <w:tcW w:w="628" w:type="pct"/>
          </w:tcPr>
          <w:p w14:paraId="04D16BE9" w14:textId="77777777" w:rsidR="0066238E" w:rsidRDefault="00000AE9">
            <w:pPr>
              <w:pStyle w:val="Compact"/>
              <w:jc w:val="right"/>
            </w:pPr>
            <w:r>
              <w:t>0</w:t>
            </w:r>
          </w:p>
        </w:tc>
        <w:tc>
          <w:tcPr>
            <w:tcW w:w="0" w:type="auto"/>
          </w:tcPr>
          <w:p w14:paraId="712580CB" w14:textId="77777777" w:rsidR="0066238E" w:rsidRDefault="00000AE9">
            <w:pPr>
              <w:pStyle w:val="Compact"/>
              <w:jc w:val="right"/>
            </w:pPr>
            <w:r>
              <w:t>1</w:t>
            </w:r>
          </w:p>
        </w:tc>
        <w:tc>
          <w:tcPr>
            <w:tcW w:w="0" w:type="auto"/>
          </w:tcPr>
          <w:p w14:paraId="46CAD097" w14:textId="77777777" w:rsidR="0066238E" w:rsidRDefault="00000AE9">
            <w:pPr>
              <w:pStyle w:val="Compact"/>
              <w:jc w:val="right"/>
            </w:pPr>
            <w:r>
              <w:t>6.58</w:t>
            </w:r>
          </w:p>
        </w:tc>
        <w:tc>
          <w:tcPr>
            <w:tcW w:w="0" w:type="auto"/>
          </w:tcPr>
          <w:p w14:paraId="6DB10E4A" w14:textId="77777777" w:rsidR="0066238E" w:rsidRDefault="00000AE9">
            <w:pPr>
              <w:pStyle w:val="Compact"/>
              <w:jc w:val="right"/>
            </w:pPr>
            <w:r>
              <w:t>0.53</w:t>
            </w:r>
          </w:p>
        </w:tc>
        <w:tc>
          <w:tcPr>
            <w:tcW w:w="0" w:type="auto"/>
          </w:tcPr>
          <w:p w14:paraId="3C7E1A21" w14:textId="77777777" w:rsidR="0066238E" w:rsidRDefault="00000AE9">
            <w:pPr>
              <w:pStyle w:val="Compact"/>
              <w:jc w:val="right"/>
            </w:pPr>
            <w:r>
              <w:t>5.67</w:t>
            </w:r>
          </w:p>
        </w:tc>
        <w:tc>
          <w:tcPr>
            <w:tcW w:w="0" w:type="auto"/>
          </w:tcPr>
          <w:p w14:paraId="4CBD3788" w14:textId="77777777" w:rsidR="0066238E" w:rsidRDefault="00000AE9">
            <w:pPr>
              <w:pStyle w:val="Compact"/>
              <w:jc w:val="right"/>
            </w:pPr>
            <w:r>
              <w:t>6.14</w:t>
            </w:r>
          </w:p>
        </w:tc>
        <w:tc>
          <w:tcPr>
            <w:tcW w:w="0" w:type="auto"/>
          </w:tcPr>
          <w:p w14:paraId="12084A8E" w14:textId="77777777" w:rsidR="0066238E" w:rsidRDefault="00000AE9">
            <w:pPr>
              <w:pStyle w:val="Compact"/>
              <w:jc w:val="right"/>
            </w:pPr>
            <w:r>
              <w:t>6.54</w:t>
            </w:r>
          </w:p>
        </w:tc>
        <w:tc>
          <w:tcPr>
            <w:tcW w:w="0" w:type="auto"/>
          </w:tcPr>
          <w:p w14:paraId="6320DD82" w14:textId="77777777" w:rsidR="0066238E" w:rsidRDefault="00000AE9">
            <w:pPr>
              <w:pStyle w:val="Compact"/>
              <w:jc w:val="right"/>
            </w:pPr>
            <w:r>
              <w:t>6.88</w:t>
            </w:r>
          </w:p>
        </w:tc>
        <w:tc>
          <w:tcPr>
            <w:tcW w:w="0" w:type="auto"/>
          </w:tcPr>
          <w:p w14:paraId="7EDEBFB4" w14:textId="77777777" w:rsidR="0066238E" w:rsidRDefault="00000AE9">
            <w:pPr>
              <w:pStyle w:val="Compact"/>
              <w:jc w:val="right"/>
            </w:pPr>
            <w:r>
              <w:t>8.33</w:t>
            </w:r>
          </w:p>
        </w:tc>
        <w:tc>
          <w:tcPr>
            <w:tcW w:w="0" w:type="auto"/>
          </w:tcPr>
          <w:p w14:paraId="426D69C8" w14:textId="77777777" w:rsidR="0066238E" w:rsidRDefault="00000AE9">
            <w:pPr>
              <w:pStyle w:val="Compact"/>
            </w:pPr>
            <w:r>
              <w:rPr>
                <w:rFonts w:ascii="MS Gothic" w:eastAsia="MS Gothic" w:hAnsi="MS Gothic" w:cs="MS Gothic" w:hint="eastAsia"/>
              </w:rPr>
              <w:t>▆▇▆▁▁</w:t>
            </w:r>
          </w:p>
        </w:tc>
      </w:tr>
    </w:tbl>
    <w:p w14:paraId="18E224D9" w14:textId="1D41A347" w:rsidR="0066238E" w:rsidRDefault="00000AE9">
      <w:pPr>
        <w:pStyle w:val="Textoindependiente"/>
      </w:pPr>
      <w:proofErr w:type="spellStart"/>
      <w:r>
        <w:t>Tenemos</w:t>
      </w:r>
      <w:proofErr w:type="spellEnd"/>
      <w:r>
        <w:t xml:space="preserve"> 949 </w:t>
      </w:r>
      <w:proofErr w:type="spellStart"/>
      <w:r>
        <w:t>observaciones</w:t>
      </w:r>
      <w:proofErr w:type="spellEnd"/>
      <w:r>
        <w:t xml:space="preserve"> y 9 variables, de los depósitos a 1 mes tenemos 166 valores nulos. La media de los depósitos se sitúa entre el 5.6% y el 6.4%, conforme aumenta el plazo la desviación es mayor, esto tiene sentido porque aumenta el riesgo.</w:t>
      </w:r>
    </w:p>
    <w:p w14:paraId="36AC584C" w14:textId="77777777" w:rsidR="0066238E" w:rsidRDefault="00000AE9">
      <w:r>
        <w:pict w14:anchorId="46790BCA">
          <v:rect id="_x0000_i1033" style="width:0;height:1.5pt" o:hralign="center" o:hrstd="t" o:hr="t"/>
        </w:pict>
      </w:r>
    </w:p>
    <w:p w14:paraId="0CC42FAF" w14:textId="77777777" w:rsidR="0066238E" w:rsidRDefault="00000AE9">
      <w:pPr>
        <w:pStyle w:val="Ttulo3"/>
      </w:pPr>
      <w:bookmarkStart w:id="5" w:name="correlaciones"/>
      <w:r>
        <w:t>Correl</w:t>
      </w:r>
      <w:r>
        <w:t>aciones</w:t>
      </w:r>
      <w:bookmarkEnd w:id="5"/>
    </w:p>
    <w:p w14:paraId="5D65F868" w14:textId="5CC11AC8" w:rsidR="0066238E" w:rsidRPr="00422AA9" w:rsidRDefault="00000AE9">
      <w:pPr>
        <w:pStyle w:val="SourceCode"/>
        <w:rPr>
          <w:b/>
          <w:bCs/>
          <w:sz w:val="18"/>
          <w:szCs w:val="18"/>
        </w:rPr>
      </w:pPr>
      <w:r w:rsidRPr="00422AA9">
        <w:rPr>
          <w:rStyle w:val="VerbatimChar"/>
          <w:b w:val="0"/>
          <w:bCs w:val="0"/>
          <w:sz w:val="20"/>
          <w:szCs w:val="14"/>
        </w:rPr>
        <w:t>##          DEPO 1M DEPO 3M DEPO 6M DEPO 12M IRS 2Y IRS 3Y IRS 4Y IRS 5Y IRS 7Y</w:t>
      </w:r>
      <w:r w:rsidRPr="00422AA9">
        <w:rPr>
          <w:b/>
          <w:bCs/>
          <w:sz w:val="18"/>
          <w:szCs w:val="18"/>
        </w:rPr>
        <w:br/>
      </w:r>
      <w:r w:rsidRPr="00422AA9">
        <w:rPr>
          <w:rStyle w:val="VerbatimChar"/>
          <w:b w:val="0"/>
          <w:bCs w:val="0"/>
          <w:sz w:val="20"/>
          <w:szCs w:val="14"/>
        </w:rPr>
        <w:t>## DEPO 1M     1.00    0.91    0.73     0.49   0.34   0.29   0.26   0.23   0.19</w:t>
      </w:r>
      <w:r w:rsidRPr="00422AA9">
        <w:rPr>
          <w:b/>
          <w:bCs/>
          <w:sz w:val="18"/>
          <w:szCs w:val="18"/>
        </w:rPr>
        <w:br/>
      </w:r>
      <w:r w:rsidRPr="00422AA9">
        <w:rPr>
          <w:rStyle w:val="VerbatimChar"/>
          <w:b w:val="0"/>
          <w:bCs w:val="0"/>
          <w:sz w:val="20"/>
          <w:szCs w:val="14"/>
        </w:rPr>
        <w:t>## DEPO 3M     0.91    1.00    0.93     0.76   0.63   0.59   0.56   0.53   0.50</w:t>
      </w:r>
      <w:r w:rsidRPr="00422AA9">
        <w:rPr>
          <w:b/>
          <w:bCs/>
          <w:sz w:val="18"/>
          <w:szCs w:val="18"/>
        </w:rPr>
        <w:br/>
      </w:r>
      <w:r w:rsidRPr="00422AA9">
        <w:rPr>
          <w:rStyle w:val="VerbatimChar"/>
          <w:b w:val="0"/>
          <w:bCs w:val="0"/>
          <w:sz w:val="20"/>
          <w:szCs w:val="14"/>
        </w:rPr>
        <w:t xml:space="preserve">## DEPO </w:t>
      </w:r>
      <w:r w:rsidRPr="00422AA9">
        <w:rPr>
          <w:rStyle w:val="VerbatimChar"/>
          <w:b w:val="0"/>
          <w:bCs w:val="0"/>
          <w:sz w:val="20"/>
          <w:szCs w:val="14"/>
        </w:rPr>
        <w:t>6M     0.73    0.93    1.00     0.94   0.86   0.82   0.80   0.77   0.73</w:t>
      </w:r>
      <w:r w:rsidRPr="00422AA9">
        <w:rPr>
          <w:b/>
          <w:bCs/>
          <w:sz w:val="18"/>
          <w:szCs w:val="18"/>
        </w:rPr>
        <w:br/>
      </w:r>
      <w:r w:rsidRPr="00422AA9">
        <w:rPr>
          <w:rStyle w:val="VerbatimChar"/>
          <w:b w:val="0"/>
          <w:bCs w:val="0"/>
          <w:sz w:val="20"/>
          <w:szCs w:val="14"/>
        </w:rPr>
        <w:t>## DEPO 12M    0.49    0.76    0.94     1.00   0.97   0.95   0.93   0.91   0.87</w:t>
      </w:r>
      <w:r w:rsidRPr="00422AA9">
        <w:rPr>
          <w:b/>
          <w:bCs/>
          <w:sz w:val="18"/>
          <w:szCs w:val="18"/>
        </w:rPr>
        <w:br/>
      </w:r>
      <w:r w:rsidRPr="00422AA9">
        <w:rPr>
          <w:rStyle w:val="VerbatimChar"/>
          <w:b w:val="0"/>
          <w:bCs w:val="0"/>
          <w:sz w:val="20"/>
          <w:szCs w:val="14"/>
        </w:rPr>
        <w:t>## IRS 2Y      0.34    0.63    0.86     0.97   1.00   0.99   0.98   0.97   0.94</w:t>
      </w:r>
      <w:r w:rsidRPr="00422AA9">
        <w:rPr>
          <w:b/>
          <w:bCs/>
          <w:sz w:val="18"/>
          <w:szCs w:val="18"/>
        </w:rPr>
        <w:br/>
      </w:r>
      <w:r w:rsidRPr="00422AA9">
        <w:rPr>
          <w:rStyle w:val="VerbatimChar"/>
          <w:b w:val="0"/>
          <w:bCs w:val="0"/>
          <w:sz w:val="20"/>
          <w:szCs w:val="14"/>
        </w:rPr>
        <w:t>## IRS 3Y      0.29    0</w:t>
      </w:r>
      <w:r w:rsidRPr="00422AA9">
        <w:rPr>
          <w:rStyle w:val="VerbatimChar"/>
          <w:b w:val="0"/>
          <w:bCs w:val="0"/>
          <w:sz w:val="20"/>
          <w:szCs w:val="14"/>
        </w:rPr>
        <w:t>.59    0.82     0.95   0.99   1.00   1.00   0.99   0.97</w:t>
      </w:r>
      <w:r w:rsidRPr="00422AA9">
        <w:rPr>
          <w:b/>
          <w:bCs/>
          <w:sz w:val="18"/>
          <w:szCs w:val="18"/>
        </w:rPr>
        <w:br/>
      </w:r>
      <w:r w:rsidRPr="00422AA9">
        <w:rPr>
          <w:rStyle w:val="VerbatimChar"/>
          <w:b w:val="0"/>
          <w:bCs w:val="0"/>
          <w:sz w:val="20"/>
          <w:szCs w:val="14"/>
        </w:rPr>
        <w:t>## IRS 4Y      0.26    0.56    0.80     0.93   0.98   1.00   1.00   1.00   0.99</w:t>
      </w:r>
      <w:r w:rsidRPr="00422AA9">
        <w:rPr>
          <w:b/>
          <w:bCs/>
          <w:sz w:val="18"/>
          <w:szCs w:val="18"/>
        </w:rPr>
        <w:br/>
      </w:r>
      <w:r w:rsidRPr="00422AA9">
        <w:rPr>
          <w:rStyle w:val="VerbatimChar"/>
          <w:b w:val="0"/>
          <w:bCs w:val="0"/>
          <w:sz w:val="20"/>
          <w:szCs w:val="14"/>
        </w:rPr>
        <w:t>## IRS 5Y      0.23    0.53    0.77     0.91   0.97   0.99   1.00   1.00   1.00</w:t>
      </w:r>
      <w:r w:rsidRPr="00422AA9">
        <w:rPr>
          <w:b/>
          <w:bCs/>
          <w:sz w:val="18"/>
          <w:szCs w:val="18"/>
        </w:rPr>
        <w:br/>
      </w:r>
      <w:r w:rsidRPr="00422AA9">
        <w:rPr>
          <w:rStyle w:val="VerbatimChar"/>
          <w:b w:val="0"/>
          <w:bCs w:val="0"/>
          <w:sz w:val="20"/>
          <w:szCs w:val="14"/>
        </w:rPr>
        <w:t xml:space="preserve">## IRS 7Y      </w:t>
      </w:r>
      <w:r w:rsidRPr="00422AA9">
        <w:rPr>
          <w:rStyle w:val="VerbatimChar"/>
          <w:b w:val="0"/>
          <w:bCs w:val="0"/>
          <w:sz w:val="20"/>
          <w:szCs w:val="14"/>
        </w:rPr>
        <w:t xml:space="preserve">0.19    0.50    </w:t>
      </w:r>
      <w:r w:rsidRPr="00422AA9">
        <w:rPr>
          <w:rStyle w:val="VerbatimChar"/>
          <w:b w:val="0"/>
          <w:bCs w:val="0"/>
          <w:sz w:val="20"/>
          <w:szCs w:val="14"/>
        </w:rPr>
        <w:t xml:space="preserve">0.73    </w:t>
      </w:r>
      <w:r w:rsidRPr="00422AA9">
        <w:rPr>
          <w:rStyle w:val="VerbatimChar"/>
          <w:b w:val="0"/>
          <w:bCs w:val="0"/>
          <w:sz w:val="20"/>
          <w:szCs w:val="14"/>
        </w:rPr>
        <w:t xml:space="preserve"> </w:t>
      </w:r>
      <w:r w:rsidR="006C7E93">
        <w:rPr>
          <w:rStyle w:val="VerbatimChar"/>
          <w:b w:val="0"/>
          <w:bCs w:val="0"/>
          <w:sz w:val="20"/>
          <w:szCs w:val="14"/>
        </w:rPr>
        <w:t xml:space="preserve"> </w:t>
      </w:r>
      <w:r w:rsidRPr="00422AA9">
        <w:rPr>
          <w:rStyle w:val="VerbatimChar"/>
          <w:b w:val="0"/>
          <w:bCs w:val="0"/>
          <w:sz w:val="20"/>
          <w:szCs w:val="14"/>
        </w:rPr>
        <w:t xml:space="preserve">0.87  </w:t>
      </w:r>
      <w:r w:rsidRPr="00422AA9">
        <w:rPr>
          <w:rStyle w:val="VerbatimChar"/>
          <w:b w:val="0"/>
          <w:bCs w:val="0"/>
          <w:sz w:val="20"/>
          <w:szCs w:val="14"/>
        </w:rPr>
        <w:t xml:space="preserve"> 0.94   0.97   </w:t>
      </w:r>
      <w:r w:rsidRPr="00422AA9">
        <w:rPr>
          <w:rStyle w:val="VerbatimChar"/>
          <w:b w:val="0"/>
          <w:bCs w:val="0"/>
          <w:sz w:val="20"/>
          <w:szCs w:val="14"/>
        </w:rPr>
        <w:t>0.99   1.00   1.00</w:t>
      </w:r>
    </w:p>
    <w:p w14:paraId="2BF79196" w14:textId="77777777" w:rsidR="0066238E" w:rsidRDefault="00000AE9">
      <w:pPr>
        <w:pStyle w:val="FirstParagraph"/>
      </w:pPr>
      <w:r>
        <w:t>Como podemos observar en la primera salida, vemos como existe una alta correlación entre los bonos a 1 mes y los de 3 y conforme subimos el</w:t>
      </w:r>
      <w:r>
        <w:t xml:space="preserve"> plazo, esta correlación disminuye… Sin embargo, en los bonos a más de 1 año está corralación es mucho más fuerte, por lo tanto, podemos seguir pensando en los dos grupos de bonos, los de corto plazo y los de largo.</w:t>
      </w:r>
    </w:p>
    <w:p w14:paraId="5398FF3B" w14:textId="77777777" w:rsidR="0066238E" w:rsidRDefault="00000AE9">
      <w:pPr>
        <w:pStyle w:val="Textoindependiente"/>
      </w:pPr>
      <w:r>
        <w:t>Para lograr un mejor entendimiento plote</w:t>
      </w:r>
      <w:r>
        <w:t>aremos la matriz de correlaciones:</w:t>
      </w:r>
    </w:p>
    <w:p w14:paraId="2F846F2C" w14:textId="77777777" w:rsidR="0066238E" w:rsidRDefault="00000AE9" w:rsidP="006C7E93">
      <w:pPr>
        <w:pStyle w:val="Textoindependiente"/>
        <w:jc w:val="center"/>
      </w:pPr>
      <w:r>
        <w:rPr>
          <w:noProof/>
        </w:rPr>
        <w:lastRenderedPageBreak/>
        <w:drawing>
          <wp:inline distT="0" distB="0" distL="0" distR="0" wp14:anchorId="2CC62E08" wp14:editId="49E0C71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corr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6A9C4AD" w14:textId="58B14080" w:rsidR="0066238E" w:rsidRDefault="00000AE9">
      <w:pPr>
        <w:pStyle w:val="Textoindependiente"/>
      </w:pPr>
      <w:proofErr w:type="spellStart"/>
      <w:r>
        <w:t>En</w:t>
      </w:r>
      <w:proofErr w:type="spellEnd"/>
      <w:r>
        <w:t xml:space="preserve"> el </w:t>
      </w:r>
      <w:proofErr w:type="spellStart"/>
      <w:r>
        <w:t>gráfico</w:t>
      </w:r>
      <w:proofErr w:type="spellEnd"/>
      <w:r>
        <w:t xml:space="preserve"> superior podemos ver las correlaciones en forma de </w:t>
      </w:r>
      <w:r>
        <w:rPr>
          <w:i/>
        </w:rPr>
        <w:t>heatmap</w:t>
      </w:r>
      <w:r>
        <w:t>, si es azul la correlación será positiva, blanco sin correlación y rojo correlación negativa. Así, de un simple vistazo podemos ver cómo existe un</w:t>
      </w:r>
      <w:r>
        <w:t>a alta correlación entre los bonos a más de 6 meses, lo cual nos confirma lo que hemos deducido anteriormente: Existen dos grupos diferenciados en los bonos, los de largo plazo(más de 1 año) y los de corto plazo(menos de 1 año).</w:t>
      </w:r>
    </w:p>
    <w:p w14:paraId="39EAE495" w14:textId="447091B5" w:rsidR="0066238E" w:rsidRDefault="00000AE9">
      <w:pPr>
        <w:pStyle w:val="Textoindependiente"/>
      </w:pPr>
      <w:proofErr w:type="spellStart"/>
      <w:r>
        <w:t>También</w:t>
      </w:r>
      <w:proofErr w:type="spellEnd"/>
      <w:r>
        <w:t xml:space="preserve"> </w:t>
      </w:r>
      <w:proofErr w:type="spellStart"/>
      <w:r>
        <w:t>podemos</w:t>
      </w:r>
      <w:proofErr w:type="spellEnd"/>
      <w:r>
        <w:t xml:space="preserve"> </w:t>
      </w:r>
      <w:proofErr w:type="spellStart"/>
      <w:r>
        <w:t>representar</w:t>
      </w:r>
      <w:proofErr w:type="spellEnd"/>
      <w:r>
        <w:t xml:space="preserve"> las correlaciones de la siguiente manera:</w:t>
      </w:r>
    </w:p>
    <w:p w14:paraId="035009C4" w14:textId="2B9D1663" w:rsidR="0066238E" w:rsidRDefault="00000AE9" w:rsidP="006C7E93">
      <w:pPr>
        <w:pStyle w:val="Textoindependiente"/>
        <w:jc w:val="center"/>
      </w:pPr>
      <w:r>
        <w:rPr>
          <w:noProof/>
        </w:rPr>
        <w:lastRenderedPageBreak/>
        <w:drawing>
          <wp:inline distT="0" distB="0" distL="0" distR="0" wp14:anchorId="4F42A38F" wp14:editId="6A0F67C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chart%20correla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0934B51" w14:textId="77777777" w:rsidR="0066238E" w:rsidRDefault="00000AE9">
      <w:pPr>
        <w:pStyle w:val="Textoindependiente"/>
      </w:pPr>
      <w:r>
        <w:t>Está es otra buena manera de observar las correlaciones, y de ver cómo en los depósitos a 1 mes empeora la correlación conforme avanza el plazo, además aquí se ve de manera muy clara como es la corralción perfec</w:t>
      </w:r>
      <w:r>
        <w:t>ta de los bonos a largo plazo, ya que se trata de una línea perfecta, parece ser que el corte entre los grupos podrá estar entre el bono a 12 meses o a 6.</w:t>
      </w:r>
    </w:p>
    <w:p w14:paraId="1DBD353A" w14:textId="77777777" w:rsidR="0066238E" w:rsidRDefault="00000AE9">
      <w:r>
        <w:pict w14:anchorId="166D6D18">
          <v:rect id="_x0000_i1034" style="width:0;height:1.5pt" o:hralign="center" o:hrstd="t" o:hr="t"/>
        </w:pict>
      </w:r>
    </w:p>
    <w:p w14:paraId="7EAFB188" w14:textId="77777777" w:rsidR="0066238E" w:rsidRDefault="00000AE9">
      <w:pPr>
        <w:pStyle w:val="Ttulo3"/>
      </w:pPr>
      <w:bookmarkStart w:id="6" w:name="clusters"/>
      <w:r>
        <w:t>Clusters</w:t>
      </w:r>
      <w:bookmarkEnd w:id="6"/>
    </w:p>
    <w:p w14:paraId="353AA8D7" w14:textId="77777777" w:rsidR="0066238E" w:rsidRDefault="00000AE9">
      <w:pPr>
        <w:pStyle w:val="FirstParagraph"/>
      </w:pPr>
      <w:r>
        <w:t>Lo último que haremos en este apartado es realizar un mapa de calor para definir los posib</w:t>
      </w:r>
      <w:r>
        <w:t>les grupos o clusters de manera visual:</w:t>
      </w:r>
    </w:p>
    <w:p w14:paraId="266C1274" w14:textId="3FA11DF1" w:rsidR="0066238E" w:rsidRDefault="00000AE9" w:rsidP="006C7E93">
      <w:pPr>
        <w:pStyle w:val="Textoindependiente"/>
        <w:jc w:val="center"/>
      </w:pPr>
      <w:r>
        <w:rPr>
          <w:noProof/>
        </w:rPr>
        <w:lastRenderedPageBreak/>
        <w:drawing>
          <wp:inline distT="0" distB="0" distL="0" distR="0" wp14:anchorId="7EFEF108" wp14:editId="12737B54">
            <wp:extent cx="5334000" cy="4445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clusters%202%20-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1B0CB785" w14:textId="77777777" w:rsidR="0066238E" w:rsidRDefault="00000AE9">
      <w:pPr>
        <w:pStyle w:val="Textoindependiente"/>
      </w:pPr>
      <w:r>
        <w:t xml:space="preserve">Si </w:t>
      </w:r>
      <w:proofErr w:type="spellStart"/>
      <w:r>
        <w:t>establecesmos</w:t>
      </w:r>
      <w:proofErr w:type="spellEnd"/>
      <w:r>
        <w:t xml:space="preserve"> dos clusters, </w:t>
      </w:r>
      <w:proofErr w:type="spellStart"/>
      <w:r>
        <w:t>podemos</w:t>
      </w:r>
      <w:proofErr w:type="spellEnd"/>
      <w:r>
        <w:t xml:space="preserve"> </w:t>
      </w:r>
      <w:proofErr w:type="spellStart"/>
      <w:r>
        <w:t>observar</w:t>
      </w:r>
      <w:proofErr w:type="spellEnd"/>
      <w:r>
        <w:t xml:space="preserve"> que </w:t>
      </w:r>
      <w:proofErr w:type="spellStart"/>
      <w:r>
        <w:t>existen</w:t>
      </w:r>
      <w:proofErr w:type="spellEnd"/>
      <w:r>
        <w:t xml:space="preserve"> dos </w:t>
      </w:r>
      <w:proofErr w:type="spellStart"/>
      <w:r>
        <w:t>tipos</w:t>
      </w:r>
      <w:proofErr w:type="spellEnd"/>
      <w:r>
        <w:t xml:space="preserve"> de </w:t>
      </w:r>
      <w:proofErr w:type="spellStart"/>
      <w:r>
        <w:t>plazos</w:t>
      </w:r>
      <w:proofErr w:type="spellEnd"/>
      <w:r>
        <w:t>:</w:t>
      </w:r>
    </w:p>
    <w:p w14:paraId="51E938D1" w14:textId="77777777" w:rsidR="0066238E" w:rsidRDefault="00000AE9">
      <w:pPr>
        <w:pStyle w:val="Compact"/>
        <w:numPr>
          <w:ilvl w:val="0"/>
          <w:numId w:val="4"/>
        </w:numPr>
      </w:pPr>
      <w:r>
        <w:t xml:space="preserve">A </w:t>
      </w:r>
      <w:proofErr w:type="spellStart"/>
      <w:r>
        <w:t>corto</w:t>
      </w:r>
      <w:proofErr w:type="spellEnd"/>
      <w:r>
        <w:t xml:space="preserve"> </w:t>
      </w:r>
      <w:proofErr w:type="spellStart"/>
      <w:r>
        <w:t>plazo</w:t>
      </w:r>
      <w:proofErr w:type="spellEnd"/>
      <w:r>
        <w:t xml:space="preserve">: </w:t>
      </w:r>
      <w:proofErr w:type="spellStart"/>
      <w:r>
        <w:t>Bonos</w:t>
      </w:r>
      <w:proofErr w:type="spellEnd"/>
      <w:r>
        <w:t xml:space="preserve"> con una </w:t>
      </w:r>
      <w:proofErr w:type="spellStart"/>
      <w:r>
        <w:t>duración</w:t>
      </w:r>
      <w:proofErr w:type="spellEnd"/>
      <w:r>
        <w:t xml:space="preserve"> de 1-6 meses.</w:t>
      </w:r>
    </w:p>
    <w:p w14:paraId="7B35790C" w14:textId="77777777" w:rsidR="0066238E" w:rsidRDefault="00000AE9">
      <w:pPr>
        <w:pStyle w:val="Compact"/>
        <w:numPr>
          <w:ilvl w:val="0"/>
          <w:numId w:val="4"/>
        </w:numPr>
      </w:pPr>
      <w:r>
        <w:t xml:space="preserve">A largo </w:t>
      </w:r>
      <w:proofErr w:type="spellStart"/>
      <w:r>
        <w:t>plazo</w:t>
      </w:r>
      <w:proofErr w:type="spellEnd"/>
      <w:r>
        <w:t xml:space="preserve">: </w:t>
      </w:r>
      <w:proofErr w:type="spellStart"/>
      <w:r>
        <w:t>Bonos</w:t>
      </w:r>
      <w:proofErr w:type="spellEnd"/>
      <w:r>
        <w:t xml:space="preserve"> con una </w:t>
      </w:r>
      <w:proofErr w:type="spellStart"/>
      <w:r>
        <w:t>duración</w:t>
      </w:r>
      <w:proofErr w:type="spellEnd"/>
      <w:r>
        <w:t xml:space="preserve"> por </w:t>
      </w:r>
      <w:proofErr w:type="spellStart"/>
      <w:r>
        <w:t>encima</w:t>
      </w:r>
      <w:proofErr w:type="spellEnd"/>
      <w:r>
        <w:t xml:space="preserve"> de 12 meses.</w:t>
      </w:r>
    </w:p>
    <w:p w14:paraId="4D71BA5E" w14:textId="77777777" w:rsidR="0066238E" w:rsidRDefault="00000AE9">
      <w:pPr>
        <w:pStyle w:val="FirstParagraph"/>
      </w:pPr>
      <w:proofErr w:type="spellStart"/>
      <w:r>
        <w:t>Aún</w:t>
      </w:r>
      <w:proofErr w:type="spellEnd"/>
      <w:r>
        <w:t xml:space="preserve"> </w:t>
      </w:r>
      <w:proofErr w:type="spellStart"/>
      <w:r>
        <w:t>así</w:t>
      </w:r>
      <w:proofErr w:type="spellEnd"/>
      <w:r>
        <w:t xml:space="preserve">, </w:t>
      </w:r>
      <w:proofErr w:type="spellStart"/>
      <w:r>
        <w:t>parece</w:t>
      </w:r>
      <w:proofErr w:type="spellEnd"/>
      <w:r>
        <w:t xml:space="preserve"> que </w:t>
      </w:r>
      <w:proofErr w:type="spellStart"/>
      <w:r>
        <w:t>encontramos</w:t>
      </w:r>
      <w:proofErr w:type="spellEnd"/>
      <w:r>
        <w:t xml:space="preserve"> una </w:t>
      </w:r>
      <w:proofErr w:type="spellStart"/>
      <w:r>
        <w:t>división</w:t>
      </w:r>
      <w:proofErr w:type="spellEnd"/>
      <w:r>
        <w:t xml:space="preserve"> </w:t>
      </w:r>
      <w:proofErr w:type="spellStart"/>
      <w:r>
        <w:t>en</w:t>
      </w:r>
      <w:proofErr w:type="spellEnd"/>
      <w:r>
        <w:t xml:space="preserve"> los </w:t>
      </w:r>
      <w:proofErr w:type="spellStart"/>
      <w:r>
        <w:t>bonos</w:t>
      </w:r>
      <w:proofErr w:type="spellEnd"/>
      <w:r>
        <w:t xml:space="preserve"> a 3 meses, </w:t>
      </w:r>
      <w:proofErr w:type="spellStart"/>
      <w:r>
        <w:t>ya</w:t>
      </w:r>
      <w:proofErr w:type="spellEnd"/>
      <w:r>
        <w:t xml:space="preserve"> que </w:t>
      </w:r>
      <w:proofErr w:type="spellStart"/>
      <w:r>
        <w:t>su</w:t>
      </w:r>
      <w:proofErr w:type="spellEnd"/>
      <w:r>
        <w:t xml:space="preserve"> </w:t>
      </w:r>
      <w:proofErr w:type="spellStart"/>
      <w:r>
        <w:t>correlación</w:t>
      </w:r>
      <w:proofErr w:type="spellEnd"/>
      <w:r>
        <w:t xml:space="preserve"> </w:t>
      </w:r>
      <w:proofErr w:type="spellStart"/>
      <w:r>
        <w:t>respecto</w:t>
      </w:r>
      <w:proofErr w:type="spellEnd"/>
      <w:r>
        <w:t xml:space="preserve"> al bono a 1 </w:t>
      </w:r>
      <w:proofErr w:type="spellStart"/>
      <w:r>
        <w:t>mes</w:t>
      </w:r>
      <w:proofErr w:type="spellEnd"/>
      <w:r>
        <w:t xml:space="preserve"> es </w:t>
      </w:r>
      <w:proofErr w:type="spellStart"/>
      <w:r>
        <w:t>menor</w:t>
      </w:r>
      <w:proofErr w:type="spellEnd"/>
      <w:r>
        <w:t xml:space="preserve">. </w:t>
      </w:r>
      <w:proofErr w:type="spellStart"/>
      <w:r>
        <w:t>Vamos</w:t>
      </w:r>
      <w:proofErr w:type="spellEnd"/>
      <w:r>
        <w:t xml:space="preserve"> a </w:t>
      </w:r>
      <w:proofErr w:type="spellStart"/>
      <w:r>
        <w:t>probar</w:t>
      </w:r>
      <w:proofErr w:type="spellEnd"/>
      <w:r>
        <w:t xml:space="preserve"> con 3 </w:t>
      </w:r>
      <w:proofErr w:type="spellStart"/>
      <w:r>
        <w:t>clases</w:t>
      </w:r>
      <w:proofErr w:type="spellEnd"/>
      <w:r>
        <w:t>:</w:t>
      </w:r>
    </w:p>
    <w:p w14:paraId="1F078F7A" w14:textId="4503D8CE" w:rsidR="0066238E" w:rsidRDefault="00000AE9" w:rsidP="006C7E93">
      <w:pPr>
        <w:pStyle w:val="Textoindependiente"/>
        <w:jc w:val="center"/>
      </w:pPr>
      <w:r>
        <w:rPr>
          <w:noProof/>
        </w:rPr>
        <w:lastRenderedPageBreak/>
        <w:drawing>
          <wp:inline distT="0" distB="0" distL="0" distR="0" wp14:anchorId="44EFC5DB" wp14:editId="4DBAB286">
            <wp:extent cx="5334000" cy="4445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clusters%203%20-1.png"/>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0018014F" w14:textId="77777777" w:rsidR="0066238E" w:rsidRDefault="00000AE9">
      <w:pPr>
        <w:pStyle w:val="Textoindependiente"/>
      </w:pPr>
      <w:r>
        <w:t>Ahora podemos observar como tenemos 3</w:t>
      </w:r>
      <w:r>
        <w:t xml:space="preserve"> clases, con una mejor diferenciación:</w:t>
      </w:r>
    </w:p>
    <w:p w14:paraId="33F6D9D7" w14:textId="77777777" w:rsidR="0066238E" w:rsidRDefault="00000AE9">
      <w:pPr>
        <w:pStyle w:val="Compact"/>
        <w:numPr>
          <w:ilvl w:val="0"/>
          <w:numId w:val="5"/>
        </w:numPr>
      </w:pPr>
      <w:r>
        <w:t>A muy corto plazo: Bonos con una duración de 1 mes.</w:t>
      </w:r>
    </w:p>
    <w:p w14:paraId="200FD20B" w14:textId="77777777" w:rsidR="0066238E" w:rsidRDefault="00000AE9">
      <w:pPr>
        <w:pStyle w:val="Compact"/>
        <w:numPr>
          <w:ilvl w:val="0"/>
          <w:numId w:val="5"/>
        </w:numPr>
      </w:pPr>
      <w:r>
        <w:t>A corto-medio plazo: Bonos con una duración de 3-6 meses.</w:t>
      </w:r>
    </w:p>
    <w:p w14:paraId="19F9B54F" w14:textId="77777777" w:rsidR="0066238E" w:rsidRDefault="00000AE9">
      <w:pPr>
        <w:pStyle w:val="Compact"/>
        <w:numPr>
          <w:ilvl w:val="0"/>
          <w:numId w:val="5"/>
        </w:numPr>
      </w:pPr>
      <w:r>
        <w:t>A largo plazo: Bonos con una duración mayor a 1 año.</w:t>
      </w:r>
    </w:p>
    <w:p w14:paraId="1BAD4BDA" w14:textId="199947AD" w:rsidR="0066238E" w:rsidRDefault="0066238E"/>
    <w:p w14:paraId="6243ADDB" w14:textId="285F76A4" w:rsidR="0066238E" w:rsidRDefault="0066238E"/>
    <w:p w14:paraId="38718D88" w14:textId="77777777" w:rsidR="00332BD6" w:rsidRDefault="00332BD6">
      <w:pPr>
        <w:pStyle w:val="Ttulo2"/>
      </w:pPr>
      <w:bookmarkStart w:id="7" w:name="análisis-de-componentes-principales"/>
    </w:p>
    <w:p w14:paraId="3F285B2E" w14:textId="77777777" w:rsidR="00332BD6" w:rsidRDefault="00332BD6">
      <w:pPr>
        <w:pStyle w:val="Ttulo2"/>
      </w:pPr>
    </w:p>
    <w:p w14:paraId="23BA0A6B" w14:textId="77777777" w:rsidR="00332BD6" w:rsidRDefault="00332BD6">
      <w:pPr>
        <w:pStyle w:val="Ttulo2"/>
      </w:pPr>
    </w:p>
    <w:p w14:paraId="16DA7781" w14:textId="77777777" w:rsidR="00332BD6" w:rsidRDefault="00332BD6">
      <w:pPr>
        <w:pStyle w:val="Ttulo2"/>
      </w:pPr>
    </w:p>
    <w:p w14:paraId="3D041E9F" w14:textId="77777777" w:rsidR="00332BD6" w:rsidRDefault="00332BD6">
      <w:pPr>
        <w:pStyle w:val="Ttulo2"/>
      </w:pPr>
    </w:p>
    <w:p w14:paraId="3B92231F" w14:textId="77777777" w:rsidR="00332BD6" w:rsidRDefault="00332BD6">
      <w:pPr>
        <w:pStyle w:val="Ttulo2"/>
      </w:pPr>
    </w:p>
    <w:p w14:paraId="4E02EA53" w14:textId="77777777" w:rsidR="00332BD6" w:rsidRDefault="00332BD6">
      <w:pPr>
        <w:pStyle w:val="Ttulo2"/>
      </w:pPr>
    </w:p>
    <w:p w14:paraId="34C4F899" w14:textId="77777777" w:rsidR="00332BD6" w:rsidRDefault="00332BD6">
      <w:pPr>
        <w:pStyle w:val="Ttulo2"/>
      </w:pPr>
    </w:p>
    <w:p w14:paraId="255CE6D3" w14:textId="77777777" w:rsidR="00332BD6" w:rsidRDefault="00332BD6">
      <w:pPr>
        <w:pStyle w:val="Ttulo2"/>
      </w:pPr>
    </w:p>
    <w:p w14:paraId="59718538" w14:textId="0381CB32" w:rsidR="0066238E" w:rsidRDefault="00000AE9">
      <w:pPr>
        <w:pStyle w:val="Ttulo2"/>
      </w:pPr>
      <w:r>
        <w:lastRenderedPageBreak/>
        <w:t>ANÁLISIS DE COMPONENTES PRINCIPALES</w:t>
      </w:r>
      <w:bookmarkEnd w:id="7"/>
    </w:p>
    <w:p w14:paraId="7310AD4D" w14:textId="77777777" w:rsidR="0066238E" w:rsidRDefault="00000AE9">
      <w:pPr>
        <w:pStyle w:val="FirstParagraph"/>
      </w:pPr>
      <w:r>
        <w:t xml:space="preserve">Una vez hemos </w:t>
      </w:r>
      <w:r>
        <w:t>comprendido mejor el dataset y lo tenemos listo para trabajar con el análisis de componentes principales.</w:t>
      </w:r>
    </w:p>
    <w:p w14:paraId="61D55BC1" w14:textId="77777777" w:rsidR="0066238E" w:rsidRDefault="00000AE9">
      <w:pPr>
        <w:pStyle w:val="Textoindependiente"/>
      </w:pPr>
      <w:r>
        <w:t>Comenzaremos el ACP intentando resolver a la siguiente cuestión:</w:t>
      </w:r>
    </w:p>
    <w:p w14:paraId="512DF3D2" w14:textId="77777777" w:rsidR="0066238E" w:rsidRDefault="00000AE9">
      <w:pPr>
        <w:pStyle w:val="Ttulo3"/>
      </w:pPr>
      <w:bookmarkStart w:id="8" w:name="Xe6f83e24511dd059972aca46a28798c14f8791b"/>
      <w:r>
        <w:t>¿ Tiene sentido llevar a cabo, en este caso, un análisis de componentes principales?</w:t>
      </w:r>
      <w:bookmarkEnd w:id="8"/>
    </w:p>
    <w:p w14:paraId="6AEFB107" w14:textId="77777777" w:rsidR="0066238E" w:rsidRDefault="00000AE9">
      <w:pPr>
        <w:pStyle w:val="FirstParagraph"/>
      </w:pPr>
      <w:r>
        <w:t xml:space="preserve">Para resolver a esta cuestión, tendremos que analizar las correlaciones existentes entre las distintas varibales, analizar el </w:t>
      </w:r>
      <w:r>
        <w:rPr>
          <w:i/>
        </w:rPr>
        <w:t>determinante de la matriz de correlaciones</w:t>
      </w:r>
      <w:r>
        <w:t xml:space="preserve">, el </w:t>
      </w:r>
      <w:r>
        <w:rPr>
          <w:i/>
        </w:rPr>
        <w:t>test de esfericidad de Barlett</w:t>
      </w:r>
      <w:r>
        <w:t xml:space="preserve"> y el </w:t>
      </w:r>
      <w:r>
        <w:rPr>
          <w:i/>
        </w:rPr>
        <w:t>KMO</w:t>
      </w:r>
      <w:r>
        <w:t>.</w:t>
      </w:r>
    </w:p>
    <w:p w14:paraId="08674F69" w14:textId="77777777" w:rsidR="0066238E" w:rsidRDefault="00000AE9">
      <w:pPr>
        <w:pStyle w:val="Ttulo4"/>
      </w:pPr>
      <w:bookmarkStart w:id="9" w:name="Xafca81d3e7b88cbc044a395593bdccacdc2a1e0"/>
      <w:r>
        <w:t>1. Determinante de la matriz de correlacio</w:t>
      </w:r>
      <w:r>
        <w:t>nes</w:t>
      </w:r>
      <w:bookmarkEnd w:id="9"/>
    </w:p>
    <w:p w14:paraId="7E5E17FA" w14:textId="77777777" w:rsidR="0066238E" w:rsidRDefault="00000AE9">
      <w:pPr>
        <w:pStyle w:val="FirstParagraph"/>
      </w:pPr>
      <w:r>
        <w:t>Cuanto más bajo sea, mayor asociación tendrán las variables entre sí, de forma que será adecuado llevar a cabo el ANFAC.</w:t>
      </w:r>
    </w:p>
    <w:p w14:paraId="7ACAD1CB" w14:textId="77777777" w:rsidR="0066238E" w:rsidRDefault="00000AE9">
      <w:pPr>
        <w:pStyle w:val="Textoindependiente"/>
      </w:pPr>
      <w:r>
        <w:t>El problema que tiene es que si existe una alta correlación entre las variables puede fallar, por lo que tendremos que realizar otr</w:t>
      </w:r>
      <w:r>
        <w:t>os test.</w:t>
      </w:r>
    </w:p>
    <w:p w14:paraId="51DF623D" w14:textId="77777777" w:rsidR="0066238E" w:rsidRDefault="00000AE9">
      <w:pPr>
        <w:pStyle w:val="Textoindependiente"/>
      </w:pPr>
      <w:r>
        <w:t>Tras el cálculo del determinante de la matriz de correlaciones obtenemos un resultado de 2.64891e-18, lo que nos indicaría una alta colinealidad, aún así realizaremos el test de esfericidad de Barlett y el KMO para comprobar.</w:t>
      </w:r>
    </w:p>
    <w:p w14:paraId="01C8A3FE" w14:textId="77777777" w:rsidR="0066238E" w:rsidRDefault="00000AE9">
      <w:r>
        <w:pict w14:anchorId="0EB8A289">
          <v:rect id="_x0000_i1037" style="width:0;height:1.5pt" o:hralign="center" o:hrstd="t" o:hr="t"/>
        </w:pict>
      </w:r>
    </w:p>
    <w:p w14:paraId="0947F4FC" w14:textId="77777777" w:rsidR="0066238E" w:rsidRDefault="00000AE9">
      <w:pPr>
        <w:pStyle w:val="Ttulo4"/>
      </w:pPr>
      <w:bookmarkStart w:id="10" w:name="test-de-esfericidad-de-barlett"/>
      <w:r>
        <w:t>2. Test de esferici</w:t>
      </w:r>
      <w:r>
        <w:t>dad de Barlett</w:t>
      </w:r>
      <w:bookmarkEnd w:id="10"/>
    </w:p>
    <w:p w14:paraId="288E1362" w14:textId="77777777" w:rsidR="0066238E" w:rsidRDefault="00000AE9">
      <w:pPr>
        <w:pStyle w:val="FirstParagraph"/>
      </w:pPr>
      <w:r>
        <w:t xml:space="preserve">Se emplea para contratar la hipótesis de que la matriz de correlaciones es una matriz identidad, </w:t>
      </w:r>
      <m:oMath>
        <m:r>
          <w:rPr>
            <w:rFonts w:ascii="Cambria Math" w:hAnsi="Cambria Math"/>
          </w:rPr>
          <m:t>I</m:t>
        </m:r>
      </m:oMath>
      <w:r>
        <w:t xml:space="preserve">. Se efectúa una prueba </w:t>
      </w:r>
      <m:oMath>
        <m:r>
          <w:rPr>
            <w:rFonts w:ascii="Cambria Math" w:hAnsi="Cambria Math"/>
          </w:rPr>
          <m:t>χ</m:t>
        </m:r>
        <m:r>
          <w:rPr>
            <w:rFonts w:ascii="Cambria Math" w:hAnsi="Cambria Math"/>
          </w:rPr>
          <m:t>2</m:t>
        </m:r>
      </m:oMath>
      <w:r>
        <w:t xml:space="preserve"> </w:t>
      </w:r>
      <w:r>
        <w:t>a partir de una transformación del determinante de la matriz de correlaciones,</w:t>
      </w:r>
      <m:oMath>
        <m:r>
          <w:rPr>
            <w:rFonts w:ascii="Cambria Math" w:hAnsi="Cambria Math"/>
          </w:rPr>
          <m:t>|</m:t>
        </m:r>
        <m:r>
          <w:rPr>
            <w:rFonts w:ascii="Cambria Math" w:hAnsi="Cambria Math"/>
          </w:rPr>
          <m:t>R</m:t>
        </m:r>
        <m:r>
          <w:rPr>
            <w:rFonts w:ascii="Cambria Math" w:hAnsi="Cambria Math"/>
          </w:rPr>
          <m:t>|</m:t>
        </m:r>
      </m:oMath>
      <w:r>
        <w:t xml:space="preserve">. Considerando que </w:t>
      </w:r>
      <m:oMath>
        <m:r>
          <w:rPr>
            <w:rFonts w:ascii="Cambria Math" w:hAnsi="Cambria Math"/>
          </w:rPr>
          <m:t>|</m:t>
        </m:r>
        <m:r>
          <w:rPr>
            <w:rFonts w:ascii="Cambria Math" w:hAnsi="Cambria Math"/>
          </w:rPr>
          <m:t>R</m:t>
        </m:r>
        <m:r>
          <w:rPr>
            <w:rFonts w:ascii="Cambria Math" w:hAnsi="Cambria Math"/>
          </w:rPr>
          <m:t>|=1</m:t>
        </m:r>
      </m:oMath>
      <w:r>
        <w:t xml:space="preserve"> si, y sólo si, </w:t>
      </w:r>
      <m:oMath>
        <m:r>
          <w:rPr>
            <w:rFonts w:ascii="Cambria Math" w:hAnsi="Cambria Math"/>
          </w:rPr>
          <m:t>R</m:t>
        </m:r>
        <m:r>
          <w:rPr>
            <w:rFonts w:ascii="Cambria Math" w:hAnsi="Cambria Math"/>
          </w:rPr>
          <m:t>=</m:t>
        </m:r>
        <m:r>
          <w:rPr>
            <w:rFonts w:ascii="Cambria Math" w:hAnsi="Cambria Math"/>
          </w:rPr>
          <m:t>I</m:t>
        </m:r>
      </m:oMath>
      <w:r>
        <w:t>, podemos establecer la hipótesis nula indistintamente así:</w:t>
      </w:r>
    </w:p>
    <w:p w14:paraId="6D8A6B09" w14:textId="77777777" w:rsidR="0066238E" w:rsidRDefault="00000AE9">
      <w:pPr>
        <w:pStyle w:val="Textoindependiente"/>
      </w:pPr>
      <m:oMathPara>
        <m:oMathParaPr>
          <m:jc m:val="center"/>
        </m:oMathParaPr>
        <m:oMath>
          <m:r>
            <w:rPr>
              <w:rFonts w:ascii="Cambria Math" w:hAnsi="Cambria Math"/>
            </w:rPr>
            <m:t>H</m:t>
          </m:r>
          <m:r>
            <w:rPr>
              <w:rFonts w:ascii="Cambria Math" w:hAnsi="Cambria Math"/>
            </w:rPr>
            <m:t>0:</m:t>
          </m:r>
          <m:r>
            <w:rPr>
              <w:rFonts w:ascii="Cambria Math" w:hAnsi="Cambria Math"/>
            </w:rPr>
            <m:t>R</m:t>
          </m:r>
          <m:r>
            <w:rPr>
              <w:rFonts w:ascii="Cambria Math" w:hAnsi="Cambria Math"/>
            </w:rPr>
            <m:t>=</m:t>
          </m:r>
          <m:r>
            <w:rPr>
              <w:rFonts w:ascii="Cambria Math" w:hAnsi="Cambria Math"/>
            </w:rPr>
            <m:t>I</m:t>
          </m:r>
        </m:oMath>
      </m:oMathPara>
    </w:p>
    <w:p w14:paraId="72391E0F" w14:textId="77777777" w:rsidR="0066238E" w:rsidRDefault="00000AE9">
      <w:pPr>
        <w:pStyle w:val="FirstParagraph"/>
      </w:pPr>
      <w:r>
        <w:t>Si se acepta la hipótesis, las variables no estarán correl</w:t>
      </w:r>
      <w:r>
        <w:t>acionadas, por lo que la nube de puntos en el espacio adoptaría la forma de una esfera.</w:t>
      </w:r>
    </w:p>
    <w:p w14:paraId="14430955" w14:textId="77777777" w:rsidR="0066238E" w:rsidRDefault="00000AE9">
      <w:pPr>
        <w:pStyle w:val="Textoindependiente"/>
      </w:pPr>
      <w:r>
        <w:t>Tenemos que recordar que el test de esfericidad no es adecuado para más de 100 observaciones.</w:t>
      </w:r>
    </w:p>
    <w:p w14:paraId="6AC9BA4C" w14:textId="77777777" w:rsidR="0066238E" w:rsidRDefault="00000AE9">
      <w:pPr>
        <w:pStyle w:val="Textoindependiente"/>
      </w:pPr>
      <w:r>
        <w:t>Tras el cálculo del test obtenemos un p-value de 2.2e-16, por lo tanto rechazamos la hipótesis nula lo que indicará presencia de asociación entre las variables, estando en consecuencia plenamente justificado el empleo del ANFAC.</w:t>
      </w:r>
    </w:p>
    <w:p w14:paraId="57FCED32" w14:textId="4CD3805F" w:rsidR="0066238E" w:rsidRDefault="00000AE9">
      <w:r>
        <w:pict w14:anchorId="5C40225B">
          <v:rect id="_x0000_i1054" style="width:0;height:1.5pt" o:hralign="center" o:bullet="t" o:hrstd="t" o:hr="t"/>
        </w:pict>
      </w:r>
    </w:p>
    <w:p w14:paraId="1D246D1C" w14:textId="5F7EF7A9" w:rsidR="0066238E" w:rsidRDefault="00000AE9">
      <w:pPr>
        <w:pStyle w:val="Ttulo4"/>
      </w:pPr>
      <w:bookmarkStart w:id="11" w:name="índice-de-kmo-de-kaiser-meyer-olkin."/>
      <w:r>
        <w:t>3. Índice de KMO de Kaise</w:t>
      </w:r>
      <w:r>
        <w:t>r-Meyer-Olkin.</w:t>
      </w:r>
      <w:bookmarkEnd w:id="11"/>
    </w:p>
    <w:p w14:paraId="197A8BC3" w14:textId="77777777" w:rsidR="0066238E" w:rsidRDefault="00000AE9">
      <w:pPr>
        <w:pStyle w:val="FirstParagraph"/>
      </w:pPr>
      <w:r>
        <w:lastRenderedPageBreak/>
        <w:t xml:space="preserve">Es una </w:t>
      </w:r>
      <w:proofErr w:type="spellStart"/>
      <w:r>
        <w:t>medida</w:t>
      </w:r>
      <w:proofErr w:type="spellEnd"/>
      <w:r>
        <w:t xml:space="preserve"> de adecuaciÓn de la muestra; este índice permite comparar las magnitudes de los coeficientes de correlación observados con las magnitudes de los coeficientes de correlación parcial.</w:t>
      </w:r>
    </w:p>
    <w:p w14:paraId="0D508159" w14:textId="77777777" w:rsidR="0066238E" w:rsidRDefault="00000AE9">
      <w:pPr>
        <w:pStyle w:val="Textoindependiente"/>
      </w:pPr>
      <w:proofErr w:type="spellStart"/>
      <w:r>
        <w:t>Valores</w:t>
      </w:r>
      <w:proofErr w:type="spellEnd"/>
      <w:r>
        <w:t xml:space="preserve"> </w:t>
      </w:r>
      <w:proofErr w:type="spellStart"/>
      <w:r>
        <w:t>bajos</w:t>
      </w:r>
      <w:proofErr w:type="spellEnd"/>
      <w:r>
        <w:t xml:space="preserve"> del </w:t>
      </w:r>
      <w:proofErr w:type="spellStart"/>
      <w:r>
        <w:t>índice</w:t>
      </w:r>
      <w:proofErr w:type="spellEnd"/>
      <w:r>
        <w:t xml:space="preserve"> KMO (por debajo de 0</w:t>
      </w:r>
      <w:r>
        <w:t>.7) desaconsejan el empleo del ANFAC (esto ocurrirá cuando la suma de todos los coeficientes de determinación parciales sea pequeña en relación a la suma de todos los coeficientes de determinación), dado que las correlaciones entre pares de variables no pu</w:t>
      </w:r>
      <w:r>
        <w:t>eden explicarse por el resto de variables.</w:t>
      </w:r>
    </w:p>
    <w:p w14:paraId="647EEE13" w14:textId="77777777" w:rsidR="0066238E" w:rsidRDefault="00000AE9">
      <w:pPr>
        <w:pStyle w:val="Textoindependiente"/>
      </w:pPr>
      <w:r>
        <w:t>Tras realizar el cáclulo del índice de KMO obtenemos una puntuación general de 0.87, por lo que se aconseja el uso del ACP.</w:t>
      </w:r>
    </w:p>
    <w:p w14:paraId="74803853" w14:textId="77777777" w:rsidR="0066238E" w:rsidRDefault="00000AE9">
      <w:pPr>
        <w:pStyle w:val="Ttulo4"/>
      </w:pPr>
      <w:bookmarkStart w:id="12" w:name="conclusión"/>
      <w:r>
        <w:t>CONCLUSIÓN:</w:t>
      </w:r>
      <w:bookmarkEnd w:id="12"/>
    </w:p>
    <w:p w14:paraId="75FDB7CB" w14:textId="77777777" w:rsidR="0066238E" w:rsidRDefault="00000AE9">
      <w:pPr>
        <w:pStyle w:val="FirstParagraph"/>
      </w:pPr>
      <w:r>
        <w:rPr>
          <w:b/>
        </w:rPr>
        <w:t>Tras realizar el cálculo del determinante de la matriz de correlaciones, el t</w:t>
      </w:r>
      <w:r>
        <w:rPr>
          <w:b/>
        </w:rPr>
        <w:t>est de esfericidad y el índice de KMO determinamos que es adecuado realizar el Análisis de Componentes Principales.</w:t>
      </w:r>
    </w:p>
    <w:p w14:paraId="2180D977" w14:textId="77777777" w:rsidR="0066238E" w:rsidRDefault="00000AE9">
      <w:r>
        <w:pict w14:anchorId="2372ECEE">
          <v:rect id="_x0000_i1039" style="width:0;height:1.5pt" o:hralign="center" o:hrstd="t" o:hr="t"/>
        </w:pict>
      </w:r>
    </w:p>
    <w:p w14:paraId="6723614D" w14:textId="77777777" w:rsidR="0066238E" w:rsidRDefault="00000AE9">
      <w:pPr>
        <w:pStyle w:val="Ttulo3"/>
      </w:pPr>
      <w:bookmarkStart w:id="13" w:name="Xeded365281b40320e0b4a7c594102ae1875a334"/>
      <w:r>
        <w:t>¿Cuántos componentes permitirían explicar, adecuadamente, la estructura subycente de los tipos de interés aquí analizados?</w:t>
      </w:r>
      <w:bookmarkEnd w:id="13"/>
    </w:p>
    <w:p w14:paraId="5358B438" w14:textId="74C2BCDC" w:rsidR="0066238E" w:rsidRDefault="00000AE9">
      <w:pPr>
        <w:pStyle w:val="FirstParagraph"/>
      </w:pPr>
      <w:r>
        <w:t xml:space="preserve">Para saber </w:t>
      </w:r>
      <w:proofErr w:type="spellStart"/>
      <w:r>
        <w:t>cuán</w:t>
      </w:r>
      <w:r>
        <w:t>tos</w:t>
      </w:r>
      <w:proofErr w:type="spellEnd"/>
      <w:r>
        <w:t xml:space="preserve"> </w:t>
      </w:r>
      <w:proofErr w:type="spellStart"/>
      <w:r>
        <w:t>componentes</w:t>
      </w:r>
      <w:proofErr w:type="spellEnd"/>
      <w:r>
        <w:t xml:space="preserve"> permiten explicar la estructura subyacente de los tipos de interés analizados, recordemos que son desde los bonos a 1 mes hasta </w:t>
      </w:r>
      <w:proofErr w:type="spellStart"/>
      <w:r>
        <w:t>bonos</w:t>
      </w:r>
      <w:proofErr w:type="spellEnd"/>
      <w:r>
        <w:t xml:space="preserve"> a 7 </w:t>
      </w:r>
      <w:proofErr w:type="spellStart"/>
      <w:r>
        <w:t>años</w:t>
      </w:r>
      <w:proofErr w:type="spellEnd"/>
      <w:r>
        <w:t>.</w:t>
      </w:r>
    </w:p>
    <w:p w14:paraId="0D069BBE" w14:textId="7876D692" w:rsidR="0066238E" w:rsidRDefault="008C76B3" w:rsidP="006C7E93">
      <w:pPr>
        <w:pStyle w:val="Textoindependiente"/>
        <w:jc w:val="center"/>
      </w:pPr>
      <w:r>
        <w:rPr>
          <w:noProof/>
        </w:rPr>
        <w:drawing>
          <wp:inline distT="0" distB="0" distL="0" distR="0" wp14:anchorId="708539B4" wp14:editId="0212A87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PCA%20graph%20of%20variables-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19181DE" w14:textId="6E4FDB47" w:rsidR="0066238E" w:rsidRDefault="00000AE9">
      <w:pPr>
        <w:pStyle w:val="Textoindependiente"/>
      </w:pPr>
      <w:r>
        <w:lastRenderedPageBreak/>
        <w:t xml:space="preserve">Podemos </w:t>
      </w:r>
      <w:proofErr w:type="spellStart"/>
      <w:r>
        <w:t>observar</w:t>
      </w:r>
      <w:proofErr w:type="spellEnd"/>
      <w:r>
        <w:t xml:space="preserve"> </w:t>
      </w:r>
      <w:proofErr w:type="spellStart"/>
      <w:r>
        <w:t>cómo</w:t>
      </w:r>
      <w:proofErr w:type="spellEnd"/>
      <w:r>
        <w:t xml:space="preserve"> a </w:t>
      </w:r>
      <w:proofErr w:type="spellStart"/>
      <w:r>
        <w:t>partir</w:t>
      </w:r>
      <w:proofErr w:type="spellEnd"/>
      <w:r>
        <w:t xml:space="preserve"> de dos </w:t>
      </w:r>
      <w:proofErr w:type="spellStart"/>
      <w:r>
        <w:t>dimensiones</w:t>
      </w:r>
      <w:proofErr w:type="spellEnd"/>
      <w:r>
        <w:t xml:space="preserve"> </w:t>
      </w:r>
      <w:proofErr w:type="spellStart"/>
      <w:r>
        <w:t>nuevas</w:t>
      </w:r>
      <w:proofErr w:type="spellEnd"/>
      <w:r>
        <w:t xml:space="preserve"> </w:t>
      </w:r>
      <w:proofErr w:type="spellStart"/>
      <w:r>
        <w:t>podemos</w:t>
      </w:r>
      <w:proofErr w:type="spellEnd"/>
      <w:r>
        <w:t xml:space="preserve"> </w:t>
      </w:r>
      <w:proofErr w:type="spellStart"/>
      <w:r>
        <w:t>explicar</w:t>
      </w:r>
      <w:proofErr w:type="spellEnd"/>
      <w:r>
        <w:t xml:space="preserve"> una gran </w:t>
      </w:r>
      <w:proofErr w:type="spellStart"/>
      <w:r>
        <w:t>parte</w:t>
      </w:r>
      <w:proofErr w:type="spellEnd"/>
      <w:r>
        <w:t xml:space="preserve"> de l</w:t>
      </w:r>
      <w:r>
        <w:t xml:space="preserve">os </w:t>
      </w:r>
      <w:proofErr w:type="spellStart"/>
      <w:r>
        <w:t>datos</w:t>
      </w:r>
      <w:proofErr w:type="spellEnd"/>
      <w:r>
        <w:t xml:space="preserve">, </w:t>
      </w:r>
      <w:proofErr w:type="spellStart"/>
      <w:r>
        <w:t>en</w:t>
      </w:r>
      <w:proofErr w:type="spellEnd"/>
      <w:r>
        <w:t xml:space="preserve"> </w:t>
      </w:r>
      <w:proofErr w:type="spellStart"/>
      <w:r>
        <w:t>concreto</w:t>
      </w:r>
      <w:proofErr w:type="spellEnd"/>
      <w:r>
        <w:t xml:space="preserve"> la Dim 1 </w:t>
      </w:r>
      <w:proofErr w:type="spellStart"/>
      <w:r>
        <w:t>explica</w:t>
      </w:r>
      <w:proofErr w:type="spellEnd"/>
      <w:r>
        <w:t xml:space="preserve"> el 80.49% de la </w:t>
      </w:r>
      <w:proofErr w:type="spellStart"/>
      <w:r>
        <w:t>varianza</w:t>
      </w:r>
      <w:proofErr w:type="spellEnd"/>
      <w:r>
        <w:t xml:space="preserve"> </w:t>
      </w:r>
      <w:proofErr w:type="spellStart"/>
      <w:r>
        <w:t>mientras</w:t>
      </w:r>
      <w:proofErr w:type="spellEnd"/>
      <w:r>
        <w:t xml:space="preserve"> que la Dim 2 </w:t>
      </w:r>
      <w:proofErr w:type="spellStart"/>
      <w:r>
        <w:t>explica</w:t>
      </w:r>
      <w:proofErr w:type="spellEnd"/>
      <w:r>
        <w:t xml:space="preserve"> el 17.85%, por lo que </w:t>
      </w:r>
      <w:proofErr w:type="spellStart"/>
      <w:r>
        <w:t>con dos</w:t>
      </w:r>
      <w:proofErr w:type="spellEnd"/>
      <w:r>
        <w:t xml:space="preserve"> </w:t>
      </w:r>
      <w:proofErr w:type="spellStart"/>
      <w:r>
        <w:t>dimensiones</w:t>
      </w:r>
      <w:proofErr w:type="spellEnd"/>
      <w:r>
        <w:t xml:space="preserve"> </w:t>
      </w:r>
      <w:proofErr w:type="spellStart"/>
      <w:r>
        <w:t>somos</w:t>
      </w:r>
      <w:proofErr w:type="spellEnd"/>
      <w:r>
        <w:t xml:space="preserve"> </w:t>
      </w:r>
      <w:proofErr w:type="spellStart"/>
      <w:r>
        <w:t>capaces</w:t>
      </w:r>
      <w:proofErr w:type="spellEnd"/>
      <w:r>
        <w:t xml:space="preserve"> de </w:t>
      </w:r>
      <w:proofErr w:type="spellStart"/>
      <w:r>
        <w:t>explicar</w:t>
      </w:r>
      <w:proofErr w:type="spellEnd"/>
      <w:r>
        <w:t xml:space="preserve"> el 98.34%.</w:t>
      </w:r>
    </w:p>
    <w:p w14:paraId="5630042E" w14:textId="3B50D94C" w:rsidR="0066238E" w:rsidRDefault="00000AE9">
      <w:pPr>
        <w:pStyle w:val="Textoindependiente"/>
      </w:pPr>
      <w:r>
        <w:t xml:space="preserve">Podemos </w:t>
      </w:r>
      <w:proofErr w:type="spellStart"/>
      <w:r>
        <w:t>observar</w:t>
      </w:r>
      <w:proofErr w:type="spellEnd"/>
      <w:r>
        <w:t xml:space="preserve"> </w:t>
      </w:r>
      <w:proofErr w:type="spellStart"/>
      <w:r>
        <w:t>cómo</w:t>
      </w:r>
      <w:proofErr w:type="spellEnd"/>
      <w:r>
        <w:t xml:space="preserve"> los depósitos a corto plazo son más explicados por la segunda</w:t>
      </w:r>
      <w:r>
        <w:t xml:space="preserve"> dimensión, sobre todo el bono a 1 mes, mientras que los que són más largos tienen más explicación de la Dim 1.</w:t>
      </w:r>
    </w:p>
    <w:p w14:paraId="0B1D2D15" w14:textId="1483F44A" w:rsidR="0066238E" w:rsidRPr="006C7E93" w:rsidRDefault="00000AE9">
      <w:pPr>
        <w:pStyle w:val="SourceCode"/>
        <w:rPr>
          <w:rStyle w:val="VerbatimChar"/>
          <w:sz w:val="20"/>
          <w:szCs w:val="14"/>
        </w:rPr>
      </w:pPr>
      <w:r w:rsidRPr="006C7E93">
        <w:rPr>
          <w:rStyle w:val="VerbatimChar"/>
          <w:b w:val="0"/>
          <w:bCs w:val="0"/>
          <w:sz w:val="20"/>
          <w:szCs w:val="14"/>
        </w:rPr>
        <w:t>##          eigenvalue percentage of variance cumulative percentage of variance</w:t>
      </w:r>
      <w:r w:rsidRPr="006C7E93">
        <w:rPr>
          <w:rStyle w:val="VerbatimChar"/>
          <w:sz w:val="20"/>
          <w:szCs w:val="14"/>
        </w:rPr>
        <w:br/>
      </w:r>
      <w:r w:rsidRPr="006C7E93">
        <w:rPr>
          <w:rStyle w:val="VerbatimChar"/>
          <w:b w:val="0"/>
          <w:bCs w:val="0"/>
          <w:sz w:val="20"/>
          <w:szCs w:val="14"/>
        </w:rPr>
        <w:t xml:space="preserve">## comp 1 7.244544e+00           8.049493e+01                   </w:t>
      </w:r>
      <w:r w:rsidRPr="006C7E93">
        <w:rPr>
          <w:rStyle w:val="VerbatimChar"/>
          <w:b w:val="0"/>
          <w:bCs w:val="0"/>
          <w:sz w:val="20"/>
          <w:szCs w:val="14"/>
        </w:rPr>
        <w:t xml:space="preserve">       80.49493</w:t>
      </w:r>
      <w:r w:rsidRPr="006C7E93">
        <w:rPr>
          <w:rStyle w:val="VerbatimChar"/>
          <w:sz w:val="20"/>
          <w:szCs w:val="14"/>
        </w:rPr>
        <w:br/>
      </w:r>
      <w:r w:rsidRPr="006C7E93">
        <w:rPr>
          <w:rStyle w:val="VerbatimChar"/>
          <w:b w:val="0"/>
          <w:bCs w:val="0"/>
          <w:sz w:val="20"/>
          <w:szCs w:val="14"/>
        </w:rPr>
        <w:t>## comp 2 1.606518e+00           1.785020e+01                          98.34513</w:t>
      </w:r>
      <w:r w:rsidRPr="006C7E93">
        <w:rPr>
          <w:rStyle w:val="VerbatimChar"/>
          <w:sz w:val="20"/>
          <w:szCs w:val="14"/>
        </w:rPr>
        <w:br/>
      </w:r>
      <w:r w:rsidRPr="006C7E93">
        <w:rPr>
          <w:rStyle w:val="VerbatimChar"/>
          <w:b w:val="0"/>
          <w:bCs w:val="0"/>
          <w:sz w:val="20"/>
          <w:szCs w:val="14"/>
        </w:rPr>
        <w:t>## comp 3 1.119973e-01           1.244415e+00                          99.58954</w:t>
      </w:r>
      <w:r w:rsidRPr="006C7E93">
        <w:rPr>
          <w:rStyle w:val="VerbatimChar"/>
          <w:sz w:val="20"/>
          <w:szCs w:val="14"/>
        </w:rPr>
        <w:br/>
      </w:r>
      <w:r w:rsidRPr="006C7E93">
        <w:rPr>
          <w:rStyle w:val="VerbatimChar"/>
          <w:b w:val="0"/>
          <w:bCs w:val="0"/>
          <w:sz w:val="20"/>
          <w:szCs w:val="14"/>
        </w:rPr>
        <w:t>## comp 4 2.712761e-02           3.014179e-01                          99.89096</w:t>
      </w:r>
      <w:r w:rsidRPr="006C7E93">
        <w:rPr>
          <w:rStyle w:val="VerbatimChar"/>
          <w:sz w:val="20"/>
          <w:szCs w:val="14"/>
        </w:rPr>
        <w:br/>
      </w:r>
      <w:r w:rsidRPr="006C7E93">
        <w:rPr>
          <w:rStyle w:val="VerbatimChar"/>
          <w:b w:val="0"/>
          <w:bCs w:val="0"/>
          <w:sz w:val="20"/>
          <w:szCs w:val="14"/>
        </w:rPr>
        <w:t>## comp 5 6.081229e-03           6.756922e-02                          99.95853</w:t>
      </w:r>
      <w:r w:rsidRPr="006C7E93">
        <w:rPr>
          <w:rStyle w:val="VerbatimChar"/>
          <w:sz w:val="20"/>
          <w:szCs w:val="14"/>
        </w:rPr>
        <w:br/>
      </w:r>
      <w:r w:rsidRPr="006C7E93">
        <w:rPr>
          <w:rStyle w:val="VerbatimChar"/>
          <w:b w:val="0"/>
          <w:bCs w:val="0"/>
          <w:sz w:val="20"/>
          <w:szCs w:val="14"/>
        </w:rPr>
        <w:t>## comp 6 3.133400e-03           3.481555e-02                          99.99335</w:t>
      </w:r>
      <w:r w:rsidRPr="006C7E93">
        <w:rPr>
          <w:rStyle w:val="VerbatimChar"/>
          <w:sz w:val="20"/>
          <w:szCs w:val="14"/>
        </w:rPr>
        <w:br/>
      </w:r>
      <w:r w:rsidRPr="006C7E93">
        <w:rPr>
          <w:rStyle w:val="VerbatimChar"/>
          <w:b w:val="0"/>
          <w:bCs w:val="0"/>
          <w:sz w:val="20"/>
          <w:szCs w:val="14"/>
        </w:rPr>
        <w:t>## comp 7 3.926834e-04           4.363149e-03                          99.99771</w:t>
      </w:r>
      <w:r w:rsidRPr="006C7E93">
        <w:rPr>
          <w:rStyle w:val="VerbatimChar"/>
          <w:sz w:val="20"/>
          <w:szCs w:val="14"/>
        </w:rPr>
        <w:br/>
      </w:r>
      <w:r w:rsidRPr="006C7E93">
        <w:rPr>
          <w:rStyle w:val="VerbatimChar"/>
          <w:b w:val="0"/>
          <w:bCs w:val="0"/>
          <w:sz w:val="20"/>
          <w:szCs w:val="14"/>
        </w:rPr>
        <w:t>## comp 8 1.2792</w:t>
      </w:r>
      <w:r w:rsidRPr="006C7E93">
        <w:rPr>
          <w:rStyle w:val="VerbatimChar"/>
          <w:b w:val="0"/>
          <w:bCs w:val="0"/>
          <w:sz w:val="20"/>
          <w:szCs w:val="14"/>
        </w:rPr>
        <w:t>76e-04           1.421418e-03                          99.99913</w:t>
      </w:r>
      <w:r w:rsidRPr="006C7E93">
        <w:rPr>
          <w:rStyle w:val="VerbatimChar"/>
          <w:sz w:val="20"/>
          <w:szCs w:val="14"/>
        </w:rPr>
        <w:br/>
      </w:r>
      <w:r w:rsidRPr="006C7E93">
        <w:rPr>
          <w:rStyle w:val="VerbatimChar"/>
          <w:b w:val="0"/>
          <w:bCs w:val="0"/>
          <w:sz w:val="20"/>
          <w:szCs w:val="14"/>
        </w:rPr>
        <w:t xml:space="preserve">## comp 9 7.825952e-05          </w:t>
      </w:r>
      <w:r w:rsidR="006C7E93">
        <w:rPr>
          <w:rStyle w:val="VerbatimChar"/>
          <w:b w:val="0"/>
          <w:bCs w:val="0"/>
          <w:sz w:val="20"/>
          <w:szCs w:val="14"/>
        </w:rPr>
        <w:t xml:space="preserve"> </w:t>
      </w:r>
      <w:r w:rsidRPr="006C7E93">
        <w:rPr>
          <w:rStyle w:val="VerbatimChar"/>
          <w:b w:val="0"/>
          <w:bCs w:val="0"/>
          <w:sz w:val="20"/>
          <w:szCs w:val="14"/>
        </w:rPr>
        <w:t xml:space="preserve"> 8.695502e-04                         100.00000</w:t>
      </w:r>
    </w:p>
    <w:p w14:paraId="79574655" w14:textId="77777777" w:rsidR="0066238E" w:rsidRDefault="00000AE9">
      <w:pPr>
        <w:pStyle w:val="FirstParagraph"/>
      </w:pPr>
      <w:r>
        <w:t>Si obtenemos los autovalores de ACP podemos observar lo que comentabamos anterioremnte, como con 2 componentes (</w:t>
      </w:r>
      <w:r>
        <w:t>Dim 1 y Dim 2) somo capaces de explicar el 98.34513% de la varianza acumulada, y cómo añadiendiendo componente a componente somos capaces de explicar el 100%. Aún así, como esos saltos no son muy grandes, no interesará añadir estos componentes, ya que comp</w:t>
      </w:r>
      <w:r>
        <w:t>liran más el modelo sin proporcionarnos una gran explicación.</w:t>
      </w:r>
    </w:p>
    <w:p w14:paraId="24322491" w14:textId="77777777" w:rsidR="0066238E" w:rsidRDefault="00000AE9">
      <w:pPr>
        <w:pStyle w:val="Textoindependiente"/>
      </w:pPr>
      <w:r>
        <w:t>Esto lo podemos representar gráficamente:</w:t>
      </w:r>
    </w:p>
    <w:p w14:paraId="32B1818E" w14:textId="77777777" w:rsidR="0066238E" w:rsidRDefault="00000AE9" w:rsidP="006C7E93">
      <w:pPr>
        <w:pStyle w:val="Textoindependiente"/>
        <w:jc w:val="center"/>
      </w:pPr>
      <w:r>
        <w:rPr>
          <w:noProof/>
        </w:rPr>
        <w:drawing>
          <wp:inline distT="0" distB="0" distL="0" distR="0" wp14:anchorId="2048663F" wp14:editId="148745C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scree%20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EC3E4DF" w14:textId="77777777" w:rsidR="0066238E" w:rsidRDefault="00000AE9">
      <w:pPr>
        <w:pStyle w:val="Textoindependiente"/>
      </w:pPr>
      <w:r>
        <w:lastRenderedPageBreak/>
        <w:t>De esta manera, podemos visualizar mejor lo que comentabamos anteriormente. Así, el componente 1 es el más importante, seguido del 2 y los demás no ap</w:t>
      </w:r>
      <w:r>
        <w:t>arton casí información. Existen dos reglas para la selección de componentes: la primera se basa en seleccionar aquellos componentes que superen 1/n, es decir, tenemos 9 variables, por lo que cualquier dimensión que explique más de 1/9 de la varianza la ren</w:t>
      </w:r>
      <w:r>
        <w:t>tendremos, en este caso, el umbral si sitúa en 11,11%, por lo tanto, seleccionaríamos las dos primeras dimensiones, pero no la tercera. La otra es la regla del codo, que establece la selección dónde se produzca un mayor cambio de ángulo, en este caso podrí</w:t>
      </w:r>
      <w:r>
        <w:t>amos estaría entre las dimensiones 2-3 o 3-4.</w:t>
      </w:r>
    </w:p>
    <w:p w14:paraId="31B3FC9A" w14:textId="78100630" w:rsidR="00FC3900" w:rsidRDefault="00000AE9">
      <w:pPr>
        <w:pStyle w:val="Textoindependiente"/>
      </w:pPr>
      <w:r>
        <w:t xml:space="preserve">También podemos anaizar lo que aporta cada bono a las </w:t>
      </w:r>
      <w:proofErr w:type="spellStart"/>
      <w:r>
        <w:t>dimensiones</w:t>
      </w:r>
      <w:proofErr w:type="spellEnd"/>
      <w:r>
        <w:t>:</w:t>
      </w:r>
    </w:p>
    <w:p w14:paraId="0115BCBE" w14:textId="32C07E80" w:rsidR="0066238E" w:rsidRPr="006C7E93" w:rsidRDefault="00000AE9">
      <w:pPr>
        <w:pStyle w:val="SourceCode"/>
        <w:rPr>
          <w:rStyle w:val="VerbatimChar"/>
          <w:sz w:val="20"/>
          <w:szCs w:val="14"/>
        </w:rPr>
      </w:pPr>
      <w:r w:rsidRPr="006C7E93">
        <w:rPr>
          <w:rStyle w:val="VerbatimChar"/>
          <w:b w:val="0"/>
          <w:bCs w:val="0"/>
          <w:sz w:val="20"/>
          <w:szCs w:val="14"/>
        </w:rPr>
        <w:t>##              Dim.1       Dim.2       Dim.3      Dim.4     Dim.5</w:t>
      </w:r>
      <w:r w:rsidRPr="006C7E93">
        <w:rPr>
          <w:rStyle w:val="VerbatimChar"/>
          <w:sz w:val="20"/>
          <w:szCs w:val="14"/>
        </w:rPr>
        <w:br/>
      </w:r>
      <w:r w:rsidRPr="006C7E93">
        <w:rPr>
          <w:rStyle w:val="VerbatimChar"/>
          <w:b w:val="0"/>
          <w:bCs w:val="0"/>
          <w:sz w:val="20"/>
          <w:szCs w:val="14"/>
        </w:rPr>
        <w:t>## DEPO 1M   3.439381 44.93511385 18.04746168 31.7745696  1.800575</w:t>
      </w:r>
      <w:r w:rsidRPr="006C7E93">
        <w:rPr>
          <w:rStyle w:val="VerbatimChar"/>
          <w:sz w:val="20"/>
          <w:szCs w:val="14"/>
        </w:rPr>
        <w:br/>
      </w:r>
      <w:r w:rsidRPr="006C7E93">
        <w:rPr>
          <w:rStyle w:val="VerbatimChar"/>
          <w:b w:val="0"/>
          <w:bCs w:val="0"/>
          <w:sz w:val="20"/>
          <w:szCs w:val="14"/>
        </w:rPr>
        <w:t>## DEPO 3</w:t>
      </w:r>
      <w:r w:rsidRPr="006C7E93">
        <w:rPr>
          <w:rStyle w:val="VerbatimChar"/>
          <w:b w:val="0"/>
          <w:bCs w:val="0"/>
          <w:sz w:val="20"/>
          <w:szCs w:val="14"/>
        </w:rPr>
        <w:t>M   8.042391 25.26417324  0.08898925 35.8725087 23.679973</w:t>
      </w:r>
      <w:r w:rsidRPr="006C7E93">
        <w:rPr>
          <w:rStyle w:val="VerbatimChar"/>
          <w:sz w:val="20"/>
          <w:szCs w:val="14"/>
        </w:rPr>
        <w:br/>
      </w:r>
      <w:r w:rsidRPr="006C7E93">
        <w:rPr>
          <w:rStyle w:val="VerbatimChar"/>
          <w:b w:val="0"/>
          <w:bCs w:val="0"/>
          <w:sz w:val="20"/>
          <w:szCs w:val="14"/>
        </w:rPr>
        <w:t>## DEPO 6M  11.961328  7.16490654 12.59499609  6.7102070 16.838025</w:t>
      </w:r>
      <w:r w:rsidRPr="006C7E93">
        <w:rPr>
          <w:rStyle w:val="VerbatimChar"/>
          <w:sz w:val="20"/>
          <w:szCs w:val="14"/>
        </w:rPr>
        <w:br/>
      </w:r>
      <w:r w:rsidRPr="006C7E93">
        <w:rPr>
          <w:rStyle w:val="VerbatimChar"/>
          <w:b w:val="0"/>
          <w:bCs w:val="0"/>
          <w:sz w:val="20"/>
          <w:szCs w:val="14"/>
        </w:rPr>
        <w:t>## DEPO 12M 13.363208  0.04886567 25.26420280  1.8090391 15.913029</w:t>
      </w:r>
      <w:r w:rsidRPr="006C7E93">
        <w:rPr>
          <w:rStyle w:val="VerbatimChar"/>
          <w:sz w:val="20"/>
          <w:szCs w:val="14"/>
        </w:rPr>
        <w:br/>
      </w:r>
      <w:r w:rsidRPr="006C7E93">
        <w:rPr>
          <w:rStyle w:val="VerbatimChar"/>
          <w:b w:val="0"/>
          <w:bCs w:val="0"/>
          <w:sz w:val="20"/>
          <w:szCs w:val="14"/>
        </w:rPr>
        <w:t>## IRS 2Y   13.231030  1.81111739  6.90389278 11.8004777 20.4965</w:t>
      </w:r>
      <w:r w:rsidRPr="006C7E93">
        <w:rPr>
          <w:rStyle w:val="VerbatimChar"/>
          <w:b w:val="0"/>
          <w:bCs w:val="0"/>
          <w:sz w:val="20"/>
          <w:szCs w:val="14"/>
        </w:rPr>
        <w:t>82</w:t>
      </w:r>
      <w:r w:rsidRPr="006C7E93">
        <w:rPr>
          <w:rStyle w:val="VerbatimChar"/>
          <w:sz w:val="20"/>
          <w:szCs w:val="14"/>
        </w:rPr>
        <w:br/>
      </w:r>
      <w:r w:rsidRPr="006C7E93">
        <w:rPr>
          <w:rStyle w:val="VerbatimChar"/>
          <w:b w:val="0"/>
          <w:bCs w:val="0"/>
          <w:sz w:val="20"/>
          <w:szCs w:val="14"/>
        </w:rPr>
        <w:t>## IRS 3Y   13.019990  3.40552172  0.21917322  4.3371674  8.641580</w:t>
      </w:r>
      <w:r w:rsidRPr="006C7E93">
        <w:rPr>
          <w:rStyle w:val="VerbatimChar"/>
          <w:sz w:val="20"/>
          <w:szCs w:val="14"/>
        </w:rPr>
        <w:br/>
      </w:r>
      <w:r w:rsidRPr="006C7E93">
        <w:rPr>
          <w:rStyle w:val="VerbatimChar"/>
          <w:b w:val="0"/>
          <w:bCs w:val="0"/>
          <w:sz w:val="20"/>
          <w:szCs w:val="14"/>
        </w:rPr>
        <w:t>## IRS 4Y   12.738287  4.63991124  2.06794001  0.3178405  1.173193</w:t>
      </w:r>
      <w:r w:rsidRPr="006C7E93">
        <w:rPr>
          <w:rStyle w:val="VerbatimChar"/>
          <w:sz w:val="20"/>
          <w:szCs w:val="14"/>
        </w:rPr>
        <w:br/>
      </w:r>
      <w:r w:rsidRPr="006C7E93">
        <w:rPr>
          <w:rStyle w:val="VerbatimChar"/>
          <w:b w:val="0"/>
          <w:bCs w:val="0"/>
          <w:sz w:val="20"/>
          <w:szCs w:val="14"/>
        </w:rPr>
        <w:t>## IRS 5Y   12.411082  5.62809691  9.08658277  0.4737811  0.329674</w:t>
      </w:r>
      <w:r w:rsidRPr="006C7E93">
        <w:rPr>
          <w:rStyle w:val="VerbatimChar"/>
          <w:sz w:val="20"/>
          <w:szCs w:val="14"/>
        </w:rPr>
        <w:br/>
      </w:r>
      <w:r w:rsidRPr="006C7E93">
        <w:rPr>
          <w:rStyle w:val="VerbatimChar"/>
          <w:b w:val="0"/>
          <w:bCs w:val="0"/>
          <w:sz w:val="20"/>
          <w:szCs w:val="14"/>
        </w:rPr>
        <w:t xml:space="preserve">## </w:t>
      </w:r>
      <w:r w:rsidR="00FC3900">
        <w:rPr>
          <w:rStyle w:val="VerbatimChar"/>
          <w:b w:val="0"/>
          <w:bCs w:val="0"/>
          <w:sz w:val="20"/>
          <w:szCs w:val="14"/>
        </w:rPr>
        <w:t xml:space="preserve"> </w:t>
      </w:r>
      <w:r w:rsidRPr="006C7E93">
        <w:rPr>
          <w:rStyle w:val="VerbatimChar"/>
          <w:b w:val="0"/>
          <w:bCs w:val="0"/>
          <w:sz w:val="20"/>
          <w:szCs w:val="14"/>
        </w:rPr>
        <w:t xml:space="preserve">IRS 7Y   </w:t>
      </w:r>
      <w:r w:rsidR="00FC3900">
        <w:rPr>
          <w:rStyle w:val="VerbatimChar"/>
          <w:b w:val="0"/>
          <w:bCs w:val="0"/>
          <w:sz w:val="20"/>
          <w:szCs w:val="14"/>
        </w:rPr>
        <w:t xml:space="preserve">  </w:t>
      </w:r>
      <w:r w:rsidRPr="006C7E93">
        <w:rPr>
          <w:rStyle w:val="VerbatimChar"/>
          <w:b w:val="0"/>
          <w:bCs w:val="0"/>
          <w:sz w:val="20"/>
          <w:szCs w:val="14"/>
        </w:rPr>
        <w:t xml:space="preserve">11.793304  </w:t>
      </w:r>
      <w:r w:rsidR="00FC3900">
        <w:rPr>
          <w:rStyle w:val="VerbatimChar"/>
          <w:b w:val="0"/>
          <w:bCs w:val="0"/>
          <w:sz w:val="20"/>
          <w:szCs w:val="14"/>
        </w:rPr>
        <w:t xml:space="preserve">  </w:t>
      </w:r>
      <w:r w:rsidRPr="006C7E93">
        <w:rPr>
          <w:rStyle w:val="VerbatimChar"/>
          <w:b w:val="0"/>
          <w:bCs w:val="0"/>
          <w:sz w:val="20"/>
          <w:szCs w:val="14"/>
        </w:rPr>
        <w:t xml:space="preserve">7.10229344 </w:t>
      </w:r>
      <w:r w:rsidR="00FC3900">
        <w:rPr>
          <w:rStyle w:val="VerbatimChar"/>
          <w:b w:val="0"/>
          <w:bCs w:val="0"/>
          <w:sz w:val="20"/>
          <w:szCs w:val="14"/>
        </w:rPr>
        <w:t xml:space="preserve">    </w:t>
      </w:r>
      <w:r w:rsidRPr="006C7E93">
        <w:rPr>
          <w:rStyle w:val="VerbatimChar"/>
          <w:b w:val="0"/>
          <w:bCs w:val="0"/>
          <w:sz w:val="20"/>
          <w:szCs w:val="14"/>
        </w:rPr>
        <w:t xml:space="preserve">25.72676140  </w:t>
      </w:r>
      <w:r w:rsidR="00FC3900">
        <w:rPr>
          <w:rStyle w:val="VerbatimChar"/>
          <w:b w:val="0"/>
          <w:bCs w:val="0"/>
          <w:sz w:val="20"/>
          <w:szCs w:val="14"/>
        </w:rPr>
        <w:t xml:space="preserve">  </w:t>
      </w:r>
      <w:r w:rsidRPr="006C7E93">
        <w:rPr>
          <w:rStyle w:val="VerbatimChar"/>
          <w:b w:val="0"/>
          <w:bCs w:val="0"/>
          <w:sz w:val="20"/>
          <w:szCs w:val="14"/>
        </w:rPr>
        <w:t xml:space="preserve">6.9044090 </w:t>
      </w:r>
      <w:r w:rsidR="00FC3900">
        <w:rPr>
          <w:rStyle w:val="VerbatimChar"/>
          <w:b w:val="0"/>
          <w:bCs w:val="0"/>
          <w:sz w:val="20"/>
          <w:szCs w:val="14"/>
        </w:rPr>
        <w:t xml:space="preserve">   </w:t>
      </w:r>
      <w:r w:rsidRPr="006C7E93">
        <w:rPr>
          <w:rStyle w:val="VerbatimChar"/>
          <w:b w:val="0"/>
          <w:bCs w:val="0"/>
          <w:sz w:val="20"/>
          <w:szCs w:val="14"/>
        </w:rPr>
        <w:t>11.127370</w:t>
      </w:r>
    </w:p>
    <w:p w14:paraId="39F68696" w14:textId="77777777" w:rsidR="0066238E" w:rsidRDefault="00000AE9">
      <w:pPr>
        <w:pStyle w:val="FirstParagraph"/>
      </w:pPr>
      <w:r>
        <w:t xml:space="preserve">Cómo podemos obserar, la Dim.1 está fuertemente explicada por los bonos por encima de 6 meses, mientras que la Dim.2 está explicada por los bonos a 1 y 3 meses. Esto confirma, la hipótesis </w:t>
      </w:r>
      <w:r>
        <w:t>inicial de los dos grupos o clases de bonos. Para un mejor entendimiento lo graficaremos:</w:t>
      </w:r>
    </w:p>
    <w:p w14:paraId="4195FFDC" w14:textId="77777777" w:rsidR="0066238E" w:rsidRDefault="00000AE9" w:rsidP="006C7E93">
      <w:pPr>
        <w:pStyle w:val="Textoindependiente"/>
        <w:jc w:val="center"/>
      </w:pPr>
      <w:r>
        <w:rPr>
          <w:noProof/>
        </w:rPr>
        <w:drawing>
          <wp:inline distT="0" distB="0" distL="0" distR="0" wp14:anchorId="248C69F7" wp14:editId="39C9E29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variable%20cos2%20for%20Dim%20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2857849" w14:textId="77777777" w:rsidR="0066238E" w:rsidRDefault="00000AE9">
      <w:pPr>
        <w:pStyle w:val="Textoindependiente"/>
      </w:pPr>
      <w:r>
        <w:lastRenderedPageBreak/>
        <w:t>Como hemos comentado anteriormente, la Dim 1 está fuertemente explicada por los bonos por encima de 6 meses, mientras que los bonos a corto plazo (1-3 meses) no inf</w:t>
      </w:r>
      <w:r>
        <w:t>luyen en está dimensión, sin embargo en la dimensión 2, ocurre lo contrario, está explicada por los bonos a corto plazo.</w:t>
      </w:r>
    </w:p>
    <w:p w14:paraId="2DAE6172" w14:textId="15DD15DA" w:rsidR="00FC3900" w:rsidRDefault="00000AE9" w:rsidP="00FC3900">
      <w:pPr>
        <w:pStyle w:val="Textoindependiente"/>
        <w:jc w:val="center"/>
      </w:pPr>
      <w:r>
        <w:rPr>
          <w:noProof/>
        </w:rPr>
        <w:drawing>
          <wp:inline distT="0" distB="0" distL="0" distR="0" wp14:anchorId="110603F0" wp14:editId="2ED1BC3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variable%20cos2%20for%20Dim%20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564486F" w14:textId="1DC1C4FA" w:rsidR="0066238E" w:rsidRDefault="00000AE9">
      <w:pPr>
        <w:pStyle w:val="Textoindependiente"/>
      </w:pPr>
      <w:proofErr w:type="spellStart"/>
      <w:r>
        <w:t>En</w:t>
      </w:r>
      <w:proofErr w:type="spellEnd"/>
      <w:r>
        <w:t xml:space="preserve"> ambos </w:t>
      </w:r>
      <w:proofErr w:type="spellStart"/>
      <w:r>
        <w:t>casos</w:t>
      </w:r>
      <w:proofErr w:type="spellEnd"/>
      <w:r>
        <w:t xml:space="preserve"> la línea roja representa la explicación media, por lo tanto, aquellas barras que la superen explicarán más que la medi</w:t>
      </w:r>
      <w:r>
        <w:t>a.</w:t>
      </w:r>
    </w:p>
    <w:p w14:paraId="333BA1D7" w14:textId="77777777" w:rsidR="0066238E" w:rsidRDefault="00000AE9">
      <w:pPr>
        <w:pStyle w:val="Ttulo4"/>
      </w:pPr>
      <w:bookmarkStart w:id="14" w:name="conclusión-1"/>
      <w:r>
        <w:t>CONCLUSIÓN:</w:t>
      </w:r>
      <w:bookmarkEnd w:id="14"/>
    </w:p>
    <w:p w14:paraId="11BC94F1" w14:textId="77777777" w:rsidR="0066238E" w:rsidRDefault="00000AE9">
      <w:pPr>
        <w:pStyle w:val="FirstParagraph"/>
      </w:pPr>
      <w:r>
        <w:rPr>
          <w:b/>
        </w:rPr>
        <w:t xml:space="preserve">Podemos concluir que tras el cálculo de Análisis de Componentes principales podemos afirmar que con dos componentes somos capaces de explicar el 98,34% de la varianza, lo que significa, explicar de manera adecuada la estructura de los tipos </w:t>
      </w:r>
      <w:r>
        <w:rPr>
          <w:b/>
        </w:rPr>
        <w:t>de interés analizados. Además, hemos comporobado cómo la duración de estos bonos afecta a la contribución de dichas compentes.</w:t>
      </w:r>
    </w:p>
    <w:p w14:paraId="0AAAA13E" w14:textId="77777777" w:rsidR="0066238E" w:rsidRDefault="00000AE9">
      <w:r>
        <w:pict w14:anchorId="3F2D91DF">
          <v:rect id="_x0000_i1040" style="width:0;height:1.5pt" o:hralign="center" o:hrstd="t" o:hr="t"/>
        </w:pict>
      </w:r>
    </w:p>
    <w:p w14:paraId="4EF88A22" w14:textId="77777777" w:rsidR="0066238E" w:rsidRDefault="00000AE9">
      <w:pPr>
        <w:pStyle w:val="Ttulo2"/>
      </w:pPr>
      <w:bookmarkStart w:id="15" w:name="X43e7c738cf291f52f7be84ab268bd6b2e76fa6e"/>
      <w:r>
        <w:t>¿Tiene sentido llevar a cabo una rotación de las variables subyacentes?</w:t>
      </w:r>
      <w:bookmarkEnd w:id="15"/>
    </w:p>
    <w:p w14:paraId="2FD8268D" w14:textId="77777777" w:rsidR="0066238E" w:rsidRDefault="00000AE9">
      <w:pPr>
        <w:pStyle w:val="FirstParagraph"/>
      </w:pPr>
      <w:r>
        <w:t>La rotación factorial pretende seleccionar la solución más sencilla e interpretable, siempre siguiendo el criterio de parsimonia. En síntesis, consiste en hacer girar los ejes de coord</w:t>
      </w:r>
      <w:r>
        <w:t>enadas, que representan a los factores, hasta conseguir que se aproximen al máximo a las variables en que están saturados.</w:t>
      </w:r>
    </w:p>
    <w:p w14:paraId="124BADCA" w14:textId="77777777" w:rsidR="0066238E" w:rsidRDefault="00000AE9">
      <w:pPr>
        <w:pStyle w:val="Textoindependiente"/>
      </w:pPr>
      <w:r>
        <w:rPr>
          <w:b/>
        </w:rPr>
        <w:lastRenderedPageBreak/>
        <w:t>Método Varimax</w:t>
      </w:r>
      <w:r>
        <w:t xml:space="preserve">: Introducido por Kaiser en 1958, se basa en la determinación de la </w:t>
      </w:r>
      <w:r>
        <w:rPr>
          <w:i/>
        </w:rPr>
        <w:t>simplicidad</w:t>
      </w:r>
      <w:r>
        <w:t xml:space="preserve"> de un factor, medida por la varianza de</w:t>
      </w:r>
      <w:r>
        <w:t xml:space="preserve"> los cuadrados de sus saturaciones en las variables observables.</w:t>
      </w:r>
    </w:p>
    <w:p w14:paraId="7C56EB8E" w14:textId="77777777" w:rsidR="0066238E" w:rsidRDefault="00000AE9">
      <w:pPr>
        <w:pStyle w:val="Textoindependiente"/>
      </w:pPr>
      <w:r>
        <w:t>Podemos observar que si realizamos una rotación de las variables, las varianzas explicadas modifican, la dimensión 1 pasaría a expliar el 65.4% por lo que reduciría 15 puntos básicos, mientra</w:t>
      </w:r>
      <w:r>
        <w:t>s que la Dim 2 aumentaría hasta explicar el 31.8%. En este caso no nos interesería realizar la rotación ya que explicaríamos menos varianza, recordemos que sin la rotación eramos capaces de explicar el 98.34513% con dos dimensiones, mientras que ahora expl</w:t>
      </w:r>
      <w:r>
        <w:t>icamos el 97.2% de la varianza con las mismas dimensiones.</w:t>
      </w:r>
    </w:p>
    <w:p w14:paraId="2D97AA3D" w14:textId="77777777" w:rsidR="0066238E" w:rsidRDefault="00000AE9">
      <w:pPr>
        <w:pStyle w:val="Ttulo4"/>
      </w:pPr>
      <w:bookmarkStart w:id="16" w:name="conclusión-2"/>
      <w:r>
        <w:t>CONCLUSIÓN:</w:t>
      </w:r>
      <w:bookmarkEnd w:id="16"/>
    </w:p>
    <w:p w14:paraId="2E6A9F2F" w14:textId="77777777" w:rsidR="0066238E" w:rsidRDefault="00000AE9">
      <w:pPr>
        <w:pStyle w:val="FirstParagraph"/>
      </w:pPr>
      <w:r>
        <w:rPr>
          <w:b/>
        </w:rPr>
        <w:t>Como no experimentamos ningún crecimiento de la varianza explicada, en este caso, no nos interesa realizar la rotación de las variables subyacentes.</w:t>
      </w:r>
    </w:p>
    <w:p w14:paraId="4B698A51" w14:textId="041D0465" w:rsidR="0066238E" w:rsidRDefault="0066238E"/>
    <w:p w14:paraId="2AEC20C4" w14:textId="19CA61F7" w:rsidR="0066238E" w:rsidRDefault="0066238E"/>
    <w:p w14:paraId="38CFC3DF" w14:textId="77777777" w:rsidR="00332BD6" w:rsidRDefault="00332BD6">
      <w:pPr>
        <w:pStyle w:val="Ttulo2"/>
      </w:pPr>
      <w:bookmarkStart w:id="17" w:name="predicción-del-bono-a-10-años"/>
    </w:p>
    <w:p w14:paraId="530EB8AB" w14:textId="77777777" w:rsidR="00332BD6" w:rsidRDefault="00332BD6">
      <w:pPr>
        <w:pStyle w:val="Ttulo2"/>
      </w:pPr>
    </w:p>
    <w:p w14:paraId="0E1D12CA" w14:textId="77777777" w:rsidR="00332BD6" w:rsidRDefault="00332BD6">
      <w:pPr>
        <w:pStyle w:val="Ttulo2"/>
      </w:pPr>
    </w:p>
    <w:p w14:paraId="521ED5F5" w14:textId="77777777" w:rsidR="00332BD6" w:rsidRDefault="00332BD6">
      <w:pPr>
        <w:pStyle w:val="Ttulo2"/>
      </w:pPr>
    </w:p>
    <w:p w14:paraId="01692D1C" w14:textId="77777777" w:rsidR="00332BD6" w:rsidRDefault="00332BD6">
      <w:pPr>
        <w:pStyle w:val="Ttulo2"/>
      </w:pPr>
    </w:p>
    <w:p w14:paraId="452B8DF7" w14:textId="77777777" w:rsidR="00332BD6" w:rsidRDefault="00332BD6">
      <w:pPr>
        <w:pStyle w:val="Ttulo2"/>
      </w:pPr>
    </w:p>
    <w:p w14:paraId="09C0AE97" w14:textId="77777777" w:rsidR="00332BD6" w:rsidRDefault="00332BD6">
      <w:pPr>
        <w:pStyle w:val="Ttulo2"/>
      </w:pPr>
    </w:p>
    <w:p w14:paraId="6F035D9C" w14:textId="77777777" w:rsidR="00332BD6" w:rsidRDefault="00332BD6">
      <w:pPr>
        <w:pStyle w:val="Ttulo2"/>
      </w:pPr>
    </w:p>
    <w:p w14:paraId="6503B2C7" w14:textId="77777777" w:rsidR="00332BD6" w:rsidRDefault="00332BD6">
      <w:pPr>
        <w:pStyle w:val="Ttulo2"/>
      </w:pPr>
    </w:p>
    <w:p w14:paraId="2CA0EC05" w14:textId="77777777" w:rsidR="00332BD6" w:rsidRDefault="00332BD6">
      <w:pPr>
        <w:pStyle w:val="Ttulo2"/>
      </w:pPr>
    </w:p>
    <w:p w14:paraId="5B76D859" w14:textId="77777777" w:rsidR="00332BD6" w:rsidRDefault="00332BD6">
      <w:pPr>
        <w:pStyle w:val="Ttulo2"/>
      </w:pPr>
    </w:p>
    <w:p w14:paraId="0CB7EF13" w14:textId="77777777" w:rsidR="00332BD6" w:rsidRDefault="00332BD6">
      <w:pPr>
        <w:pStyle w:val="Ttulo2"/>
      </w:pPr>
    </w:p>
    <w:p w14:paraId="5680E841" w14:textId="77777777" w:rsidR="00332BD6" w:rsidRDefault="00332BD6">
      <w:pPr>
        <w:pStyle w:val="Ttulo2"/>
      </w:pPr>
    </w:p>
    <w:p w14:paraId="7E93D045" w14:textId="77777777" w:rsidR="00332BD6" w:rsidRDefault="00332BD6">
      <w:pPr>
        <w:pStyle w:val="Ttulo2"/>
      </w:pPr>
    </w:p>
    <w:p w14:paraId="1BF7955E" w14:textId="77777777" w:rsidR="00332BD6" w:rsidRDefault="00332BD6">
      <w:pPr>
        <w:pStyle w:val="Ttulo2"/>
      </w:pPr>
    </w:p>
    <w:p w14:paraId="59BE4F67" w14:textId="77777777" w:rsidR="00332BD6" w:rsidRDefault="00332BD6">
      <w:pPr>
        <w:pStyle w:val="Ttulo2"/>
      </w:pPr>
    </w:p>
    <w:p w14:paraId="13397061" w14:textId="77777777" w:rsidR="00332BD6" w:rsidRDefault="00332BD6">
      <w:pPr>
        <w:pStyle w:val="Ttulo2"/>
      </w:pPr>
    </w:p>
    <w:p w14:paraId="0F19F604" w14:textId="77777777" w:rsidR="00332BD6" w:rsidRDefault="00332BD6">
      <w:pPr>
        <w:pStyle w:val="Ttulo2"/>
      </w:pPr>
    </w:p>
    <w:p w14:paraId="7B77D9A9" w14:textId="77777777" w:rsidR="00332BD6" w:rsidRDefault="00332BD6">
      <w:pPr>
        <w:pStyle w:val="Ttulo2"/>
      </w:pPr>
    </w:p>
    <w:p w14:paraId="79EFDB80" w14:textId="77777777" w:rsidR="00332BD6" w:rsidRDefault="00332BD6">
      <w:pPr>
        <w:pStyle w:val="Ttulo2"/>
      </w:pPr>
    </w:p>
    <w:p w14:paraId="734418FF" w14:textId="77777777" w:rsidR="00332BD6" w:rsidRDefault="00332BD6">
      <w:pPr>
        <w:pStyle w:val="Ttulo2"/>
      </w:pPr>
    </w:p>
    <w:p w14:paraId="3FB1C2CA" w14:textId="01C4BAEF" w:rsidR="0066238E" w:rsidRDefault="00000AE9">
      <w:pPr>
        <w:pStyle w:val="Ttulo2"/>
      </w:pPr>
      <w:r>
        <w:lastRenderedPageBreak/>
        <w:t>PREDICCIÓN DEL BONO A 10 AÑOS</w:t>
      </w:r>
      <w:bookmarkEnd w:id="17"/>
    </w:p>
    <w:p w14:paraId="218A9314" w14:textId="77777777" w:rsidR="0066238E" w:rsidRDefault="00000AE9">
      <w:pPr>
        <w:pStyle w:val="FirstParagraph"/>
      </w:pPr>
      <w:r>
        <w:t>El</w:t>
      </w:r>
      <w:r>
        <w:t xml:space="preserve"> objetivo es predecir el bono a 10 años estadounidense, para ello elaboraremos un modelo de regresión de componentes principales, en nuestro caso, con 2 componentes, tal y como hemos comprobado anteriormente.</w:t>
      </w:r>
    </w:p>
    <w:p w14:paraId="00D1F3A3" w14:textId="77777777" w:rsidR="0027676C" w:rsidRDefault="0027676C" w:rsidP="008C34DF">
      <w:pPr>
        <w:rPr>
          <w:rStyle w:val="VerbatimChar"/>
          <w:sz w:val="20"/>
          <w:szCs w:val="14"/>
        </w:rPr>
        <w:sectPr w:rsidR="0027676C" w:rsidSect="00422AA9">
          <w:pgSz w:w="12240" w:h="15840"/>
          <w:pgMar w:top="1417" w:right="1701" w:bottom="1276" w:left="1701" w:header="720" w:footer="720" w:gutter="0"/>
          <w:cols w:space="720"/>
        </w:sectPr>
      </w:pPr>
    </w:p>
    <w:p w14:paraId="1468C228" w14:textId="6359A313" w:rsidR="008C34DF" w:rsidRPr="0027676C" w:rsidRDefault="008C34DF" w:rsidP="008C34DF">
      <w:pPr>
        <w:rPr>
          <w:rStyle w:val="VerbatimChar"/>
          <w:b w:val="0"/>
          <w:bCs w:val="0"/>
          <w:sz w:val="20"/>
          <w:szCs w:val="14"/>
        </w:rPr>
      </w:pPr>
      <w:r w:rsidRPr="0027676C">
        <w:rPr>
          <w:rStyle w:val="VerbatimChar"/>
          <w:b w:val="0"/>
          <w:bCs w:val="0"/>
          <w:sz w:val="20"/>
          <w:szCs w:val="14"/>
        </w:rPr>
        <w:t>[1,] 6.139403 6.065</w:t>
      </w:r>
    </w:p>
    <w:p w14:paraId="11ED3E4B" w14:textId="32EF5E80" w:rsidR="008C34DF" w:rsidRPr="0027676C" w:rsidRDefault="008C34DF" w:rsidP="008C34DF">
      <w:pPr>
        <w:rPr>
          <w:rStyle w:val="VerbatimChar"/>
          <w:b w:val="0"/>
          <w:bCs w:val="0"/>
          <w:sz w:val="20"/>
          <w:szCs w:val="14"/>
        </w:rPr>
      </w:pPr>
      <w:r w:rsidRPr="0027676C">
        <w:rPr>
          <w:rStyle w:val="VerbatimChar"/>
          <w:b w:val="0"/>
          <w:bCs w:val="0"/>
          <w:sz w:val="20"/>
          <w:szCs w:val="14"/>
        </w:rPr>
        <w:t>[2,] 6.144255 6.085</w:t>
      </w:r>
    </w:p>
    <w:p w14:paraId="557B7AD8" w14:textId="240915C4" w:rsidR="008C34DF" w:rsidRPr="0027676C" w:rsidRDefault="008C34DF" w:rsidP="008C34DF">
      <w:pPr>
        <w:rPr>
          <w:rStyle w:val="VerbatimChar"/>
          <w:b w:val="0"/>
          <w:bCs w:val="0"/>
          <w:sz w:val="20"/>
          <w:szCs w:val="14"/>
        </w:rPr>
      </w:pPr>
      <w:r w:rsidRPr="0027676C">
        <w:rPr>
          <w:rStyle w:val="VerbatimChar"/>
          <w:b w:val="0"/>
          <w:bCs w:val="0"/>
          <w:sz w:val="20"/>
          <w:szCs w:val="14"/>
        </w:rPr>
        <w:t>[3,] 6.161167 6.105</w:t>
      </w:r>
    </w:p>
    <w:p w14:paraId="7D2481C3" w14:textId="0B94BBB3" w:rsidR="008C34DF" w:rsidRPr="0027676C" w:rsidRDefault="008C34DF" w:rsidP="008C34DF">
      <w:pPr>
        <w:rPr>
          <w:rStyle w:val="VerbatimChar"/>
          <w:b w:val="0"/>
          <w:bCs w:val="0"/>
          <w:sz w:val="20"/>
          <w:szCs w:val="14"/>
        </w:rPr>
      </w:pPr>
      <w:r w:rsidRPr="0027676C">
        <w:rPr>
          <w:rStyle w:val="VerbatimChar"/>
          <w:b w:val="0"/>
          <w:bCs w:val="0"/>
          <w:sz w:val="20"/>
          <w:szCs w:val="14"/>
        </w:rPr>
        <w:t>[4,] 6.115523 6.055</w:t>
      </w:r>
    </w:p>
    <w:p w14:paraId="7C93191C" w14:textId="63F17E0B" w:rsidR="008C34DF" w:rsidRPr="0027676C" w:rsidRDefault="008C34DF" w:rsidP="008C34DF">
      <w:pPr>
        <w:rPr>
          <w:rStyle w:val="VerbatimChar"/>
          <w:b w:val="0"/>
          <w:bCs w:val="0"/>
          <w:sz w:val="20"/>
          <w:szCs w:val="14"/>
        </w:rPr>
      </w:pPr>
      <w:r w:rsidRPr="0027676C">
        <w:rPr>
          <w:rStyle w:val="VerbatimChar"/>
          <w:b w:val="0"/>
          <w:bCs w:val="0"/>
          <w:sz w:val="20"/>
          <w:szCs w:val="14"/>
        </w:rPr>
        <w:t>[5,] 5.961408 5.935</w:t>
      </w:r>
    </w:p>
    <w:p w14:paraId="3237505E" w14:textId="427D58CB" w:rsidR="008C34DF" w:rsidRPr="0027676C" w:rsidRDefault="008C34DF" w:rsidP="008C34DF">
      <w:pPr>
        <w:rPr>
          <w:rStyle w:val="VerbatimChar"/>
          <w:b w:val="0"/>
          <w:bCs w:val="0"/>
          <w:sz w:val="20"/>
          <w:szCs w:val="14"/>
        </w:rPr>
      </w:pPr>
      <w:r w:rsidRPr="0027676C">
        <w:rPr>
          <w:rStyle w:val="VerbatimChar"/>
          <w:b w:val="0"/>
          <w:bCs w:val="0"/>
          <w:sz w:val="20"/>
          <w:szCs w:val="14"/>
        </w:rPr>
        <w:t>[6,] 5.979951 5.915</w:t>
      </w:r>
    </w:p>
    <w:p w14:paraId="0F12F01B" w14:textId="5DC433B1" w:rsidR="008C34DF" w:rsidRPr="0027676C" w:rsidRDefault="008C34DF" w:rsidP="008C34DF">
      <w:pPr>
        <w:rPr>
          <w:rStyle w:val="VerbatimChar"/>
          <w:b w:val="0"/>
          <w:bCs w:val="0"/>
          <w:sz w:val="20"/>
          <w:szCs w:val="14"/>
        </w:rPr>
      </w:pPr>
      <w:r w:rsidRPr="0027676C">
        <w:rPr>
          <w:rStyle w:val="VerbatimChar"/>
          <w:b w:val="0"/>
          <w:bCs w:val="0"/>
          <w:sz w:val="20"/>
          <w:szCs w:val="14"/>
        </w:rPr>
        <w:t>[7,] 5.982538 5.905</w:t>
      </w:r>
    </w:p>
    <w:p w14:paraId="6491F9FF" w14:textId="4B00063C" w:rsidR="008C34DF" w:rsidRPr="0027676C" w:rsidRDefault="008C34DF" w:rsidP="008C34DF">
      <w:pPr>
        <w:rPr>
          <w:rStyle w:val="VerbatimChar"/>
          <w:b w:val="0"/>
          <w:bCs w:val="0"/>
          <w:sz w:val="20"/>
          <w:szCs w:val="14"/>
        </w:rPr>
      </w:pPr>
      <w:r w:rsidRPr="0027676C">
        <w:rPr>
          <w:rStyle w:val="VerbatimChar"/>
          <w:b w:val="0"/>
          <w:bCs w:val="0"/>
          <w:sz w:val="20"/>
          <w:szCs w:val="14"/>
        </w:rPr>
        <w:t>[8,] 5.936134 5.875</w:t>
      </w:r>
    </w:p>
    <w:p w14:paraId="4F30A2B2" w14:textId="1DE22BC2" w:rsidR="008C34DF" w:rsidRPr="0027676C" w:rsidRDefault="008C34DF" w:rsidP="008C34DF">
      <w:pPr>
        <w:rPr>
          <w:rStyle w:val="VerbatimChar"/>
          <w:b w:val="0"/>
          <w:bCs w:val="0"/>
          <w:sz w:val="20"/>
          <w:szCs w:val="14"/>
        </w:rPr>
      </w:pPr>
      <w:r w:rsidRPr="0027676C">
        <w:rPr>
          <w:rStyle w:val="VerbatimChar"/>
          <w:b w:val="0"/>
          <w:bCs w:val="0"/>
          <w:sz w:val="20"/>
          <w:szCs w:val="14"/>
        </w:rPr>
        <w:t>[9,] 5.967560 5.885</w:t>
      </w:r>
    </w:p>
    <w:p w14:paraId="17DE788F" w14:textId="77777777" w:rsidR="008C34DF" w:rsidRPr="0027676C" w:rsidRDefault="008C34DF" w:rsidP="008C34DF">
      <w:pPr>
        <w:rPr>
          <w:rStyle w:val="VerbatimChar"/>
          <w:b w:val="0"/>
          <w:bCs w:val="0"/>
          <w:sz w:val="20"/>
          <w:szCs w:val="14"/>
        </w:rPr>
      </w:pPr>
      <w:r w:rsidRPr="0027676C">
        <w:rPr>
          <w:rStyle w:val="VerbatimChar"/>
          <w:b w:val="0"/>
          <w:bCs w:val="0"/>
          <w:sz w:val="20"/>
          <w:szCs w:val="14"/>
        </w:rPr>
        <w:t>[10,] 5.893248 5.825</w:t>
      </w:r>
    </w:p>
    <w:p w14:paraId="4CC3BD05" w14:textId="77777777" w:rsidR="008C34DF" w:rsidRPr="0027676C" w:rsidRDefault="008C34DF" w:rsidP="008C34DF">
      <w:pPr>
        <w:rPr>
          <w:rStyle w:val="VerbatimChar"/>
          <w:b w:val="0"/>
          <w:bCs w:val="0"/>
          <w:sz w:val="20"/>
          <w:szCs w:val="14"/>
        </w:rPr>
      </w:pPr>
      <w:r w:rsidRPr="0027676C">
        <w:rPr>
          <w:rStyle w:val="VerbatimChar"/>
          <w:b w:val="0"/>
          <w:bCs w:val="0"/>
          <w:sz w:val="20"/>
          <w:szCs w:val="14"/>
        </w:rPr>
        <w:t>[11,] 5.860989 5.755</w:t>
      </w:r>
    </w:p>
    <w:p w14:paraId="0C375611" w14:textId="77777777" w:rsidR="008C34DF" w:rsidRPr="0027676C" w:rsidRDefault="008C34DF" w:rsidP="008C34DF">
      <w:pPr>
        <w:rPr>
          <w:rStyle w:val="VerbatimChar"/>
          <w:b w:val="0"/>
          <w:bCs w:val="0"/>
          <w:sz w:val="20"/>
          <w:szCs w:val="14"/>
        </w:rPr>
      </w:pPr>
      <w:r w:rsidRPr="0027676C">
        <w:rPr>
          <w:rStyle w:val="VerbatimChar"/>
          <w:b w:val="0"/>
          <w:bCs w:val="0"/>
          <w:sz w:val="20"/>
          <w:szCs w:val="14"/>
        </w:rPr>
        <w:t>[12,] 5.827750 5.745</w:t>
      </w:r>
    </w:p>
    <w:p w14:paraId="41ED7735" w14:textId="77777777" w:rsidR="008C34DF" w:rsidRPr="0027676C" w:rsidRDefault="008C34DF" w:rsidP="008C34DF">
      <w:pPr>
        <w:rPr>
          <w:rStyle w:val="VerbatimChar"/>
          <w:b w:val="0"/>
          <w:bCs w:val="0"/>
          <w:sz w:val="20"/>
          <w:szCs w:val="14"/>
        </w:rPr>
      </w:pPr>
      <w:r w:rsidRPr="0027676C">
        <w:rPr>
          <w:rStyle w:val="VerbatimChar"/>
          <w:b w:val="0"/>
          <w:bCs w:val="0"/>
          <w:sz w:val="20"/>
          <w:szCs w:val="14"/>
        </w:rPr>
        <w:t>[13,] 5.816541 5.745</w:t>
      </w:r>
    </w:p>
    <w:p w14:paraId="4E030C76" w14:textId="77777777" w:rsidR="008C34DF" w:rsidRPr="0027676C" w:rsidRDefault="008C34DF" w:rsidP="008C34DF">
      <w:pPr>
        <w:rPr>
          <w:rStyle w:val="VerbatimChar"/>
          <w:b w:val="0"/>
          <w:bCs w:val="0"/>
          <w:sz w:val="20"/>
          <w:szCs w:val="14"/>
        </w:rPr>
      </w:pPr>
      <w:r w:rsidRPr="0027676C">
        <w:rPr>
          <w:rStyle w:val="VerbatimChar"/>
          <w:b w:val="0"/>
          <w:bCs w:val="0"/>
          <w:sz w:val="20"/>
          <w:szCs w:val="14"/>
        </w:rPr>
        <w:t>[14,] 5.746359 5.705</w:t>
      </w:r>
    </w:p>
    <w:p w14:paraId="6601ED65" w14:textId="77777777" w:rsidR="008C34DF" w:rsidRPr="0027676C" w:rsidRDefault="008C34DF" w:rsidP="008C34DF">
      <w:pPr>
        <w:rPr>
          <w:rStyle w:val="VerbatimChar"/>
          <w:b w:val="0"/>
          <w:bCs w:val="0"/>
          <w:sz w:val="20"/>
          <w:szCs w:val="14"/>
        </w:rPr>
      </w:pPr>
      <w:r w:rsidRPr="0027676C">
        <w:rPr>
          <w:rStyle w:val="VerbatimChar"/>
          <w:b w:val="0"/>
          <w:bCs w:val="0"/>
          <w:sz w:val="20"/>
          <w:szCs w:val="14"/>
        </w:rPr>
        <w:t>[15,] 5.611643 5.575</w:t>
      </w:r>
    </w:p>
    <w:p w14:paraId="72FD366C" w14:textId="77777777" w:rsidR="008C34DF" w:rsidRPr="0027676C" w:rsidRDefault="008C34DF" w:rsidP="008C34DF">
      <w:pPr>
        <w:rPr>
          <w:rStyle w:val="VerbatimChar"/>
          <w:b w:val="0"/>
          <w:bCs w:val="0"/>
          <w:sz w:val="20"/>
          <w:szCs w:val="14"/>
        </w:rPr>
      </w:pPr>
      <w:r w:rsidRPr="0027676C">
        <w:rPr>
          <w:rStyle w:val="VerbatimChar"/>
          <w:b w:val="0"/>
          <w:bCs w:val="0"/>
          <w:sz w:val="20"/>
          <w:szCs w:val="14"/>
        </w:rPr>
        <w:t>[16,] 5.593727 5.565</w:t>
      </w:r>
    </w:p>
    <w:p w14:paraId="771DBB4D" w14:textId="77777777" w:rsidR="008C34DF" w:rsidRPr="0027676C" w:rsidRDefault="008C34DF" w:rsidP="008C34DF">
      <w:pPr>
        <w:rPr>
          <w:rStyle w:val="VerbatimChar"/>
          <w:b w:val="0"/>
          <w:bCs w:val="0"/>
          <w:sz w:val="20"/>
          <w:szCs w:val="14"/>
        </w:rPr>
      </w:pPr>
      <w:r w:rsidRPr="0027676C">
        <w:rPr>
          <w:rStyle w:val="VerbatimChar"/>
          <w:b w:val="0"/>
          <w:bCs w:val="0"/>
          <w:sz w:val="20"/>
          <w:szCs w:val="14"/>
        </w:rPr>
        <w:t>[17,] 5.697358 5.665</w:t>
      </w:r>
    </w:p>
    <w:p w14:paraId="4AA772BB" w14:textId="77777777" w:rsidR="008C34DF" w:rsidRPr="0027676C" w:rsidRDefault="008C34DF" w:rsidP="008C34DF">
      <w:pPr>
        <w:rPr>
          <w:rStyle w:val="VerbatimChar"/>
          <w:b w:val="0"/>
          <w:bCs w:val="0"/>
          <w:sz w:val="20"/>
          <w:szCs w:val="14"/>
        </w:rPr>
      </w:pPr>
      <w:r w:rsidRPr="0027676C">
        <w:rPr>
          <w:rStyle w:val="VerbatimChar"/>
          <w:b w:val="0"/>
          <w:bCs w:val="0"/>
          <w:sz w:val="20"/>
          <w:szCs w:val="14"/>
        </w:rPr>
        <w:t>[18,] 5.636313 5.635</w:t>
      </w:r>
    </w:p>
    <w:p w14:paraId="14E95038" w14:textId="77777777" w:rsidR="008C34DF" w:rsidRPr="0027676C" w:rsidRDefault="008C34DF" w:rsidP="008C34DF">
      <w:pPr>
        <w:rPr>
          <w:rStyle w:val="VerbatimChar"/>
          <w:b w:val="0"/>
          <w:bCs w:val="0"/>
          <w:sz w:val="20"/>
          <w:szCs w:val="14"/>
        </w:rPr>
      </w:pPr>
      <w:r w:rsidRPr="0027676C">
        <w:rPr>
          <w:rStyle w:val="VerbatimChar"/>
          <w:b w:val="0"/>
          <w:bCs w:val="0"/>
          <w:sz w:val="20"/>
          <w:szCs w:val="14"/>
        </w:rPr>
        <w:t>[19,] 5.688756 5.675</w:t>
      </w:r>
    </w:p>
    <w:p w14:paraId="55B7377A" w14:textId="77777777" w:rsidR="008C34DF" w:rsidRPr="0027676C" w:rsidRDefault="008C34DF" w:rsidP="008C34DF">
      <w:pPr>
        <w:rPr>
          <w:rStyle w:val="VerbatimChar"/>
          <w:b w:val="0"/>
          <w:bCs w:val="0"/>
          <w:sz w:val="20"/>
          <w:szCs w:val="14"/>
        </w:rPr>
      </w:pPr>
      <w:r w:rsidRPr="0027676C">
        <w:rPr>
          <w:rStyle w:val="VerbatimChar"/>
          <w:b w:val="0"/>
          <w:bCs w:val="0"/>
          <w:sz w:val="20"/>
          <w:szCs w:val="14"/>
        </w:rPr>
        <w:t>[20,] 5.631329 5.605</w:t>
      </w:r>
    </w:p>
    <w:p w14:paraId="70D839EE" w14:textId="77777777" w:rsidR="008C34DF" w:rsidRPr="0027676C" w:rsidRDefault="008C34DF" w:rsidP="008C34DF">
      <w:pPr>
        <w:rPr>
          <w:rStyle w:val="VerbatimChar"/>
          <w:b w:val="0"/>
          <w:bCs w:val="0"/>
          <w:sz w:val="20"/>
          <w:szCs w:val="14"/>
        </w:rPr>
      </w:pPr>
      <w:r w:rsidRPr="0027676C">
        <w:rPr>
          <w:rStyle w:val="VerbatimChar"/>
          <w:b w:val="0"/>
          <w:bCs w:val="0"/>
          <w:sz w:val="20"/>
          <w:szCs w:val="14"/>
        </w:rPr>
        <w:t>[21,] 5.610234 5.565</w:t>
      </w:r>
    </w:p>
    <w:p w14:paraId="32334DE8" w14:textId="77777777" w:rsidR="008C34DF" w:rsidRPr="0027676C" w:rsidRDefault="008C34DF" w:rsidP="008C34DF">
      <w:pPr>
        <w:rPr>
          <w:rStyle w:val="VerbatimChar"/>
          <w:b w:val="0"/>
          <w:bCs w:val="0"/>
          <w:sz w:val="20"/>
          <w:szCs w:val="14"/>
        </w:rPr>
      </w:pPr>
      <w:r w:rsidRPr="0027676C">
        <w:rPr>
          <w:rStyle w:val="VerbatimChar"/>
          <w:b w:val="0"/>
          <w:bCs w:val="0"/>
          <w:sz w:val="20"/>
          <w:szCs w:val="14"/>
        </w:rPr>
        <w:t>[22,] 5.531313 5.485</w:t>
      </w:r>
    </w:p>
    <w:p w14:paraId="75408D3A" w14:textId="77777777" w:rsidR="008C34DF" w:rsidRPr="0027676C" w:rsidRDefault="008C34DF" w:rsidP="008C34DF">
      <w:pPr>
        <w:rPr>
          <w:rStyle w:val="VerbatimChar"/>
          <w:b w:val="0"/>
          <w:bCs w:val="0"/>
          <w:sz w:val="20"/>
          <w:szCs w:val="14"/>
        </w:rPr>
      </w:pPr>
      <w:r w:rsidRPr="0027676C">
        <w:rPr>
          <w:rStyle w:val="VerbatimChar"/>
          <w:b w:val="0"/>
          <w:bCs w:val="0"/>
          <w:sz w:val="20"/>
          <w:szCs w:val="14"/>
        </w:rPr>
        <w:t>[23,] 5.574945 5.525</w:t>
      </w:r>
    </w:p>
    <w:p w14:paraId="4876E301" w14:textId="77777777" w:rsidR="008C34DF" w:rsidRPr="0027676C" w:rsidRDefault="008C34DF" w:rsidP="008C34DF">
      <w:pPr>
        <w:rPr>
          <w:rStyle w:val="VerbatimChar"/>
          <w:b w:val="0"/>
          <w:bCs w:val="0"/>
          <w:sz w:val="20"/>
          <w:szCs w:val="14"/>
        </w:rPr>
      </w:pPr>
      <w:r w:rsidRPr="0027676C">
        <w:rPr>
          <w:rStyle w:val="VerbatimChar"/>
          <w:b w:val="0"/>
          <w:bCs w:val="0"/>
          <w:sz w:val="20"/>
          <w:szCs w:val="14"/>
        </w:rPr>
        <w:t>[24,] 5.568450 5.555</w:t>
      </w:r>
    </w:p>
    <w:p w14:paraId="13EF7DCD" w14:textId="77777777" w:rsidR="008C34DF" w:rsidRPr="0027676C" w:rsidRDefault="008C34DF" w:rsidP="008C34DF">
      <w:pPr>
        <w:rPr>
          <w:rStyle w:val="VerbatimChar"/>
          <w:b w:val="0"/>
          <w:bCs w:val="0"/>
          <w:sz w:val="20"/>
          <w:szCs w:val="14"/>
        </w:rPr>
      </w:pPr>
      <w:r w:rsidRPr="0027676C">
        <w:rPr>
          <w:rStyle w:val="VerbatimChar"/>
          <w:b w:val="0"/>
          <w:bCs w:val="0"/>
          <w:sz w:val="20"/>
          <w:szCs w:val="14"/>
        </w:rPr>
        <w:t>[25,] 5.515425 5.495</w:t>
      </w:r>
    </w:p>
    <w:p w14:paraId="65B9CC2E" w14:textId="77777777" w:rsidR="008C34DF" w:rsidRPr="0027676C" w:rsidRDefault="008C34DF" w:rsidP="008C34DF">
      <w:pPr>
        <w:rPr>
          <w:rStyle w:val="VerbatimChar"/>
          <w:b w:val="0"/>
          <w:bCs w:val="0"/>
          <w:sz w:val="20"/>
          <w:szCs w:val="14"/>
        </w:rPr>
      </w:pPr>
      <w:r w:rsidRPr="0027676C">
        <w:rPr>
          <w:rStyle w:val="VerbatimChar"/>
          <w:b w:val="0"/>
          <w:bCs w:val="0"/>
          <w:sz w:val="20"/>
          <w:szCs w:val="14"/>
        </w:rPr>
        <w:t>[26,] 5.432076 5.385</w:t>
      </w:r>
    </w:p>
    <w:p w14:paraId="23DAEF15" w14:textId="77777777" w:rsidR="008C34DF" w:rsidRPr="0027676C" w:rsidRDefault="008C34DF" w:rsidP="008C34DF">
      <w:pPr>
        <w:rPr>
          <w:rStyle w:val="VerbatimChar"/>
          <w:b w:val="0"/>
          <w:bCs w:val="0"/>
          <w:sz w:val="20"/>
          <w:szCs w:val="14"/>
        </w:rPr>
      </w:pPr>
      <w:r w:rsidRPr="0027676C">
        <w:rPr>
          <w:rStyle w:val="VerbatimChar"/>
          <w:b w:val="0"/>
          <w:bCs w:val="0"/>
          <w:sz w:val="20"/>
          <w:szCs w:val="14"/>
        </w:rPr>
        <w:t>[27,] 5.417169 5.375</w:t>
      </w:r>
    </w:p>
    <w:p w14:paraId="2112C176" w14:textId="77777777" w:rsidR="008C34DF" w:rsidRPr="0027676C" w:rsidRDefault="008C34DF" w:rsidP="008C34DF">
      <w:pPr>
        <w:rPr>
          <w:rStyle w:val="VerbatimChar"/>
          <w:b w:val="0"/>
          <w:bCs w:val="0"/>
          <w:sz w:val="20"/>
          <w:szCs w:val="14"/>
        </w:rPr>
      </w:pPr>
      <w:r w:rsidRPr="0027676C">
        <w:rPr>
          <w:rStyle w:val="VerbatimChar"/>
          <w:b w:val="0"/>
          <w:bCs w:val="0"/>
          <w:sz w:val="20"/>
          <w:szCs w:val="14"/>
        </w:rPr>
        <w:t>[28,] 5.442492 5.395</w:t>
      </w:r>
    </w:p>
    <w:p w14:paraId="6B46F29F" w14:textId="25789468" w:rsidR="0027676C" w:rsidRPr="0027676C" w:rsidRDefault="008C34DF">
      <w:pPr>
        <w:rPr>
          <w:rFonts w:ascii="Consolas" w:hAnsi="Consolas"/>
          <w:b/>
          <w:bCs/>
          <w:caps/>
          <w:szCs w:val="14"/>
        </w:rPr>
        <w:sectPr w:rsidR="0027676C" w:rsidRPr="0027676C" w:rsidSect="0027676C">
          <w:type w:val="continuous"/>
          <w:pgSz w:w="12240" w:h="15840"/>
          <w:pgMar w:top="1417" w:right="1701" w:bottom="1276" w:left="1701" w:header="720" w:footer="720" w:gutter="0"/>
          <w:cols w:num="3" w:space="720"/>
        </w:sectPr>
      </w:pPr>
      <w:r w:rsidRPr="0027676C">
        <w:rPr>
          <w:rStyle w:val="VerbatimChar"/>
          <w:b w:val="0"/>
          <w:bCs w:val="0"/>
          <w:sz w:val="20"/>
          <w:szCs w:val="14"/>
        </w:rPr>
        <w:t>[29,] 5.295800 5.245</w:t>
      </w:r>
    </w:p>
    <w:p w14:paraId="3ED6AA28" w14:textId="7985B057" w:rsidR="002F46D1" w:rsidRDefault="002F46D1" w:rsidP="002F46D1">
      <w:pPr>
        <w:pStyle w:val="FirstParagraph"/>
      </w:pPr>
      <w:proofErr w:type="spellStart"/>
      <w:r>
        <w:t>Hemos</w:t>
      </w:r>
      <w:proofErr w:type="spellEnd"/>
      <w:r>
        <w:t xml:space="preserve"> </w:t>
      </w:r>
      <w:proofErr w:type="spellStart"/>
      <w:r>
        <w:t>incluido</w:t>
      </w:r>
      <w:proofErr w:type="spellEnd"/>
      <w:r>
        <w:t xml:space="preserve"> las </w:t>
      </w:r>
      <w:proofErr w:type="spellStart"/>
      <w:r>
        <w:t>predicciones</w:t>
      </w:r>
      <w:proofErr w:type="spellEnd"/>
      <w:r>
        <w:t xml:space="preserve"> de los 29 </w:t>
      </w:r>
      <w:proofErr w:type="spellStart"/>
      <w:r>
        <w:t>datos</w:t>
      </w:r>
      <w:proofErr w:type="spellEnd"/>
      <w:r>
        <w:t xml:space="preserve"> de los </w:t>
      </w:r>
      <w:proofErr w:type="spellStart"/>
      <w:r>
        <w:t>bonos</w:t>
      </w:r>
      <w:proofErr w:type="spellEnd"/>
      <w:r>
        <w:t xml:space="preserve"> </w:t>
      </w:r>
      <w:proofErr w:type="spellStart"/>
      <w:r>
        <w:t>norteamericanos</w:t>
      </w:r>
      <w:proofErr w:type="spellEnd"/>
      <w:r>
        <w:t xml:space="preserve"> a 10 </w:t>
      </w:r>
      <w:proofErr w:type="spellStart"/>
      <w:r>
        <w:t>años</w:t>
      </w:r>
      <w:proofErr w:type="spellEnd"/>
      <w:r>
        <w:t xml:space="preserve">, </w:t>
      </w:r>
      <w:proofErr w:type="spellStart"/>
      <w:r>
        <w:t>apereciendo</w:t>
      </w:r>
      <w:proofErr w:type="spellEnd"/>
      <w:r>
        <w:t xml:space="preserve"> a la </w:t>
      </w:r>
      <w:proofErr w:type="spellStart"/>
      <w:r>
        <w:t>izquierda</w:t>
      </w:r>
      <w:proofErr w:type="spellEnd"/>
      <w:r>
        <w:t xml:space="preserve"> el valor </w:t>
      </w:r>
      <w:proofErr w:type="spellStart"/>
      <w:r>
        <w:t>predecido</w:t>
      </w:r>
      <w:proofErr w:type="spellEnd"/>
      <w:r>
        <w:t xml:space="preserve"> y a la </w:t>
      </w:r>
      <w:proofErr w:type="spellStart"/>
      <w:r>
        <w:t>derecha</w:t>
      </w:r>
      <w:proofErr w:type="spellEnd"/>
      <w:r>
        <w:t xml:space="preserve"> el real, </w:t>
      </w:r>
      <w:proofErr w:type="spellStart"/>
      <w:r>
        <w:t>como</w:t>
      </w:r>
      <w:proofErr w:type="spellEnd"/>
      <w:r>
        <w:t xml:space="preserve"> </w:t>
      </w:r>
      <w:proofErr w:type="spellStart"/>
      <w:r>
        <w:t>vemos</w:t>
      </w:r>
      <w:proofErr w:type="spellEnd"/>
      <w:r>
        <w:t xml:space="preserve"> </w:t>
      </w:r>
      <w:proofErr w:type="spellStart"/>
      <w:r>
        <w:t>tienen</w:t>
      </w:r>
      <w:proofErr w:type="spellEnd"/>
      <w:r>
        <w:t xml:space="preserve"> </w:t>
      </w:r>
      <w:proofErr w:type="spellStart"/>
      <w:r>
        <w:t>muy</w:t>
      </w:r>
      <w:proofErr w:type="spellEnd"/>
      <w:r>
        <w:t xml:space="preserve"> </w:t>
      </w:r>
      <w:proofErr w:type="spellStart"/>
      <w:r>
        <w:t>poca</w:t>
      </w:r>
      <w:proofErr w:type="spellEnd"/>
      <w:r>
        <w:t xml:space="preserve"> </w:t>
      </w:r>
      <w:proofErr w:type="spellStart"/>
      <w:r>
        <w:t>diferencia</w:t>
      </w:r>
      <w:proofErr w:type="spellEnd"/>
      <w:r>
        <w:t xml:space="preserve">. </w:t>
      </w:r>
      <w:proofErr w:type="spellStart"/>
      <w:r>
        <w:t>Tras</w:t>
      </w:r>
      <w:proofErr w:type="spellEnd"/>
      <w:r>
        <w:t xml:space="preserve"> el </w:t>
      </w:r>
      <w:proofErr w:type="spellStart"/>
      <w:r>
        <w:t>cálculo</w:t>
      </w:r>
      <w:proofErr w:type="spellEnd"/>
      <w:r>
        <w:t xml:space="preserve"> del MSE (Error </w:t>
      </w:r>
      <w:proofErr w:type="spellStart"/>
      <w:r>
        <w:t>Cuadrático</w:t>
      </w:r>
      <w:proofErr w:type="spellEnd"/>
      <w:r>
        <w:t xml:space="preserve"> Medio) </w:t>
      </w:r>
      <w:proofErr w:type="spellStart"/>
      <w:r>
        <w:t>obtenemos</w:t>
      </w:r>
      <w:proofErr w:type="spellEnd"/>
      <w:r>
        <w:t xml:space="preserve"> un </w:t>
      </w:r>
      <w:proofErr w:type="spellStart"/>
      <w:r>
        <w:t>resultado</w:t>
      </w:r>
      <w:proofErr w:type="spellEnd"/>
      <w:r>
        <w:t xml:space="preserve"> de </w:t>
      </w:r>
      <w:r w:rsidRPr="002F46D1">
        <w:t>0.003004387</w:t>
      </w:r>
      <w:r>
        <w:t>.</w:t>
      </w:r>
    </w:p>
    <w:p w14:paraId="423C58FA" w14:textId="77FEB5E3" w:rsidR="0066238E" w:rsidRDefault="0066238E"/>
    <w:p w14:paraId="3F957292" w14:textId="77777777" w:rsidR="00332BD6" w:rsidRDefault="00332BD6">
      <w:pPr>
        <w:pStyle w:val="Ttulo2"/>
      </w:pPr>
      <w:bookmarkStart w:id="18" w:name="conclsuiones-finales"/>
    </w:p>
    <w:p w14:paraId="6F4D0D5F" w14:textId="77777777" w:rsidR="00332BD6" w:rsidRDefault="00332BD6">
      <w:pPr>
        <w:pStyle w:val="Ttulo2"/>
      </w:pPr>
    </w:p>
    <w:p w14:paraId="76249536" w14:textId="77777777" w:rsidR="00332BD6" w:rsidRDefault="00332BD6">
      <w:pPr>
        <w:pStyle w:val="Ttulo2"/>
      </w:pPr>
    </w:p>
    <w:p w14:paraId="7FB80789" w14:textId="77777777" w:rsidR="00332BD6" w:rsidRDefault="00332BD6">
      <w:pPr>
        <w:pStyle w:val="Ttulo2"/>
      </w:pPr>
    </w:p>
    <w:p w14:paraId="4FEFD6BC" w14:textId="77777777" w:rsidR="00332BD6" w:rsidRDefault="00332BD6">
      <w:pPr>
        <w:pStyle w:val="Ttulo2"/>
      </w:pPr>
    </w:p>
    <w:p w14:paraId="101B8E04" w14:textId="77777777" w:rsidR="00332BD6" w:rsidRDefault="00332BD6">
      <w:pPr>
        <w:pStyle w:val="Ttulo2"/>
      </w:pPr>
    </w:p>
    <w:p w14:paraId="5A189B5C" w14:textId="77777777" w:rsidR="00332BD6" w:rsidRDefault="00332BD6">
      <w:pPr>
        <w:pStyle w:val="Ttulo2"/>
      </w:pPr>
    </w:p>
    <w:p w14:paraId="79097438" w14:textId="77777777" w:rsidR="00332BD6" w:rsidRDefault="00332BD6">
      <w:pPr>
        <w:pStyle w:val="Ttulo2"/>
      </w:pPr>
    </w:p>
    <w:p w14:paraId="2BB2CCEC" w14:textId="77777777" w:rsidR="00332BD6" w:rsidRDefault="00332BD6">
      <w:pPr>
        <w:pStyle w:val="Ttulo2"/>
      </w:pPr>
    </w:p>
    <w:p w14:paraId="242BA9FA" w14:textId="77777777" w:rsidR="00332BD6" w:rsidRDefault="00332BD6">
      <w:pPr>
        <w:pStyle w:val="Ttulo2"/>
      </w:pPr>
    </w:p>
    <w:p w14:paraId="2C2933C7" w14:textId="77777777" w:rsidR="00332BD6" w:rsidRDefault="00332BD6">
      <w:pPr>
        <w:pStyle w:val="Ttulo2"/>
      </w:pPr>
    </w:p>
    <w:p w14:paraId="6F829A68" w14:textId="77777777" w:rsidR="00332BD6" w:rsidRDefault="00332BD6">
      <w:pPr>
        <w:pStyle w:val="Ttulo2"/>
      </w:pPr>
    </w:p>
    <w:p w14:paraId="3D994F0D" w14:textId="77777777" w:rsidR="002F46D1" w:rsidRDefault="002F46D1">
      <w:pPr>
        <w:pStyle w:val="Ttulo2"/>
      </w:pPr>
    </w:p>
    <w:p w14:paraId="202E3C73" w14:textId="18CAF803" w:rsidR="0066238E" w:rsidRDefault="00000AE9">
      <w:pPr>
        <w:pStyle w:val="Ttulo2"/>
      </w:pPr>
      <w:r>
        <w:lastRenderedPageBreak/>
        <w:t>CONCLSUIONES FINALES</w:t>
      </w:r>
      <w:bookmarkEnd w:id="18"/>
    </w:p>
    <w:p w14:paraId="28D1C226" w14:textId="00BCBF58" w:rsidR="0066238E" w:rsidRDefault="00000AE9">
      <w:pPr>
        <w:pStyle w:val="FirstParagraph"/>
      </w:pPr>
      <w:r>
        <w:t xml:space="preserve">Para concluir este informe podemos confirmar que puede establecerse una estructura subyecente que sintetice y agrupe los distintos plazos en virtud </w:t>
      </w:r>
      <w:r>
        <w:t xml:space="preserve">de sus características comunes, de manera que podemos con predecir con gran exactitud el valor futuro de los bonos norteamericanos a 10 años con tan solo 2 componentes principales, lo que </w:t>
      </w:r>
      <w:proofErr w:type="spellStart"/>
      <w:r>
        <w:t>facilita</w:t>
      </w:r>
      <w:proofErr w:type="spellEnd"/>
      <w:r>
        <w:t xml:space="preserve"> </w:t>
      </w:r>
      <w:proofErr w:type="spellStart"/>
      <w:r>
        <w:t>su</w:t>
      </w:r>
      <w:proofErr w:type="spellEnd"/>
      <w:r>
        <w:t xml:space="preserve"> </w:t>
      </w:r>
      <w:proofErr w:type="spellStart"/>
      <w:r>
        <w:t>trabajo</w:t>
      </w:r>
      <w:proofErr w:type="spellEnd"/>
      <w:r>
        <w:t>.</w:t>
      </w:r>
    </w:p>
    <w:p w14:paraId="6FD5E11D" w14:textId="338E98A2" w:rsidR="006802F1" w:rsidRDefault="006802F1" w:rsidP="006802F1">
      <w:pPr>
        <w:pStyle w:val="Textoindependiente"/>
      </w:pPr>
      <w:proofErr w:type="spellStart"/>
      <w:r>
        <w:t>Respondiendo</w:t>
      </w:r>
      <w:proofErr w:type="spellEnd"/>
      <w:r>
        <w:t xml:space="preserve"> a las </w:t>
      </w:r>
      <w:proofErr w:type="spellStart"/>
      <w:r>
        <w:t>cuestiones</w:t>
      </w:r>
      <w:proofErr w:type="spellEnd"/>
      <w:r>
        <w:t xml:space="preserve"> </w:t>
      </w:r>
      <w:proofErr w:type="spellStart"/>
      <w:r>
        <w:t>principales</w:t>
      </w:r>
      <w:proofErr w:type="spellEnd"/>
      <w:r>
        <w:t xml:space="preserve">, </w:t>
      </w:r>
      <w:proofErr w:type="spellStart"/>
      <w:r>
        <w:t>recordemos</w:t>
      </w:r>
      <w:proofErr w:type="spellEnd"/>
      <w:r>
        <w:t xml:space="preserve"> que son:</w:t>
      </w:r>
    </w:p>
    <w:p w14:paraId="6A0FC4CA" w14:textId="070A78F0" w:rsidR="006802F1" w:rsidRDefault="006802F1" w:rsidP="006802F1">
      <w:pPr>
        <w:numPr>
          <w:ilvl w:val="0"/>
          <w:numId w:val="16"/>
        </w:numPr>
      </w:pPr>
      <w:r>
        <w:t xml:space="preserve">¿Tiene </w:t>
      </w:r>
      <w:proofErr w:type="spellStart"/>
      <w:r>
        <w:t>sentido</w:t>
      </w:r>
      <w:proofErr w:type="spellEnd"/>
      <w:r>
        <w:t xml:space="preserve"> </w:t>
      </w:r>
      <w:proofErr w:type="spellStart"/>
      <w:r>
        <w:t>llevar</w:t>
      </w:r>
      <w:proofErr w:type="spellEnd"/>
      <w:r>
        <w:t xml:space="preserve"> a </w:t>
      </w:r>
      <w:proofErr w:type="spellStart"/>
      <w:r>
        <w:t>cabo</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un </w:t>
      </w:r>
      <w:proofErr w:type="spellStart"/>
      <w:r>
        <w:t>análisis</w:t>
      </w:r>
      <w:proofErr w:type="spellEnd"/>
      <w:r>
        <w:t xml:space="preserve"> de </w:t>
      </w:r>
      <w:proofErr w:type="spellStart"/>
      <w:r>
        <w:t>componentes</w:t>
      </w:r>
      <w:proofErr w:type="spellEnd"/>
      <w:r>
        <w:t xml:space="preserve"> </w:t>
      </w:r>
      <w:proofErr w:type="spellStart"/>
      <w:r>
        <w:t>principales</w:t>
      </w:r>
      <w:proofErr w:type="spellEnd"/>
      <w:r>
        <w:t xml:space="preserve">? Para </w:t>
      </w:r>
      <w:proofErr w:type="spellStart"/>
      <w:r>
        <w:t>justificarlo</w:t>
      </w:r>
      <w:proofErr w:type="spellEnd"/>
      <w:r>
        <w:t xml:space="preserve">, </w:t>
      </w:r>
      <w:proofErr w:type="spellStart"/>
      <w:r>
        <w:t>deberá</w:t>
      </w:r>
      <w:proofErr w:type="spellEnd"/>
      <w:r>
        <w:t xml:space="preserve"> </w:t>
      </w:r>
      <w:proofErr w:type="spellStart"/>
      <w:r>
        <w:t>llevar</w:t>
      </w:r>
      <w:proofErr w:type="spellEnd"/>
      <w:r>
        <w:t xml:space="preserve"> a </w:t>
      </w:r>
      <w:proofErr w:type="spellStart"/>
      <w:r>
        <w:t>cabo</w:t>
      </w:r>
      <w:proofErr w:type="spellEnd"/>
      <w:r>
        <w:t xml:space="preserve"> las </w:t>
      </w:r>
      <w:proofErr w:type="spellStart"/>
      <w:r>
        <w:t>pruebas</w:t>
      </w:r>
      <w:proofErr w:type="spellEnd"/>
      <w:r>
        <w:t xml:space="preserve"> que </w:t>
      </w:r>
      <w:proofErr w:type="spellStart"/>
      <w:r>
        <w:t>estime</w:t>
      </w:r>
      <w:proofErr w:type="spellEnd"/>
      <w:r>
        <w:t xml:space="preserve"> </w:t>
      </w:r>
      <w:proofErr w:type="spellStart"/>
      <w:r>
        <w:t>oportunas</w:t>
      </w:r>
      <w:proofErr w:type="spellEnd"/>
      <w:r>
        <w:t xml:space="preserve">, </w:t>
      </w:r>
      <w:proofErr w:type="spellStart"/>
      <w:r>
        <w:t>como</w:t>
      </w:r>
      <w:proofErr w:type="spellEnd"/>
      <w:r>
        <w:t xml:space="preserve">, por </w:t>
      </w:r>
      <w:proofErr w:type="spellStart"/>
      <w:r>
        <w:t>ejemplo</w:t>
      </w:r>
      <w:proofErr w:type="spellEnd"/>
      <w:r>
        <w:t xml:space="preserve"> el </w:t>
      </w:r>
      <w:proofErr w:type="spellStart"/>
      <w:r>
        <w:t>análisis</w:t>
      </w:r>
      <w:proofErr w:type="spellEnd"/>
      <w:r>
        <w:t xml:space="preserve"> de la </w:t>
      </w:r>
      <w:proofErr w:type="spellStart"/>
      <w:r>
        <w:t>matriz</w:t>
      </w:r>
      <w:proofErr w:type="spellEnd"/>
      <w:r>
        <w:t xml:space="preserve"> de </w:t>
      </w:r>
      <w:proofErr w:type="spellStart"/>
      <w:r>
        <w:t>correlaciones</w:t>
      </w:r>
      <w:proofErr w:type="spellEnd"/>
      <w:r>
        <w:t xml:space="preserve">, el del </w:t>
      </w:r>
      <w:proofErr w:type="spellStart"/>
      <w:r>
        <w:t>determinante</w:t>
      </w:r>
      <w:proofErr w:type="spellEnd"/>
      <w:r>
        <w:t xml:space="preserve"> de </w:t>
      </w:r>
      <w:proofErr w:type="spellStart"/>
      <w:r>
        <w:t>dicha</w:t>
      </w:r>
      <w:proofErr w:type="spellEnd"/>
      <w:r>
        <w:t xml:space="preserve"> </w:t>
      </w:r>
      <w:proofErr w:type="spellStart"/>
      <w:r>
        <w:t>matriz</w:t>
      </w:r>
      <w:proofErr w:type="spellEnd"/>
      <w:r>
        <w:t xml:space="preserve">, la </w:t>
      </w:r>
      <w:proofErr w:type="spellStart"/>
      <w:r>
        <w:t>prueba</w:t>
      </w:r>
      <w:proofErr w:type="spellEnd"/>
      <w:r>
        <w:t xml:space="preserve"> de </w:t>
      </w:r>
      <w:proofErr w:type="spellStart"/>
      <w:r>
        <w:t>esfericidad</w:t>
      </w:r>
      <w:proofErr w:type="spellEnd"/>
      <w:r>
        <w:t xml:space="preserve"> de Bartlett, el KMO o el </w:t>
      </w:r>
      <w:proofErr w:type="gramStart"/>
      <w:r>
        <w:t>MSA;</w:t>
      </w:r>
      <w:proofErr w:type="gramEnd"/>
    </w:p>
    <w:p w14:paraId="37CE4357" w14:textId="352390F5" w:rsidR="006802F1" w:rsidRPr="006802F1" w:rsidRDefault="00871AAB" w:rsidP="006802F1">
      <w:pPr>
        <w:ind w:left="480"/>
        <w:rPr>
          <w:i/>
          <w:iCs/>
        </w:rPr>
      </w:pPr>
      <w:proofErr w:type="spellStart"/>
      <w:r>
        <w:rPr>
          <w:i/>
          <w:iCs/>
        </w:rPr>
        <w:t>Definitavemente</w:t>
      </w:r>
      <w:proofErr w:type="spellEnd"/>
      <w:r>
        <w:rPr>
          <w:i/>
          <w:iCs/>
        </w:rPr>
        <w:t xml:space="preserve"> </w:t>
      </w:r>
      <w:proofErr w:type="spellStart"/>
      <w:r>
        <w:rPr>
          <w:i/>
          <w:iCs/>
        </w:rPr>
        <w:t>tiene</w:t>
      </w:r>
      <w:proofErr w:type="spellEnd"/>
      <w:r>
        <w:rPr>
          <w:i/>
          <w:iCs/>
        </w:rPr>
        <w:t xml:space="preserve"> </w:t>
      </w:r>
      <w:proofErr w:type="spellStart"/>
      <w:r>
        <w:rPr>
          <w:i/>
          <w:iCs/>
        </w:rPr>
        <w:t>sentido</w:t>
      </w:r>
      <w:proofErr w:type="spellEnd"/>
      <w:r>
        <w:rPr>
          <w:i/>
          <w:iCs/>
        </w:rPr>
        <w:t xml:space="preserve">, </w:t>
      </w:r>
      <w:proofErr w:type="spellStart"/>
      <w:r>
        <w:rPr>
          <w:i/>
          <w:iCs/>
        </w:rPr>
        <w:t>ya</w:t>
      </w:r>
      <w:proofErr w:type="spellEnd"/>
      <w:r>
        <w:rPr>
          <w:i/>
          <w:iCs/>
        </w:rPr>
        <w:t xml:space="preserve"> que </w:t>
      </w:r>
      <w:proofErr w:type="spellStart"/>
      <w:r>
        <w:rPr>
          <w:i/>
          <w:iCs/>
        </w:rPr>
        <w:t>tras</w:t>
      </w:r>
      <w:proofErr w:type="spellEnd"/>
      <w:r>
        <w:rPr>
          <w:i/>
          <w:iCs/>
        </w:rPr>
        <w:t xml:space="preserve"> </w:t>
      </w:r>
      <w:proofErr w:type="spellStart"/>
      <w:r>
        <w:rPr>
          <w:i/>
          <w:iCs/>
        </w:rPr>
        <w:t>realizar</w:t>
      </w:r>
      <w:proofErr w:type="spellEnd"/>
      <w:r>
        <w:rPr>
          <w:i/>
          <w:iCs/>
        </w:rPr>
        <w:t xml:space="preserve"> los </w:t>
      </w:r>
      <w:proofErr w:type="spellStart"/>
      <w:r>
        <w:rPr>
          <w:i/>
          <w:iCs/>
        </w:rPr>
        <w:t>respectivos</w:t>
      </w:r>
      <w:proofErr w:type="spellEnd"/>
      <w:r>
        <w:rPr>
          <w:i/>
          <w:iCs/>
        </w:rPr>
        <w:t xml:space="preserve"> test </w:t>
      </w:r>
      <w:proofErr w:type="spellStart"/>
      <w:r>
        <w:rPr>
          <w:i/>
          <w:iCs/>
        </w:rPr>
        <w:t>como</w:t>
      </w:r>
      <w:proofErr w:type="spellEnd"/>
      <w:r>
        <w:rPr>
          <w:i/>
          <w:iCs/>
        </w:rPr>
        <w:t xml:space="preserve"> el </w:t>
      </w:r>
      <w:proofErr w:type="spellStart"/>
      <w:r>
        <w:rPr>
          <w:i/>
          <w:iCs/>
        </w:rPr>
        <w:t>determinante</w:t>
      </w:r>
      <w:proofErr w:type="spellEnd"/>
      <w:r>
        <w:rPr>
          <w:i/>
          <w:iCs/>
        </w:rPr>
        <w:t xml:space="preserve"> de la </w:t>
      </w:r>
      <w:proofErr w:type="spellStart"/>
      <w:r>
        <w:rPr>
          <w:i/>
          <w:iCs/>
        </w:rPr>
        <w:t>matriz</w:t>
      </w:r>
      <w:proofErr w:type="spellEnd"/>
      <w:r>
        <w:rPr>
          <w:i/>
          <w:iCs/>
        </w:rPr>
        <w:t xml:space="preserve">, la </w:t>
      </w:r>
      <w:proofErr w:type="spellStart"/>
      <w:r>
        <w:rPr>
          <w:i/>
          <w:iCs/>
        </w:rPr>
        <w:t>prueba</w:t>
      </w:r>
      <w:proofErr w:type="spellEnd"/>
      <w:r>
        <w:rPr>
          <w:i/>
          <w:iCs/>
        </w:rPr>
        <w:t xml:space="preserve"> de </w:t>
      </w:r>
      <w:proofErr w:type="spellStart"/>
      <w:r>
        <w:rPr>
          <w:i/>
          <w:iCs/>
        </w:rPr>
        <w:t>esfericidad</w:t>
      </w:r>
      <w:proofErr w:type="spellEnd"/>
      <w:r>
        <w:rPr>
          <w:i/>
          <w:iCs/>
        </w:rPr>
        <w:t xml:space="preserve"> de </w:t>
      </w:r>
      <w:proofErr w:type="spellStart"/>
      <w:r>
        <w:rPr>
          <w:i/>
          <w:iCs/>
        </w:rPr>
        <w:t>Barlett</w:t>
      </w:r>
      <w:proofErr w:type="spellEnd"/>
      <w:r>
        <w:rPr>
          <w:i/>
          <w:iCs/>
        </w:rPr>
        <w:t xml:space="preserve"> o el </w:t>
      </w:r>
      <w:proofErr w:type="spellStart"/>
      <w:r>
        <w:rPr>
          <w:i/>
          <w:iCs/>
        </w:rPr>
        <w:t>índice</w:t>
      </w:r>
      <w:proofErr w:type="spellEnd"/>
      <w:r>
        <w:rPr>
          <w:i/>
          <w:iCs/>
        </w:rPr>
        <w:t xml:space="preserve"> KMO Podemos </w:t>
      </w:r>
      <w:proofErr w:type="spellStart"/>
      <w:r>
        <w:rPr>
          <w:i/>
          <w:iCs/>
        </w:rPr>
        <w:t>concluir</w:t>
      </w:r>
      <w:proofErr w:type="spellEnd"/>
      <w:r>
        <w:rPr>
          <w:i/>
          <w:iCs/>
        </w:rPr>
        <w:t xml:space="preserve"> que se </w:t>
      </w:r>
      <w:proofErr w:type="spellStart"/>
      <w:r>
        <w:rPr>
          <w:i/>
          <w:iCs/>
        </w:rPr>
        <w:t>puede</w:t>
      </w:r>
      <w:proofErr w:type="spellEnd"/>
      <w:r>
        <w:rPr>
          <w:i/>
          <w:iCs/>
        </w:rPr>
        <w:t xml:space="preserve"> </w:t>
      </w:r>
      <w:proofErr w:type="spellStart"/>
      <w:r>
        <w:rPr>
          <w:i/>
          <w:iCs/>
        </w:rPr>
        <w:t>realizar</w:t>
      </w:r>
      <w:proofErr w:type="spellEnd"/>
      <w:r>
        <w:rPr>
          <w:i/>
          <w:iCs/>
        </w:rPr>
        <w:t xml:space="preserve"> un </w:t>
      </w:r>
      <w:proofErr w:type="spellStart"/>
      <w:r>
        <w:rPr>
          <w:i/>
          <w:iCs/>
        </w:rPr>
        <w:t>análisis</w:t>
      </w:r>
      <w:proofErr w:type="spellEnd"/>
      <w:r>
        <w:rPr>
          <w:i/>
          <w:iCs/>
        </w:rPr>
        <w:t xml:space="preserve"> de </w:t>
      </w:r>
      <w:proofErr w:type="spellStart"/>
      <w:r>
        <w:rPr>
          <w:i/>
          <w:iCs/>
        </w:rPr>
        <w:t>componentes</w:t>
      </w:r>
      <w:proofErr w:type="spellEnd"/>
      <w:r>
        <w:rPr>
          <w:i/>
          <w:iCs/>
        </w:rPr>
        <w:t xml:space="preserve"> </w:t>
      </w:r>
      <w:proofErr w:type="spellStart"/>
      <w:r>
        <w:rPr>
          <w:i/>
          <w:iCs/>
        </w:rPr>
        <w:t>principales</w:t>
      </w:r>
      <w:proofErr w:type="spellEnd"/>
      <w:r>
        <w:rPr>
          <w:i/>
          <w:iCs/>
        </w:rPr>
        <w:t xml:space="preserve"> de </w:t>
      </w:r>
      <w:proofErr w:type="spellStart"/>
      <w:r>
        <w:rPr>
          <w:i/>
          <w:iCs/>
        </w:rPr>
        <w:t>manera</w:t>
      </w:r>
      <w:proofErr w:type="spellEnd"/>
      <w:r>
        <w:rPr>
          <w:i/>
          <w:iCs/>
        </w:rPr>
        <w:t xml:space="preserve"> </w:t>
      </w:r>
      <w:proofErr w:type="spellStart"/>
      <w:r>
        <w:rPr>
          <w:i/>
          <w:iCs/>
        </w:rPr>
        <w:t>adecuada</w:t>
      </w:r>
      <w:proofErr w:type="spellEnd"/>
      <w:r>
        <w:rPr>
          <w:i/>
          <w:iCs/>
        </w:rPr>
        <w:t>.</w:t>
      </w:r>
    </w:p>
    <w:p w14:paraId="79FD7161" w14:textId="307CC831" w:rsidR="006802F1" w:rsidRDefault="006802F1" w:rsidP="006802F1">
      <w:pPr>
        <w:numPr>
          <w:ilvl w:val="0"/>
          <w:numId w:val="16"/>
        </w:numPr>
      </w:pPr>
      <w:r>
        <w:t>¿</w:t>
      </w:r>
      <w:proofErr w:type="spellStart"/>
      <w:r>
        <w:t>Cuántos</w:t>
      </w:r>
      <w:proofErr w:type="spellEnd"/>
      <w:r>
        <w:t xml:space="preserve"> </w:t>
      </w:r>
      <w:proofErr w:type="spellStart"/>
      <w:r>
        <w:t>componentes</w:t>
      </w:r>
      <w:proofErr w:type="spellEnd"/>
      <w:r>
        <w:t xml:space="preserve"> </w:t>
      </w:r>
      <w:proofErr w:type="spellStart"/>
      <w:r>
        <w:t>permitirían</w:t>
      </w:r>
      <w:proofErr w:type="spellEnd"/>
      <w:r>
        <w:t xml:space="preserve"> </w:t>
      </w:r>
      <w:proofErr w:type="spellStart"/>
      <w:r>
        <w:t>explicar</w:t>
      </w:r>
      <w:proofErr w:type="spellEnd"/>
      <w:r>
        <w:t xml:space="preserve">, </w:t>
      </w:r>
      <w:proofErr w:type="spellStart"/>
      <w:r>
        <w:t>adecuadamente</w:t>
      </w:r>
      <w:proofErr w:type="spellEnd"/>
      <w:r>
        <w:t xml:space="preserve">, la </w:t>
      </w:r>
      <w:proofErr w:type="spellStart"/>
      <w:r>
        <w:t>estructura</w:t>
      </w:r>
      <w:proofErr w:type="spellEnd"/>
      <w:r>
        <w:t xml:space="preserve"> </w:t>
      </w:r>
      <w:proofErr w:type="spellStart"/>
      <w:r>
        <w:t>subycente</w:t>
      </w:r>
      <w:proofErr w:type="spellEnd"/>
      <w:r>
        <w:t xml:space="preserve"> de los </w:t>
      </w:r>
      <w:proofErr w:type="spellStart"/>
      <w:r>
        <w:t>tipos</w:t>
      </w:r>
      <w:proofErr w:type="spellEnd"/>
      <w:r>
        <w:t xml:space="preserve"> de </w:t>
      </w:r>
      <w:proofErr w:type="spellStart"/>
      <w:r>
        <w:t>interés</w:t>
      </w:r>
      <w:proofErr w:type="spellEnd"/>
      <w:r>
        <w:t xml:space="preserve"> </w:t>
      </w:r>
      <w:proofErr w:type="spellStart"/>
      <w:r>
        <w:t>aquí</w:t>
      </w:r>
      <w:proofErr w:type="spellEnd"/>
      <w:r>
        <w:t xml:space="preserve"> </w:t>
      </w:r>
      <w:proofErr w:type="spellStart"/>
      <w:r>
        <w:t>analizados</w:t>
      </w:r>
      <w:proofErr w:type="spellEnd"/>
      <w:r>
        <w:t xml:space="preserve">? </w:t>
      </w:r>
      <w:proofErr w:type="spellStart"/>
      <w:r>
        <w:t>Justifique</w:t>
      </w:r>
      <w:proofErr w:type="spellEnd"/>
      <w:r>
        <w:t xml:space="preserve"> </w:t>
      </w:r>
      <w:proofErr w:type="spellStart"/>
      <w:r>
        <w:t>su</w:t>
      </w:r>
      <w:proofErr w:type="spellEnd"/>
      <w:r>
        <w:t xml:space="preserve"> </w:t>
      </w:r>
      <w:proofErr w:type="spellStart"/>
      <w:r>
        <w:t>respuesta</w:t>
      </w:r>
      <w:proofErr w:type="spellEnd"/>
      <w:r>
        <w:t xml:space="preserve"> </w:t>
      </w:r>
      <w:proofErr w:type="spellStart"/>
      <w:r>
        <w:t>empleando</w:t>
      </w:r>
      <w:proofErr w:type="spellEnd"/>
      <w:r>
        <w:t xml:space="preserve">, por </w:t>
      </w:r>
      <w:proofErr w:type="spellStart"/>
      <w:r>
        <w:t>ejemplo</w:t>
      </w:r>
      <w:proofErr w:type="spellEnd"/>
      <w:r>
        <w:t xml:space="preserve">, las </w:t>
      </w:r>
      <w:proofErr w:type="spellStart"/>
      <w:r>
        <w:t>pruebas</w:t>
      </w:r>
      <w:proofErr w:type="spellEnd"/>
      <w:r>
        <w:t xml:space="preserve"> de la </w:t>
      </w:r>
      <w:proofErr w:type="spellStart"/>
      <w:r>
        <w:t>varianza</w:t>
      </w:r>
      <w:proofErr w:type="spellEnd"/>
      <w:r>
        <w:t xml:space="preserve"> </w:t>
      </w:r>
      <w:proofErr w:type="spellStart"/>
      <w:r>
        <w:t>explicada</w:t>
      </w:r>
      <w:proofErr w:type="spellEnd"/>
      <w:r>
        <w:t xml:space="preserve"> o del </w:t>
      </w:r>
      <w:proofErr w:type="spellStart"/>
      <w:r>
        <w:t>gráfico</w:t>
      </w:r>
      <w:proofErr w:type="spellEnd"/>
      <w:r>
        <w:t xml:space="preserve"> de </w:t>
      </w:r>
      <w:proofErr w:type="spellStart"/>
      <w:proofErr w:type="gramStart"/>
      <w:r>
        <w:t>sedimentación</w:t>
      </w:r>
      <w:proofErr w:type="spellEnd"/>
      <w:r>
        <w:t>;</w:t>
      </w:r>
      <w:proofErr w:type="gramEnd"/>
    </w:p>
    <w:p w14:paraId="3E18DAB0" w14:textId="5AE4D177" w:rsidR="00871AAB" w:rsidRPr="00871AAB" w:rsidRDefault="00F874E9" w:rsidP="00871AAB">
      <w:pPr>
        <w:ind w:left="480"/>
        <w:rPr>
          <w:i/>
          <w:iCs/>
        </w:rPr>
      </w:pPr>
      <w:r>
        <w:rPr>
          <w:i/>
          <w:iCs/>
        </w:rPr>
        <w:t xml:space="preserve">Como </w:t>
      </w:r>
      <w:proofErr w:type="spellStart"/>
      <w:r>
        <w:rPr>
          <w:i/>
          <w:iCs/>
        </w:rPr>
        <w:t>hemos</w:t>
      </w:r>
      <w:proofErr w:type="spellEnd"/>
      <w:r>
        <w:rPr>
          <w:i/>
          <w:iCs/>
        </w:rPr>
        <w:t xml:space="preserve"> visto </w:t>
      </w:r>
      <w:proofErr w:type="spellStart"/>
      <w:r>
        <w:rPr>
          <w:i/>
          <w:iCs/>
        </w:rPr>
        <w:t>durante</w:t>
      </w:r>
      <w:proofErr w:type="spellEnd"/>
      <w:r>
        <w:rPr>
          <w:i/>
          <w:iCs/>
        </w:rPr>
        <w:t xml:space="preserve"> el </w:t>
      </w:r>
      <w:proofErr w:type="spellStart"/>
      <w:r>
        <w:rPr>
          <w:i/>
          <w:iCs/>
        </w:rPr>
        <w:t>trabajo</w:t>
      </w:r>
      <w:proofErr w:type="spellEnd"/>
      <w:r>
        <w:rPr>
          <w:i/>
          <w:iCs/>
        </w:rPr>
        <w:t xml:space="preserve">, </w:t>
      </w:r>
      <w:proofErr w:type="spellStart"/>
      <w:r>
        <w:rPr>
          <w:i/>
          <w:iCs/>
        </w:rPr>
        <w:t>trabajando</w:t>
      </w:r>
      <w:proofErr w:type="spellEnd"/>
      <w:r>
        <w:rPr>
          <w:i/>
          <w:iCs/>
        </w:rPr>
        <w:t xml:space="preserve"> con tan solo dos </w:t>
      </w:r>
      <w:proofErr w:type="spellStart"/>
      <w:r>
        <w:rPr>
          <w:i/>
          <w:iCs/>
        </w:rPr>
        <w:t>componentes</w:t>
      </w:r>
      <w:proofErr w:type="spellEnd"/>
      <w:r>
        <w:rPr>
          <w:i/>
          <w:iCs/>
        </w:rPr>
        <w:t xml:space="preserve"> </w:t>
      </w:r>
      <w:proofErr w:type="spellStart"/>
      <w:r>
        <w:rPr>
          <w:i/>
          <w:iCs/>
        </w:rPr>
        <w:t>somos</w:t>
      </w:r>
      <w:proofErr w:type="spellEnd"/>
      <w:r>
        <w:rPr>
          <w:i/>
          <w:iCs/>
        </w:rPr>
        <w:t xml:space="preserve"> </w:t>
      </w:r>
      <w:proofErr w:type="spellStart"/>
      <w:r>
        <w:rPr>
          <w:i/>
          <w:iCs/>
        </w:rPr>
        <w:t>capaces</w:t>
      </w:r>
      <w:proofErr w:type="spellEnd"/>
      <w:r>
        <w:rPr>
          <w:i/>
          <w:iCs/>
        </w:rPr>
        <w:t xml:space="preserve"> de </w:t>
      </w:r>
      <w:proofErr w:type="spellStart"/>
      <w:r>
        <w:rPr>
          <w:i/>
          <w:iCs/>
        </w:rPr>
        <w:t>explicar</w:t>
      </w:r>
      <w:proofErr w:type="spellEnd"/>
      <w:r>
        <w:rPr>
          <w:i/>
          <w:iCs/>
        </w:rPr>
        <w:t xml:space="preserve"> el </w:t>
      </w:r>
      <w:proofErr w:type="spellStart"/>
      <w:r>
        <w:rPr>
          <w:i/>
          <w:iCs/>
        </w:rPr>
        <w:t>más</w:t>
      </w:r>
      <w:proofErr w:type="spellEnd"/>
      <w:r>
        <w:rPr>
          <w:i/>
          <w:iCs/>
        </w:rPr>
        <w:t xml:space="preserve"> del 98% de la </w:t>
      </w:r>
      <w:proofErr w:type="spellStart"/>
      <w:r>
        <w:rPr>
          <w:i/>
          <w:iCs/>
        </w:rPr>
        <w:t>varianza</w:t>
      </w:r>
      <w:proofErr w:type="spellEnd"/>
      <w:r>
        <w:rPr>
          <w:i/>
          <w:iCs/>
        </w:rPr>
        <w:t xml:space="preserve"> de los </w:t>
      </w:r>
      <w:proofErr w:type="spellStart"/>
      <w:r>
        <w:rPr>
          <w:i/>
          <w:iCs/>
        </w:rPr>
        <w:t>datos</w:t>
      </w:r>
      <w:proofErr w:type="spellEnd"/>
      <w:r>
        <w:rPr>
          <w:i/>
          <w:iCs/>
        </w:rPr>
        <w:t>.</w:t>
      </w:r>
    </w:p>
    <w:p w14:paraId="0AF37F4B" w14:textId="1744A13E" w:rsidR="006802F1" w:rsidRDefault="006802F1" w:rsidP="006802F1">
      <w:pPr>
        <w:numPr>
          <w:ilvl w:val="0"/>
          <w:numId w:val="16"/>
        </w:numPr>
      </w:pPr>
      <w:proofErr w:type="spellStart"/>
      <w:r>
        <w:t>Finalmente</w:t>
      </w:r>
      <w:proofErr w:type="spellEnd"/>
      <w:r>
        <w:t>, ¿</w:t>
      </w:r>
      <w:proofErr w:type="spellStart"/>
      <w:r>
        <w:t>tiene</w:t>
      </w:r>
      <w:proofErr w:type="spellEnd"/>
      <w:r>
        <w:t xml:space="preserve"> </w:t>
      </w:r>
      <w:proofErr w:type="spellStart"/>
      <w:r>
        <w:t>sentido</w:t>
      </w:r>
      <w:proofErr w:type="spellEnd"/>
      <w:r>
        <w:t xml:space="preserve"> </w:t>
      </w:r>
      <w:proofErr w:type="spellStart"/>
      <w:r>
        <w:t>llevar</w:t>
      </w:r>
      <w:proofErr w:type="spellEnd"/>
      <w:r>
        <w:t xml:space="preserve"> a </w:t>
      </w:r>
      <w:proofErr w:type="spellStart"/>
      <w:r>
        <w:t>cabo</w:t>
      </w:r>
      <w:proofErr w:type="spellEnd"/>
      <w:r>
        <w:t xml:space="preserve"> una </w:t>
      </w:r>
      <w:proofErr w:type="spellStart"/>
      <w:r>
        <w:t>rotación</w:t>
      </w:r>
      <w:proofErr w:type="spellEnd"/>
      <w:r>
        <w:t xml:space="preserve"> de las variables </w:t>
      </w:r>
      <w:proofErr w:type="spellStart"/>
      <w:r>
        <w:t>subyacentes</w:t>
      </w:r>
      <w:proofErr w:type="spellEnd"/>
      <w:r>
        <w:t xml:space="preserve">? Para responder, </w:t>
      </w:r>
      <w:proofErr w:type="spellStart"/>
      <w:r>
        <w:t>lleva</w:t>
      </w:r>
      <w:proofErr w:type="spellEnd"/>
      <w:r>
        <w:t xml:space="preserve"> a </w:t>
      </w:r>
      <w:proofErr w:type="spellStart"/>
      <w:r>
        <w:t>cabo</w:t>
      </w:r>
      <w:proofErr w:type="spellEnd"/>
      <w:r>
        <w:t xml:space="preserve"> una </w:t>
      </w:r>
      <w:proofErr w:type="spellStart"/>
      <w:r>
        <w:t>rotación</w:t>
      </w:r>
      <w:proofErr w:type="spellEnd"/>
      <w:r>
        <w:t xml:space="preserve"> Varimax, por </w:t>
      </w:r>
      <w:proofErr w:type="spellStart"/>
      <w:r>
        <w:t>ejemplo</w:t>
      </w:r>
      <w:proofErr w:type="spellEnd"/>
      <w:r>
        <w:t>.</w:t>
      </w:r>
    </w:p>
    <w:p w14:paraId="3EEA92C0" w14:textId="4A5040A6" w:rsidR="00F874E9" w:rsidRPr="00F874E9" w:rsidRDefault="00F874E9" w:rsidP="00F874E9">
      <w:pPr>
        <w:ind w:left="480"/>
        <w:rPr>
          <w:i/>
          <w:iCs/>
        </w:rPr>
      </w:pPr>
      <w:proofErr w:type="spellStart"/>
      <w:r>
        <w:rPr>
          <w:i/>
          <w:iCs/>
        </w:rPr>
        <w:t>En</w:t>
      </w:r>
      <w:proofErr w:type="spellEnd"/>
      <w:r>
        <w:rPr>
          <w:i/>
          <w:iCs/>
        </w:rPr>
        <w:t xml:space="preserve"> </w:t>
      </w:r>
      <w:proofErr w:type="spellStart"/>
      <w:r>
        <w:rPr>
          <w:i/>
          <w:iCs/>
        </w:rPr>
        <w:t>nuestro</w:t>
      </w:r>
      <w:proofErr w:type="spellEnd"/>
      <w:r>
        <w:rPr>
          <w:i/>
          <w:iCs/>
        </w:rPr>
        <w:t xml:space="preserve"> </w:t>
      </w:r>
      <w:proofErr w:type="spellStart"/>
      <w:r>
        <w:rPr>
          <w:i/>
          <w:iCs/>
        </w:rPr>
        <w:t>caso</w:t>
      </w:r>
      <w:proofErr w:type="spellEnd"/>
      <w:r>
        <w:rPr>
          <w:i/>
          <w:iCs/>
        </w:rPr>
        <w:t xml:space="preserve">, la </w:t>
      </w:r>
      <w:proofErr w:type="spellStart"/>
      <w:r>
        <w:rPr>
          <w:i/>
          <w:iCs/>
        </w:rPr>
        <w:t>rotación</w:t>
      </w:r>
      <w:proofErr w:type="spellEnd"/>
      <w:r>
        <w:rPr>
          <w:i/>
          <w:iCs/>
        </w:rPr>
        <w:t xml:space="preserve"> de las variables </w:t>
      </w:r>
      <w:proofErr w:type="spellStart"/>
      <w:r>
        <w:rPr>
          <w:i/>
          <w:iCs/>
        </w:rPr>
        <w:t>subyacentes</w:t>
      </w:r>
      <w:proofErr w:type="spellEnd"/>
      <w:r>
        <w:rPr>
          <w:i/>
          <w:iCs/>
        </w:rPr>
        <w:t xml:space="preserve"> no </w:t>
      </w:r>
      <w:proofErr w:type="spellStart"/>
      <w:r>
        <w:rPr>
          <w:i/>
          <w:iCs/>
        </w:rPr>
        <w:t>aporta</w:t>
      </w:r>
      <w:proofErr w:type="spellEnd"/>
      <w:r>
        <w:rPr>
          <w:i/>
          <w:iCs/>
        </w:rPr>
        <w:t xml:space="preserve"> </w:t>
      </w:r>
      <w:proofErr w:type="spellStart"/>
      <w:r>
        <w:rPr>
          <w:i/>
          <w:iCs/>
        </w:rPr>
        <w:t>ninguna</w:t>
      </w:r>
      <w:proofErr w:type="spellEnd"/>
      <w:r>
        <w:rPr>
          <w:i/>
          <w:iCs/>
        </w:rPr>
        <w:t xml:space="preserve"> </w:t>
      </w:r>
      <w:proofErr w:type="spellStart"/>
      <w:r>
        <w:rPr>
          <w:i/>
          <w:iCs/>
        </w:rPr>
        <w:t>mejora</w:t>
      </w:r>
      <w:proofErr w:type="spellEnd"/>
      <w:r>
        <w:rPr>
          <w:i/>
          <w:iCs/>
        </w:rPr>
        <w:t xml:space="preserve"> a la </w:t>
      </w:r>
      <w:proofErr w:type="spellStart"/>
      <w:r>
        <w:rPr>
          <w:i/>
          <w:iCs/>
        </w:rPr>
        <w:t>varianza</w:t>
      </w:r>
      <w:proofErr w:type="spellEnd"/>
      <w:r>
        <w:rPr>
          <w:i/>
          <w:iCs/>
        </w:rPr>
        <w:t xml:space="preserve"> </w:t>
      </w:r>
      <w:proofErr w:type="spellStart"/>
      <w:r>
        <w:rPr>
          <w:i/>
          <w:iCs/>
        </w:rPr>
        <w:t>explicada</w:t>
      </w:r>
      <w:proofErr w:type="spellEnd"/>
      <w:r>
        <w:rPr>
          <w:i/>
          <w:iCs/>
        </w:rPr>
        <w:t xml:space="preserve">, por lo tanto, </w:t>
      </w:r>
      <w:proofErr w:type="spellStart"/>
      <w:r>
        <w:rPr>
          <w:i/>
          <w:iCs/>
        </w:rPr>
        <w:t>desaconsejamos</w:t>
      </w:r>
      <w:proofErr w:type="spellEnd"/>
      <w:r>
        <w:rPr>
          <w:i/>
          <w:iCs/>
        </w:rPr>
        <w:t xml:space="preserve"> la </w:t>
      </w:r>
      <w:proofErr w:type="spellStart"/>
      <w:r>
        <w:rPr>
          <w:i/>
          <w:iCs/>
        </w:rPr>
        <w:t>rotación</w:t>
      </w:r>
      <w:proofErr w:type="spellEnd"/>
      <w:r>
        <w:rPr>
          <w:i/>
          <w:iCs/>
        </w:rPr>
        <w:t>.</w:t>
      </w:r>
    </w:p>
    <w:p w14:paraId="00824D15" w14:textId="21D3C405" w:rsidR="006802F1" w:rsidRDefault="006802F1" w:rsidP="006802F1">
      <w:pPr>
        <w:pStyle w:val="Textoindependiente"/>
      </w:pPr>
    </w:p>
    <w:p w14:paraId="5413BFCB" w14:textId="77777777" w:rsidR="006802F1" w:rsidRPr="006802F1" w:rsidRDefault="006802F1" w:rsidP="006802F1">
      <w:pPr>
        <w:pStyle w:val="Textoindependiente"/>
      </w:pPr>
    </w:p>
    <w:p w14:paraId="74CB3A9C" w14:textId="77777777" w:rsidR="00332BD6" w:rsidRDefault="00332BD6">
      <w:pPr>
        <w:pStyle w:val="Ttulo2"/>
      </w:pPr>
      <w:bookmarkStart w:id="19" w:name="referencias"/>
    </w:p>
    <w:p w14:paraId="5CE8DC82" w14:textId="77777777" w:rsidR="00332BD6" w:rsidRDefault="00332BD6">
      <w:pPr>
        <w:pStyle w:val="Ttulo2"/>
      </w:pPr>
    </w:p>
    <w:p w14:paraId="460B7F8F" w14:textId="77777777" w:rsidR="00332BD6" w:rsidRDefault="00332BD6">
      <w:pPr>
        <w:pStyle w:val="Ttulo2"/>
      </w:pPr>
    </w:p>
    <w:p w14:paraId="4BCFC396" w14:textId="77777777" w:rsidR="00332BD6" w:rsidRDefault="00332BD6">
      <w:pPr>
        <w:pStyle w:val="Ttulo2"/>
      </w:pPr>
    </w:p>
    <w:p w14:paraId="1C642335" w14:textId="77777777" w:rsidR="00332BD6" w:rsidRDefault="00332BD6">
      <w:pPr>
        <w:pStyle w:val="Ttulo2"/>
      </w:pPr>
    </w:p>
    <w:p w14:paraId="59C14C39" w14:textId="77777777" w:rsidR="00332BD6" w:rsidRDefault="00332BD6">
      <w:pPr>
        <w:pStyle w:val="Ttulo2"/>
      </w:pPr>
    </w:p>
    <w:p w14:paraId="010D079F" w14:textId="77777777" w:rsidR="00332BD6" w:rsidRDefault="00332BD6">
      <w:pPr>
        <w:pStyle w:val="Ttulo2"/>
      </w:pPr>
    </w:p>
    <w:p w14:paraId="0D40860B" w14:textId="77777777" w:rsidR="00332BD6" w:rsidRDefault="00332BD6">
      <w:pPr>
        <w:pStyle w:val="Ttulo2"/>
      </w:pPr>
    </w:p>
    <w:p w14:paraId="17B1E125" w14:textId="77777777" w:rsidR="00332BD6" w:rsidRDefault="00332BD6">
      <w:pPr>
        <w:pStyle w:val="Ttulo2"/>
      </w:pPr>
    </w:p>
    <w:p w14:paraId="75AB16EF" w14:textId="77777777" w:rsidR="00332BD6" w:rsidRDefault="00332BD6">
      <w:pPr>
        <w:pStyle w:val="Ttulo2"/>
      </w:pPr>
    </w:p>
    <w:p w14:paraId="694C131F" w14:textId="77777777" w:rsidR="00F874E9" w:rsidRDefault="00F874E9">
      <w:pPr>
        <w:pStyle w:val="Ttulo2"/>
      </w:pPr>
    </w:p>
    <w:p w14:paraId="1211F264" w14:textId="03CCF7D3" w:rsidR="0066238E" w:rsidRDefault="00000AE9">
      <w:pPr>
        <w:pStyle w:val="Ttulo2"/>
      </w:pPr>
      <w:proofErr w:type="spellStart"/>
      <w:r>
        <w:lastRenderedPageBreak/>
        <w:t>Referencias</w:t>
      </w:r>
      <w:bookmarkEnd w:id="19"/>
      <w:proofErr w:type="spellEnd"/>
    </w:p>
    <w:p w14:paraId="558C9DD9" w14:textId="77777777" w:rsidR="0066238E" w:rsidRDefault="00000AE9">
      <w:pPr>
        <w:pStyle w:val="FirstParagraph"/>
      </w:pPr>
      <w:r>
        <w:t>López Zafra, J.M. EL ANÁLISIS DE CO</w:t>
      </w:r>
      <w:r>
        <w:t xml:space="preserve">MPONENTES PRINCIPALES. </w:t>
      </w:r>
      <w:r>
        <w:rPr>
          <w:i/>
        </w:rPr>
        <w:t>Técnicas de Agrupación y Reducción de la Dimensión</w:t>
      </w:r>
      <w:r>
        <w:t>.</w:t>
      </w:r>
    </w:p>
    <w:p w14:paraId="0E907E87" w14:textId="77777777" w:rsidR="0066238E" w:rsidRDefault="00000AE9">
      <w:pPr>
        <w:pStyle w:val="Textoindependiente"/>
      </w:pPr>
      <w:r>
        <w:t xml:space="preserve">López Zafra, J.M. EL ANÁLISIS FACTORIAL. </w:t>
      </w:r>
      <w:r>
        <w:rPr>
          <w:i/>
        </w:rPr>
        <w:t>Técnicas de Agrupación y Reducción de la Dimensión</w:t>
      </w:r>
      <w:r>
        <w:t>.</w:t>
      </w:r>
    </w:p>
    <w:sectPr w:rsidR="0066238E" w:rsidSect="0027676C">
      <w:type w:val="continuous"/>
      <w:pgSz w:w="12240" w:h="15840"/>
      <w:pgMar w:top="1417" w:right="1701" w:bottom="1276"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E5190" w14:textId="77777777" w:rsidR="00000AE9" w:rsidRDefault="00000AE9">
      <w:pPr>
        <w:spacing w:after="0" w:line="240" w:lineRule="auto"/>
      </w:pPr>
      <w:r>
        <w:separator/>
      </w:r>
    </w:p>
  </w:endnote>
  <w:endnote w:type="continuationSeparator" w:id="0">
    <w:p w14:paraId="72529B6D" w14:textId="77777777" w:rsidR="00000AE9" w:rsidRDefault="00000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AA64B" w14:textId="77777777" w:rsidR="00000AE9" w:rsidRDefault="00000AE9">
      <w:r>
        <w:separator/>
      </w:r>
    </w:p>
  </w:footnote>
  <w:footnote w:type="continuationSeparator" w:id="0">
    <w:p w14:paraId="4540DB14" w14:textId="77777777" w:rsidR="00000AE9" w:rsidRDefault="00000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61" style="width:0;height:1.5pt" o:hralign="center" o:bullet="t" o:hrstd="t" o:hr="t"/>
    </w:pict>
  </w:numPicBullet>
  <w:abstractNum w:abstractNumId="0" w15:restartNumberingAfterBreak="0">
    <w:nsid w:val="EA454B4C"/>
    <w:multiLevelType w:val="multilevel"/>
    <w:tmpl w:val="6540C7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DE8A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A661D7D"/>
    <w:multiLevelType w:val="multilevel"/>
    <w:tmpl w:val="6540C7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E51643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E9"/>
    <w:rsid w:val="00011C8B"/>
    <w:rsid w:val="0027676C"/>
    <w:rsid w:val="002A6C63"/>
    <w:rsid w:val="002F46D1"/>
    <w:rsid w:val="00332BD6"/>
    <w:rsid w:val="00422AA9"/>
    <w:rsid w:val="00497E3B"/>
    <w:rsid w:val="004D02C6"/>
    <w:rsid w:val="004E29B3"/>
    <w:rsid w:val="00590D07"/>
    <w:rsid w:val="0066238E"/>
    <w:rsid w:val="006802F1"/>
    <w:rsid w:val="00685D41"/>
    <w:rsid w:val="006C7E93"/>
    <w:rsid w:val="00784D58"/>
    <w:rsid w:val="00871AAB"/>
    <w:rsid w:val="008C34DF"/>
    <w:rsid w:val="008C76B3"/>
    <w:rsid w:val="008D6863"/>
    <w:rsid w:val="009F7092"/>
    <w:rsid w:val="00B86B75"/>
    <w:rsid w:val="00BC48D5"/>
    <w:rsid w:val="00C06A68"/>
    <w:rsid w:val="00C36279"/>
    <w:rsid w:val="00E315A3"/>
    <w:rsid w:val="00F874E9"/>
    <w:rsid w:val="00FC39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57FD"/>
  <w15:docId w15:val="{2E213704-A3E9-4170-830F-4F8D29C9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A68"/>
  </w:style>
  <w:style w:type="paragraph" w:styleId="Ttulo1">
    <w:name w:val="heading 1"/>
    <w:basedOn w:val="Normal"/>
    <w:next w:val="Normal"/>
    <w:link w:val="Ttulo1Car"/>
    <w:uiPriority w:val="9"/>
    <w:qFormat/>
    <w:rsid w:val="00C06A68"/>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C06A68"/>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C06A68"/>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C06A68"/>
    <w:pPr>
      <w:spacing w:after="0"/>
      <w:jc w:val="left"/>
      <w:outlineLvl w:val="3"/>
    </w:pPr>
    <w:rPr>
      <w:i/>
      <w:iCs/>
      <w:smallCaps/>
      <w:spacing w:val="10"/>
      <w:sz w:val="22"/>
      <w:szCs w:val="22"/>
    </w:rPr>
  </w:style>
  <w:style w:type="paragraph" w:styleId="Ttulo5">
    <w:name w:val="heading 5"/>
    <w:basedOn w:val="Normal"/>
    <w:next w:val="Normal"/>
    <w:link w:val="Ttulo5Car"/>
    <w:uiPriority w:val="9"/>
    <w:unhideWhenUsed/>
    <w:qFormat/>
    <w:rsid w:val="00C06A68"/>
    <w:pPr>
      <w:spacing w:after="0"/>
      <w:jc w:val="left"/>
      <w:outlineLvl w:val="4"/>
    </w:pPr>
    <w:rPr>
      <w:smallCaps/>
      <w:color w:val="1C6194" w:themeColor="accent6" w:themeShade="BF"/>
      <w:spacing w:val="10"/>
      <w:sz w:val="22"/>
      <w:szCs w:val="22"/>
    </w:rPr>
  </w:style>
  <w:style w:type="paragraph" w:styleId="Ttulo6">
    <w:name w:val="heading 6"/>
    <w:basedOn w:val="Normal"/>
    <w:next w:val="Normal"/>
    <w:link w:val="Ttulo6Car"/>
    <w:uiPriority w:val="9"/>
    <w:unhideWhenUsed/>
    <w:qFormat/>
    <w:rsid w:val="00C06A68"/>
    <w:pPr>
      <w:spacing w:after="0"/>
      <w:jc w:val="left"/>
      <w:outlineLvl w:val="5"/>
    </w:pPr>
    <w:rPr>
      <w:smallCaps/>
      <w:color w:val="2683C6" w:themeColor="accent6"/>
      <w:spacing w:val="5"/>
      <w:sz w:val="22"/>
      <w:szCs w:val="22"/>
    </w:rPr>
  </w:style>
  <w:style w:type="paragraph" w:styleId="Ttulo7">
    <w:name w:val="heading 7"/>
    <w:basedOn w:val="Normal"/>
    <w:next w:val="Normal"/>
    <w:link w:val="Ttulo7Car"/>
    <w:uiPriority w:val="9"/>
    <w:unhideWhenUsed/>
    <w:qFormat/>
    <w:rsid w:val="00C06A68"/>
    <w:pPr>
      <w:spacing w:after="0"/>
      <w:jc w:val="left"/>
      <w:outlineLvl w:val="6"/>
    </w:pPr>
    <w:rPr>
      <w:b/>
      <w:bCs/>
      <w:smallCaps/>
      <w:color w:val="2683C6" w:themeColor="accent6"/>
      <w:spacing w:val="10"/>
    </w:rPr>
  </w:style>
  <w:style w:type="paragraph" w:styleId="Ttulo8">
    <w:name w:val="heading 8"/>
    <w:basedOn w:val="Normal"/>
    <w:next w:val="Normal"/>
    <w:link w:val="Ttulo8Car"/>
    <w:uiPriority w:val="9"/>
    <w:unhideWhenUsed/>
    <w:qFormat/>
    <w:rsid w:val="00C06A68"/>
    <w:pPr>
      <w:spacing w:after="0"/>
      <w:jc w:val="left"/>
      <w:outlineLvl w:val="7"/>
    </w:pPr>
    <w:rPr>
      <w:b/>
      <w:bCs/>
      <w:i/>
      <w:iCs/>
      <w:smallCaps/>
      <w:color w:val="1C6194" w:themeColor="accent6" w:themeShade="BF"/>
    </w:rPr>
  </w:style>
  <w:style w:type="paragraph" w:styleId="Ttulo9">
    <w:name w:val="heading 9"/>
    <w:basedOn w:val="Normal"/>
    <w:next w:val="Normal"/>
    <w:link w:val="Ttulo9Car"/>
    <w:uiPriority w:val="9"/>
    <w:unhideWhenUsed/>
    <w:qFormat/>
    <w:rsid w:val="00C06A68"/>
    <w:pPr>
      <w:spacing w:after="0"/>
      <w:jc w:val="left"/>
      <w:outlineLvl w:val="8"/>
    </w:pPr>
    <w:rPr>
      <w:b/>
      <w:bCs/>
      <w:i/>
      <w:iCs/>
      <w:smallCaps/>
      <w:color w:val="13416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C06A68"/>
    <w:pPr>
      <w:pBdr>
        <w:top w:val="single" w:sz="8" w:space="1" w:color="2683C6" w:themeColor="accent6"/>
      </w:pBdr>
      <w:spacing w:after="120" w:line="240" w:lineRule="auto"/>
      <w:jc w:val="right"/>
    </w:pPr>
    <w:rPr>
      <w:smallCaps/>
      <w:color w:val="262626" w:themeColor="text1" w:themeTint="D9"/>
      <w:sz w:val="52"/>
      <w:szCs w:val="52"/>
    </w:rPr>
  </w:style>
  <w:style w:type="paragraph" w:styleId="Subttulo">
    <w:name w:val="Subtitle"/>
    <w:basedOn w:val="Normal"/>
    <w:next w:val="Normal"/>
    <w:link w:val="SubttuloCar"/>
    <w:uiPriority w:val="11"/>
    <w:qFormat/>
    <w:rsid w:val="00C06A68"/>
    <w:pPr>
      <w:spacing w:after="720" w:line="240" w:lineRule="auto"/>
      <w:jc w:val="right"/>
    </w:pPr>
    <w:rPr>
      <w:rFonts w:asciiTheme="majorHAnsi" w:eastAsiaTheme="majorEastAsia" w:hAnsiTheme="majorHAnsi" w:cstheme="majorBidi"/>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Textoindependiente"/>
    <w:pPr>
      <w:keepNext/>
      <w:keepLines/>
      <w:spacing w:before="300" w:after="300"/>
    </w:p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C06A68"/>
    <w:rPr>
      <w:b/>
      <w:bCs/>
      <w:caps/>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caps/>
      <w:sz w:val="16"/>
      <w:szCs w:val="16"/>
    </w:rPr>
  </w:style>
  <w:style w:type="character" w:customStyle="1" w:styleId="VerbatimChar">
    <w:name w:val="Verbatim Char"/>
    <w:basedOn w:val="DescripcinCar"/>
    <w:link w:val="SourceCode"/>
    <w:rPr>
      <w:rFonts w:ascii="Consolas" w:hAnsi="Consolas"/>
      <w:b/>
      <w:bCs/>
      <w:caps/>
      <w:sz w:val="22"/>
      <w:szCs w:val="16"/>
    </w:rPr>
  </w:style>
  <w:style w:type="character" w:styleId="Refdenotaalpie">
    <w:name w:val="footnote reference"/>
    <w:basedOn w:val="DescripcinCar"/>
    <w:rPr>
      <w:b/>
      <w:bCs/>
      <w:caps/>
      <w:sz w:val="16"/>
      <w:szCs w:val="16"/>
      <w:vertAlign w:val="superscript"/>
    </w:rPr>
  </w:style>
  <w:style w:type="character" w:styleId="Hipervnculo">
    <w:name w:val="Hyperlink"/>
    <w:basedOn w:val="DescripcinCar"/>
    <w:rPr>
      <w:b/>
      <w:bCs/>
      <w:caps/>
      <w:color w:val="3494BA" w:themeColor="accent1"/>
      <w:sz w:val="16"/>
      <w:szCs w:val="16"/>
    </w:rPr>
  </w:style>
  <w:style w:type="paragraph" w:styleId="TtuloTDC">
    <w:name w:val="TOC Heading"/>
    <w:basedOn w:val="Ttulo1"/>
    <w:next w:val="Normal"/>
    <w:uiPriority w:val="39"/>
    <w:unhideWhenUsed/>
    <w:qFormat/>
    <w:rsid w:val="00C06A6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Ttulo1Car">
    <w:name w:val="Título 1 Car"/>
    <w:basedOn w:val="Fuentedeprrafopredeter"/>
    <w:link w:val="Ttulo1"/>
    <w:uiPriority w:val="9"/>
    <w:rsid w:val="00C06A68"/>
    <w:rPr>
      <w:smallCaps/>
      <w:spacing w:val="5"/>
      <w:sz w:val="32"/>
      <w:szCs w:val="32"/>
    </w:rPr>
  </w:style>
  <w:style w:type="character" w:customStyle="1" w:styleId="Ttulo2Car">
    <w:name w:val="Título 2 Car"/>
    <w:basedOn w:val="Fuentedeprrafopredeter"/>
    <w:link w:val="Ttulo2"/>
    <w:uiPriority w:val="9"/>
    <w:rsid w:val="00C06A68"/>
    <w:rPr>
      <w:smallCaps/>
      <w:spacing w:val="5"/>
      <w:sz w:val="28"/>
      <w:szCs w:val="28"/>
    </w:rPr>
  </w:style>
  <w:style w:type="character" w:customStyle="1" w:styleId="Ttulo3Car">
    <w:name w:val="Título 3 Car"/>
    <w:basedOn w:val="Fuentedeprrafopredeter"/>
    <w:link w:val="Ttulo3"/>
    <w:uiPriority w:val="9"/>
    <w:rsid w:val="00C06A68"/>
    <w:rPr>
      <w:smallCaps/>
      <w:spacing w:val="5"/>
      <w:sz w:val="24"/>
      <w:szCs w:val="24"/>
    </w:rPr>
  </w:style>
  <w:style w:type="character" w:customStyle="1" w:styleId="Ttulo4Car">
    <w:name w:val="Título 4 Car"/>
    <w:basedOn w:val="Fuentedeprrafopredeter"/>
    <w:link w:val="Ttulo4"/>
    <w:uiPriority w:val="9"/>
    <w:rsid w:val="00C06A68"/>
    <w:rPr>
      <w:i/>
      <w:iCs/>
      <w:smallCaps/>
      <w:spacing w:val="10"/>
      <w:sz w:val="22"/>
      <w:szCs w:val="22"/>
    </w:rPr>
  </w:style>
  <w:style w:type="character" w:customStyle="1" w:styleId="Ttulo5Car">
    <w:name w:val="Título 5 Car"/>
    <w:basedOn w:val="Fuentedeprrafopredeter"/>
    <w:link w:val="Ttulo5"/>
    <w:uiPriority w:val="9"/>
    <w:rsid w:val="00C06A68"/>
    <w:rPr>
      <w:smallCaps/>
      <w:color w:val="1C6194" w:themeColor="accent6" w:themeShade="BF"/>
      <w:spacing w:val="10"/>
      <w:sz w:val="22"/>
      <w:szCs w:val="22"/>
    </w:rPr>
  </w:style>
  <w:style w:type="character" w:customStyle="1" w:styleId="Ttulo6Car">
    <w:name w:val="Título 6 Car"/>
    <w:basedOn w:val="Fuentedeprrafopredeter"/>
    <w:link w:val="Ttulo6"/>
    <w:uiPriority w:val="9"/>
    <w:rsid w:val="00C06A68"/>
    <w:rPr>
      <w:smallCaps/>
      <w:color w:val="2683C6" w:themeColor="accent6"/>
      <w:spacing w:val="5"/>
      <w:sz w:val="22"/>
      <w:szCs w:val="22"/>
    </w:rPr>
  </w:style>
  <w:style w:type="character" w:customStyle="1" w:styleId="Ttulo7Car">
    <w:name w:val="Título 7 Car"/>
    <w:basedOn w:val="Fuentedeprrafopredeter"/>
    <w:link w:val="Ttulo7"/>
    <w:uiPriority w:val="9"/>
    <w:rsid w:val="00C06A68"/>
    <w:rPr>
      <w:b/>
      <w:bCs/>
      <w:smallCaps/>
      <w:color w:val="2683C6" w:themeColor="accent6"/>
      <w:spacing w:val="10"/>
    </w:rPr>
  </w:style>
  <w:style w:type="character" w:customStyle="1" w:styleId="Ttulo8Car">
    <w:name w:val="Título 8 Car"/>
    <w:basedOn w:val="Fuentedeprrafopredeter"/>
    <w:link w:val="Ttulo8"/>
    <w:uiPriority w:val="9"/>
    <w:rsid w:val="00C06A68"/>
    <w:rPr>
      <w:b/>
      <w:bCs/>
      <w:i/>
      <w:iCs/>
      <w:smallCaps/>
      <w:color w:val="1C6194" w:themeColor="accent6" w:themeShade="BF"/>
    </w:rPr>
  </w:style>
  <w:style w:type="character" w:customStyle="1" w:styleId="Ttulo9Car">
    <w:name w:val="Título 9 Car"/>
    <w:basedOn w:val="Fuentedeprrafopredeter"/>
    <w:link w:val="Ttulo9"/>
    <w:uiPriority w:val="9"/>
    <w:rsid w:val="00C06A68"/>
    <w:rPr>
      <w:b/>
      <w:bCs/>
      <w:i/>
      <w:iCs/>
      <w:smallCaps/>
      <w:color w:val="134163" w:themeColor="accent6" w:themeShade="80"/>
    </w:rPr>
  </w:style>
  <w:style w:type="character" w:customStyle="1" w:styleId="TtuloCar">
    <w:name w:val="Título Car"/>
    <w:basedOn w:val="Fuentedeprrafopredeter"/>
    <w:link w:val="Ttulo"/>
    <w:uiPriority w:val="10"/>
    <w:rsid w:val="00C06A68"/>
    <w:rPr>
      <w:smallCaps/>
      <w:color w:val="262626" w:themeColor="text1" w:themeTint="D9"/>
      <w:sz w:val="52"/>
      <w:szCs w:val="52"/>
    </w:rPr>
  </w:style>
  <w:style w:type="character" w:customStyle="1" w:styleId="SubttuloCar">
    <w:name w:val="Subtítulo Car"/>
    <w:basedOn w:val="Fuentedeprrafopredeter"/>
    <w:link w:val="Subttulo"/>
    <w:uiPriority w:val="11"/>
    <w:rsid w:val="00C06A68"/>
    <w:rPr>
      <w:rFonts w:asciiTheme="majorHAnsi" w:eastAsiaTheme="majorEastAsia" w:hAnsiTheme="majorHAnsi" w:cstheme="majorBidi"/>
    </w:rPr>
  </w:style>
  <w:style w:type="character" w:styleId="Textoennegrita">
    <w:name w:val="Strong"/>
    <w:uiPriority w:val="22"/>
    <w:qFormat/>
    <w:rsid w:val="00C06A68"/>
    <w:rPr>
      <w:b/>
      <w:bCs/>
      <w:color w:val="2683C6" w:themeColor="accent6"/>
    </w:rPr>
  </w:style>
  <w:style w:type="character" w:styleId="nfasis">
    <w:name w:val="Emphasis"/>
    <w:uiPriority w:val="20"/>
    <w:qFormat/>
    <w:rsid w:val="00C06A68"/>
    <w:rPr>
      <w:b/>
      <w:bCs/>
      <w:i/>
      <w:iCs/>
      <w:spacing w:val="10"/>
    </w:rPr>
  </w:style>
  <w:style w:type="paragraph" w:styleId="Sinespaciado">
    <w:name w:val="No Spacing"/>
    <w:uiPriority w:val="1"/>
    <w:qFormat/>
    <w:rsid w:val="00C06A68"/>
    <w:pPr>
      <w:spacing w:after="0" w:line="240" w:lineRule="auto"/>
    </w:pPr>
  </w:style>
  <w:style w:type="paragraph" w:styleId="Cita">
    <w:name w:val="Quote"/>
    <w:basedOn w:val="Normal"/>
    <w:next w:val="Normal"/>
    <w:link w:val="CitaCar"/>
    <w:uiPriority w:val="29"/>
    <w:qFormat/>
    <w:rsid w:val="00C06A68"/>
    <w:rPr>
      <w:i/>
      <w:iCs/>
    </w:rPr>
  </w:style>
  <w:style w:type="character" w:customStyle="1" w:styleId="CitaCar">
    <w:name w:val="Cita Car"/>
    <w:basedOn w:val="Fuentedeprrafopredeter"/>
    <w:link w:val="Cita"/>
    <w:uiPriority w:val="29"/>
    <w:rsid w:val="00C06A68"/>
    <w:rPr>
      <w:i/>
      <w:iCs/>
    </w:rPr>
  </w:style>
  <w:style w:type="paragraph" w:styleId="Citadestacada">
    <w:name w:val="Intense Quote"/>
    <w:basedOn w:val="Normal"/>
    <w:next w:val="Normal"/>
    <w:link w:val="CitadestacadaCar"/>
    <w:uiPriority w:val="30"/>
    <w:qFormat/>
    <w:rsid w:val="00C06A68"/>
    <w:pPr>
      <w:pBdr>
        <w:top w:val="single" w:sz="8" w:space="1" w:color="2683C6"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C06A68"/>
    <w:rPr>
      <w:b/>
      <w:bCs/>
      <w:i/>
      <w:iCs/>
    </w:rPr>
  </w:style>
  <w:style w:type="character" w:styleId="nfasissutil">
    <w:name w:val="Subtle Emphasis"/>
    <w:uiPriority w:val="19"/>
    <w:qFormat/>
    <w:rsid w:val="00C06A68"/>
    <w:rPr>
      <w:i/>
      <w:iCs/>
    </w:rPr>
  </w:style>
  <w:style w:type="character" w:styleId="nfasisintenso">
    <w:name w:val="Intense Emphasis"/>
    <w:uiPriority w:val="21"/>
    <w:qFormat/>
    <w:rsid w:val="00C06A68"/>
    <w:rPr>
      <w:b/>
      <w:bCs/>
      <w:i/>
      <w:iCs/>
      <w:color w:val="2683C6" w:themeColor="accent6"/>
      <w:spacing w:val="10"/>
    </w:rPr>
  </w:style>
  <w:style w:type="character" w:styleId="Referenciasutil">
    <w:name w:val="Subtle Reference"/>
    <w:uiPriority w:val="31"/>
    <w:qFormat/>
    <w:rsid w:val="00C06A68"/>
    <w:rPr>
      <w:b/>
      <w:bCs/>
    </w:rPr>
  </w:style>
  <w:style w:type="character" w:styleId="Referenciaintensa">
    <w:name w:val="Intense Reference"/>
    <w:uiPriority w:val="32"/>
    <w:qFormat/>
    <w:rsid w:val="00C06A68"/>
    <w:rPr>
      <w:b/>
      <w:bCs/>
      <w:smallCaps/>
      <w:spacing w:val="5"/>
      <w:sz w:val="22"/>
      <w:szCs w:val="22"/>
      <w:u w:val="single"/>
    </w:rPr>
  </w:style>
  <w:style w:type="character" w:styleId="Ttulodellibro">
    <w:name w:val="Book Title"/>
    <w:uiPriority w:val="33"/>
    <w:qFormat/>
    <w:rsid w:val="00C06A68"/>
    <w:rPr>
      <w:rFonts w:asciiTheme="majorHAnsi" w:eastAsiaTheme="majorEastAsia" w:hAnsiTheme="majorHAnsi" w:cstheme="majorBidi"/>
      <w:i/>
      <w:iCs/>
      <w:sz w:val="20"/>
      <w:szCs w:val="20"/>
    </w:rPr>
  </w:style>
  <w:style w:type="paragraph" w:styleId="Prrafodelista">
    <w:name w:val="List Paragraph"/>
    <w:basedOn w:val="Normal"/>
    <w:uiPriority w:val="34"/>
    <w:qFormat/>
    <w:rsid w:val="00C06A68"/>
    <w:pPr>
      <w:ind w:left="720"/>
      <w:contextualSpacing/>
    </w:pPr>
  </w:style>
  <w:style w:type="table" w:styleId="Tablaconcuadrcula">
    <w:name w:val="Table Grid"/>
    <w:basedOn w:val="Tablanormal"/>
    <w:rsid w:val="0033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Vista">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3111</Words>
  <Characters>17114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Estructura temporal (subyacente) de los tipos de interés</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temporal (subyacente) de los tipos de interés</dc:title>
  <dc:creator>Jose López Galdón</dc:creator>
  <cp:keywords/>
  <cp:lastModifiedBy>Jose López Galdón</cp:lastModifiedBy>
  <cp:revision>3</cp:revision>
  <dcterms:created xsi:type="dcterms:W3CDTF">2020-11-08T16:48:00Z</dcterms:created>
  <dcterms:modified xsi:type="dcterms:W3CDTF">2020-11-08T16:49:00Z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2020-11-08</vt:lpwstr>
  </property>
  <property fmtid="{D5CDD505-2E9C-101B-9397-08002B2CF9AE}" pid="3" name="output">
    <vt:lpwstr>word_document</vt:lpwstr>
  </property>
</Properties>
</file>