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Coches</w:t>
      </w:r>
      <w:r>
        <w:t xml:space="preserve"> </w:t>
      </w:r>
      <w:r>
        <w:t xml:space="preserve">del</w:t>
      </w:r>
      <w:r>
        <w:t xml:space="preserve"> </w:t>
      </w:r>
      <w:r>
        <w:t xml:space="preserve">Jefe</w:t>
      </w:r>
    </w:p>
    <w:p>
      <w:pPr>
        <w:pStyle w:val="Subtitle"/>
      </w:pPr>
      <w:r>
        <w:t xml:space="preserve">División</w:t>
      </w:r>
      <w:r>
        <w:t xml:space="preserve"> </w:t>
      </w:r>
      <w:r>
        <w:t xml:space="preserve">de</w:t>
      </w:r>
      <w:r>
        <w:t xml:space="preserve"> </w:t>
      </w:r>
      <w:r>
        <w:t xml:space="preserve">la</w:t>
      </w:r>
      <w:r>
        <w:t xml:space="preserve"> </w:t>
      </w:r>
      <w:r>
        <w:t xml:space="preserve">colección</w:t>
      </w:r>
    </w:p>
    <w:p>
      <w:pPr>
        <w:pStyle w:val="Author"/>
      </w:pPr>
      <w:r>
        <w:t xml:space="preserve">Jose</w:t>
      </w:r>
      <w:r>
        <w:t xml:space="preserve"> </w:t>
      </w:r>
      <w:r>
        <w:t xml:space="preserve">López</w:t>
      </w:r>
    </w:p>
    <w:p>
      <w:pPr>
        <w:pStyle w:val="Date"/>
      </w:pPr>
      <w:r>
        <w:t xml:space="preserve">2020-12-01</w:t>
      </w:r>
    </w:p>
    <w:bookmarkStart w:id="20" w:name="abstract"/>
    <w:p>
      <w:pPr>
        <w:pStyle w:val="Heading2"/>
      </w:pPr>
      <w:r>
        <w:rPr>
          <w:i/>
        </w:rPr>
        <w:t xml:space="preserve">ABSTRACT</w:t>
      </w:r>
    </w:p>
    <w:p>
      <w:pPr>
        <w:pStyle w:val="FirstParagraph"/>
      </w:pPr>
      <w:r>
        <w:t xml:space="preserve">El objetivo del siguiente trabajo es dividir la colección de los coches del jefe. de manera que seamos capaces de distribuirlos en las 10 residencias. Para ello, estudiaremos sus características con el fin de segmenterarlos en base a las mismas, teniendo como restricción un máximo de 15 vehículos por vivienda.</w:t>
      </w:r>
    </w:p>
    <w:p>
      <w:r>
        <w:pict>
          <v:rect style="width:0;height:1.5pt" o:hralign="center" o:hrstd="t" o:hr="t"/>
        </w:pict>
      </w:r>
    </w:p>
    <w:p>
      <w:r>
        <w:pict>
          <v:rect style="width:0;height:1.5pt" o:hralign="center" o:hrstd="t" o:hr="t"/>
        </w:pict>
      </w:r>
    </w:p>
    <w:bookmarkEnd w:id="20"/>
    <w:bookmarkStart w:id="22" w:name="planteamiento"/>
    <w:p>
      <w:pPr>
        <w:pStyle w:val="Heading2"/>
      </w:pPr>
      <w:r>
        <w:t xml:space="preserve">PLANTEAMIENTO</w:t>
      </w:r>
    </w:p>
    <w:p>
      <w:pPr>
        <w:pStyle w:val="FirstParagraph"/>
      </w:pPr>
      <w:r>
        <w:t xml:space="preserve">Su jefe tiene una semana complicada y le ha pedido que le haga una propuesta de cómo repartir la colección en las distintas residencias. Como ud. bien sabe, podría repartirlos como máximo en las diez que posee en la actualidad (precisamente está, durante esta semana, cerrando la venta de alguna de ellas, que quizá sustituya por alguna otra), pero, siendo una opción conservadora, quizá no sea la más adecuada, atendiendo a las caracerísticas que ud. ya conoce de los vehículos.</w:t>
      </w:r>
    </w:p>
    <w:p>
      <w:pPr>
        <w:pStyle w:val="BodyText"/>
      </w:pPr>
      <w:r>
        <w:t xml:space="preserve">Así pues, su tarea es relativamente sencilla: estudiar el número adecuado de grupos en los que dividir la colección. El número máximo que puede alojar cualquier residencia es de 15 coches, pero eso no significa que los grupos sean de máximo 15 coches; en caso de proponer grupos con más coches, deberá escoger las residencias en las que guardarlos, atendiendo a un criterio de distancia.</w:t>
      </w:r>
    </w:p>
    <w:p>
      <w:pPr>
        <w:pStyle w:val="BodyText"/>
      </w:pPr>
      <w:r>
        <w:t xml:space="preserve">El criterio de reparto debe ser consistente, y debe justificar su decisión en un máximo de 4 páginas.</w:t>
      </w:r>
    </w:p>
    <w:p>
      <w:pPr>
        <w:pStyle w:val="BodyText"/>
      </w:pPr>
      <w:r>
        <w:t xml:space="preserve">!</w:t>
      </w:r>
      <w:r>
        <w:t xml:space="preserve"> </w:t>
      </w:r>
      <w:hyperlink r:id="rId21">
        <w:r>
          <w:rPr>
            <w:rStyle w:val="Hyperlink"/>
          </w:rPr>
          <w:t xml:space="preserve">Mapa</w:t>
        </w:r>
      </w:hyperlink>
      <w:r>
        <w:t xml:space="preserve"> </w:t>
      </w:r>
      <w:r>
        <w:rPr>
          <w:i/>
        </w:rPr>
        <w:t xml:space="preserve">Continuará</w:t>
      </w:r>
      <w:r>
        <w:t xml:space="preserve">.</w:t>
      </w:r>
    </w:p>
    <w:p>
      <w:r>
        <w:pict>
          <v:rect style="width:0;height:1.5pt" o:hralign="center" o:hrstd="t" o:hr="t"/>
        </w:pict>
      </w:r>
    </w:p>
    <w:p>
      <w:r>
        <w:pict>
          <v:rect style="width:0;height:1.5pt" o:hralign="center" o:hrstd="t" o:hr="t"/>
        </w:pict>
      </w:r>
    </w:p>
    <w:bookmarkEnd w:id="22"/>
    <w:bookmarkStart w:id="23" w:name="base-de-datos"/>
    <w:p>
      <w:pPr>
        <w:pStyle w:val="Heading2"/>
      </w:pPr>
      <w:r>
        <w:t xml:space="preserve">BASE DE DATOS</w:t>
      </w:r>
    </w:p>
    <w:p>
      <w:r>
        <w:pict>
          <v:rect style="width:0;height:1.5pt" o:hralign="center" o:hrstd="t" o:hr="t"/>
        </w:pict>
      </w:r>
    </w:p>
    <w:p>
      <w:r>
        <w:pict>
          <v:rect style="width:0;height:1.5pt" o:hralign="center" o:hrstd="t" o:hr="t"/>
        </w:pict>
      </w:r>
    </w:p>
    <w:bookmarkEnd w:id="23"/>
    <w:bookmarkStart w:id="36" w:name="selección-del-número-óptimo-de-grupos"/>
    <w:p>
      <w:pPr>
        <w:pStyle w:val="Heading2"/>
      </w:pPr>
      <w:r>
        <w:t xml:space="preserve">SELECCIÓN DEL NÚMERO ÓPTIMO DE GRUPOS</w:t>
      </w:r>
    </w:p>
    <w:p>
      <w:pPr>
        <w:pStyle w:val="FirstParagraph"/>
      </w:pPr>
      <w:r>
        <w:t xml:space="preserve">Durante este informe el objetivo es ser capaces de de segmentar los coches en grupos de máximo 15 vehículos para distribuirlos en 10 viviendas. Para ello, comenzaremos escalando los datos, continuaremos analizando la idoneidad de los clusters, a través del estadístico de Hopkins y métodos visuales y, por último, calcularemos el número óptimo de clusters con distintos algoritmos.</w:t>
      </w:r>
    </w:p>
    <w:bookmarkStart w:id="24" w:name="escalamiento-de-los-datos"/>
    <w:p>
      <w:pPr>
        <w:pStyle w:val="Heading3"/>
      </w:pPr>
      <w:r>
        <w:t xml:space="preserve">Escalamiento de los datos</w:t>
      </w:r>
    </w:p>
    <w:p>
      <w:r>
        <w:pict>
          <v:rect style="width:0;height:1.5pt" o:hralign="center" o:hrstd="t" o:hr="t"/>
        </w:pict>
      </w:r>
    </w:p>
    <w:bookmarkEnd w:id="24"/>
    <w:bookmarkStart w:id="30" w:name="X578783c82c63e136a27ca9bc3856797d72f81da"/>
    <w:p>
      <w:pPr>
        <w:pStyle w:val="Heading3"/>
      </w:pPr>
      <w:r>
        <w:t xml:space="preserve">Métodos de evaluación de la bondad del análisis cluster</w:t>
      </w:r>
    </w:p>
    <w:bookmarkStart w:id="26" w:name="estadístico-hopkins"/>
    <w:p>
      <w:pPr>
        <w:pStyle w:val="Heading4"/>
      </w:pPr>
      <w:r>
        <w:t xml:space="preserve">Estadístico Hopkins</w:t>
      </w:r>
    </w:p>
    <w:p>
      <w:pPr>
        <w:pStyle w:val="FirstParagraph"/>
      </w:pPr>
      <w:hyperlink r:id="rId25">
        <w:r>
          <w:rPr>
            <w:rStyle w:val="Hyperlink"/>
          </w:rPr>
          <w:t xml:space="preserve">//</w:t>
        </w:r>
      </w:hyperlink>
      <w:r>
        <w:t xml:space="preserve">: Se trata de un contraste frente a la estructura aleatoria a través de una distribución uniforme del espaciode datos; la idea es contrastar una hipótesis de distribución uniforme / aleatoria de los datos frente a sualternativa (que no lo sea); de aceptarse la hipótesis nula, no existirían grupos de observaciones interesantesen el conjunto analizado.</w:t>
      </w:r>
    </w:p>
    <w:p>
      <w:pPr>
        <w:pStyle w:val="BodyText"/>
      </w:pPr>
      <w:r>
        <w:t xml:space="preserve">Tras realizar el cálculo del estadístico de hopkins, podemos rechazar la hipótesis de aletoriedad por lo que avalamos la existencia de dos o más clusters en el conjunto de observaciones, es decir, existen distnacias considerables entre los vecinos, por lo que podemos continuar con nuestro análisis.</w:t>
      </w:r>
    </w:p>
    <w:bookmarkEnd w:id="26"/>
    <w:bookmarkStart w:id="29" w:name="método-vat-de-evaluación-visual"/>
    <w:p>
      <w:pPr>
        <w:pStyle w:val="Heading4"/>
      </w:pPr>
      <w:r>
        <w:t xml:space="preserve">Método VAT de evaluación visual</w:t>
      </w:r>
    </w:p>
    <w:p>
      <w:pPr>
        <w:pStyle w:val="FirstParagraph"/>
      </w:pPr>
      <w:hyperlink r:id="rId25">
        <w:r>
          <w:rPr>
            <w:rStyle w:val="Hyperlink"/>
          </w:rPr>
          <w:t xml:space="preserve">//</w:t>
        </w:r>
      </w:hyperlink>
      <w:r>
        <w:t xml:space="preserve">: El método VAT (</w:t>
      </w:r>
      <w:r>
        <w:rPr>
          <w:i/>
        </w:rPr>
        <w:t xml:space="preserve">Virtual Assessment of cluster Tendency</w:t>
      </w:r>
      <w:r>
        <w:t xml:space="preserve">) permite inspeccionar visualmente la posibilidad de agrupamiento de los datos analizados. Para ello, plotearemos distintas metodologías…</w:t>
      </w:r>
    </w:p>
    <w:p>
      <w:pPr>
        <w:pStyle w:val="BodyText"/>
      </w:pPr>
      <w:r>
        <w:drawing>
          <wp:inline>
            <wp:extent cx="4581162" cy="3664929"/>
            <wp:effectExtent b="0" l="0" r="0" t="0"/>
            <wp:docPr descr="" title="" id="1" name="Picture"/>
            <a:graphic>
              <a:graphicData uri="http://schemas.openxmlformats.org/drawingml/2006/picture">
                <pic:pic>
                  <pic:nvPicPr>
                    <pic:cNvPr descr="02_los_coches_del_jefe_files/figure-docx/pearson%20distance-1.png" id="0" name="Picture"/>
                    <pic:cNvPicPr>
                      <a:picLocks noChangeArrowheads="1" noChangeAspect="1"/>
                    </pic:cNvPicPr>
                  </pic:nvPicPr>
                  <pic:blipFill>
                    <a:blip r:embed="rId27"/>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r>
        <w:t xml:space="preserve">El gráfico superior representa de manera gráfica la distancia entre los grupos, cuando es azul implica poca distancia entre las observaciones, mientras que si es rojo implica más distancia. En este caso no encontramos gran información, pero si podemos observar cómo existen grupos de observaciones claramente diferenciadas.</w:t>
      </w:r>
    </w:p>
    <w:p>
      <w:pPr>
        <w:pStyle w:val="BodyText"/>
      </w:pPr>
      <w:r>
        <w:t xml:space="preserve">Otra manera de visualizar los grupos es mediante un dendrograma:</w:t>
      </w:r>
    </w:p>
    <w:p>
      <w:pPr>
        <w:pStyle w:val="BodyText"/>
      </w:pPr>
      <w:r>
        <w:drawing>
          <wp:inline>
            <wp:extent cx="4581162" cy="3664929"/>
            <wp:effectExtent b="0" l="0" r="0" t="0"/>
            <wp:docPr descr="" title="" id="1" name="Picture"/>
            <a:graphic>
              <a:graphicData uri="http://schemas.openxmlformats.org/drawingml/2006/picture">
                <pic:pic>
                  <pic:nvPicPr>
                    <pic:cNvPr descr="02_los_coches_del_jefe_files/figure-docx/dendrogram-1.png" id="0" name="Picture"/>
                    <pic:cNvPicPr>
                      <a:picLocks noChangeArrowheads="1" noChangeAspect="1"/>
                    </pic:cNvPicPr>
                  </pic:nvPicPr>
                  <pic:blipFill>
                    <a:blip r:embed="rId28"/>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r>
        <w:t xml:space="preserve">En el gráfico superior, hemos ploteado un dendrograma de los vehículos clasificándolos en 10 grupos, siendo este el número máximo de grupos que podemos realizar. Aún así, esto no implica que sea el óptimo, es por ello que realizaremos a continuación el cálculo del número óptimo de grupos.</w:t>
      </w:r>
    </w:p>
    <w:p>
      <w:r>
        <w:pict>
          <v:rect style="width:0;height:1.5pt" o:hralign="center" o:hrstd="t" o:hr="t"/>
        </w:pict>
      </w:r>
    </w:p>
    <w:bookmarkEnd w:id="29"/>
    <w:bookmarkEnd w:id="30"/>
    <w:bookmarkStart w:id="35" w:name="X4cd48518daf4b10ca2d87d933cf79308f8fcadb"/>
    <w:p>
      <w:pPr>
        <w:pStyle w:val="Heading3"/>
      </w:pPr>
      <w:r>
        <w:t xml:space="preserve">Determinación del número óptimo de clusters</w:t>
      </w:r>
    </w:p>
    <w:p>
      <w:pPr>
        <w:pStyle w:val="FirstParagraph"/>
      </w:pPr>
      <w:r>
        <w:t xml:space="preserve">Tras realizar el análisis obtenemos que el número idóneo de clusters es 3, sin embargo, esto presenta un inconveniente, ya que si dividimos los 125 vehículos en 3 grupos nos sería imposible almacenarlos en los 10 garajes del jefe, ya que la máxima capacidad que poseen es de 15 vehículos por vivienda. Es por ello, por lo que probaremos a graficar los clusters.</w:t>
      </w:r>
    </w:p>
    <w:p>
      <w:r>
        <w:pict>
          <v:rect style="width:0;height:1.5pt" o:hralign="center" o:hrstd="t" o:hr="t"/>
        </w:pict>
      </w:r>
    </w:p>
    <w:bookmarkStart w:id="31" w:name="k-3"/>
    <w:p>
      <w:pPr>
        <w:pStyle w:val="Heading4"/>
      </w:pPr>
      <w:r>
        <w:t xml:space="preserve">K = 3</w:t>
      </w:r>
    </w:p>
    <w:p>
      <w:pPr>
        <w:pStyle w:val="FirstParagraph"/>
      </w:pPr>
      <w:r>
        <w:t xml:space="preserve">Si elegimos 3 grupos salen bien diferenciados y no se producen solapamientos, el inconveniente es que dada la ubicación de las viviendas no consideramos correcto esta segmentación para la situación que nos acontence. Estudiando el mapa de las residencias, podemos observar 5 o 6 zonas donde están distribuidas las viviendas: Paris, La Rochelle, Suiza, Pireneos y Niza, es por ello, por lo que podríamos clasificar los vehículos en 5 grupos.</w:t>
      </w:r>
    </w:p>
    <w:p>
      <w:r>
        <w:pict>
          <v:rect style="width:0;height:1.5pt" o:hralign="center" o:hrstd="t" o:hr="t"/>
        </w:pict>
      </w:r>
    </w:p>
    <w:bookmarkEnd w:id="31"/>
    <w:bookmarkStart w:id="34" w:name="k-5"/>
    <w:p>
      <w:pPr>
        <w:pStyle w:val="Heading4"/>
      </w:pPr>
      <w:r>
        <w:t xml:space="preserve">K = 5</w:t>
      </w:r>
    </w:p>
    <w:p>
      <w:pPr>
        <w:pStyle w:val="FirstParagraph"/>
      </w:pPr>
      <w:r>
        <w:drawing>
          <wp:inline>
            <wp:extent cx="4581162" cy="3664929"/>
            <wp:effectExtent b="0" l="0" r="0" t="0"/>
            <wp:docPr descr="" title="" id="1" name="Picture"/>
            <a:graphic>
              <a:graphicData uri="http://schemas.openxmlformats.org/drawingml/2006/picture">
                <pic:pic>
                  <pic:nvPicPr>
                    <pic:cNvPr descr="02_los_coches_del_jefe_files/figure-docx/kmeans%205%20clusters-1.png" id="0" name="Picture"/>
                    <pic:cNvPicPr>
                      <a:picLocks noChangeArrowheads="1" noChangeAspect="1"/>
                    </pic:cNvPicPr>
                  </pic:nvPicPr>
                  <pic:blipFill>
                    <a:blip r:embed="rId32"/>
                    <a:stretch>
                      <a:fillRect/>
                    </a:stretch>
                  </pic:blipFill>
                  <pic:spPr bwMode="auto">
                    <a:xfrm>
                      <a:off x="0" y="0"/>
                      <a:ext cx="4581162" cy="3664929"/>
                    </a:xfrm>
                    <a:prstGeom prst="rect">
                      <a:avLst/>
                    </a:prstGeom>
                    <a:noFill/>
                    <a:ln w="9525">
                      <a:noFill/>
                      <a:headEnd/>
                      <a:tailEnd/>
                    </a:ln>
                  </pic:spPr>
                </pic:pic>
              </a:graphicData>
            </a:graphic>
          </wp:inline>
        </w:drawing>
      </w:r>
    </w:p>
    <w:p>
      <w:pPr>
        <w:pStyle w:val="SourceCode"/>
      </w:pPr>
      <w:r>
        <w:rPr>
          <w:rStyle w:val="VerbatimChar"/>
        </w:rPr>
        <w:t xml:space="preserve">##   cluster size ave.sil.width</w:t>
      </w:r>
      <w:r>
        <w:br/>
      </w:r>
      <w:r>
        <w:rPr>
          <w:rStyle w:val="VerbatimChar"/>
        </w:rPr>
        <w:t xml:space="preserve">## 1       1   16          0.32</w:t>
      </w:r>
      <w:r>
        <w:br/>
      </w:r>
      <w:r>
        <w:rPr>
          <w:rStyle w:val="VerbatimChar"/>
        </w:rPr>
        <w:t xml:space="preserve">## 2       2   45          0.35</w:t>
      </w:r>
      <w:r>
        <w:br/>
      </w:r>
      <w:r>
        <w:rPr>
          <w:rStyle w:val="VerbatimChar"/>
        </w:rPr>
        <w:t xml:space="preserve">## 3       3   20          0.30</w:t>
      </w:r>
      <w:r>
        <w:br/>
      </w:r>
      <w:r>
        <w:rPr>
          <w:rStyle w:val="VerbatimChar"/>
        </w:rPr>
        <w:t xml:space="preserve">## 4       4   25          0.38</w:t>
      </w:r>
      <w:r>
        <w:br/>
      </w:r>
      <w:r>
        <w:rPr>
          <w:rStyle w:val="VerbatimChar"/>
        </w:rPr>
        <w:t xml:space="preserve">## 5       5   19          0.16</w:t>
      </w:r>
    </w:p>
    <w:p>
      <w:pPr>
        <w:pStyle w:val="FirstParagraph"/>
      </w:pPr>
      <w:r>
        <w:drawing>
          <wp:inline>
            <wp:extent cx="4581162" cy="3664929"/>
            <wp:effectExtent b="0" l="0" r="0" t="0"/>
            <wp:docPr descr="" title="" id="1" name="Picture"/>
            <a:graphic>
              <a:graphicData uri="http://schemas.openxmlformats.org/drawingml/2006/picture">
                <pic:pic>
                  <pic:nvPicPr>
                    <pic:cNvPr descr="02_los_coches_del_jefe_files/figure-docx/kmeans%205%20clusters-2.png" id="0" name="Picture"/>
                    <pic:cNvPicPr>
                      <a:picLocks noChangeArrowheads="1" noChangeAspect="1"/>
                    </pic:cNvPicPr>
                  </pic:nvPicPr>
                  <pic:blipFill>
                    <a:blip r:embed="rId33"/>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hyperlink r:id="rId25">
        <w:r>
          <w:rPr>
            <w:rStyle w:val="Hyperlink"/>
          </w:rPr>
          <w:t xml:space="preserve">//</w:t>
        </w:r>
      </w:hyperlink>
      <w:r>
        <w:t xml:space="preserve">: Como podemos observar, no existe solapamiento en los grupos (salvo en el jerárquico), por lo que establecemos 5 el número óptimo de grupos.</w:t>
      </w:r>
    </w:p>
    <w:p>
      <w:r>
        <w:pict>
          <v:rect style="width:0;height:1.5pt" o:hralign="center" o:hrstd="t" o:hr="t"/>
        </w:pict>
      </w:r>
    </w:p>
    <w:p>
      <w:r>
        <w:pict>
          <v:rect style="width:0;height:1.5pt" o:hralign="center" o:hrstd="t" o:hr="t"/>
        </w:pict>
      </w:r>
    </w:p>
    <w:bookmarkEnd w:id="34"/>
    <w:bookmarkEnd w:id="35"/>
    <w:bookmarkEnd w:id="36"/>
    <w:bookmarkStart w:id="37" w:name="conclusiones"/>
    <w:p>
      <w:pPr>
        <w:pStyle w:val="Heading2"/>
      </w:pPr>
      <w:r>
        <w:t xml:space="preserve">CONCLUSIONES</w:t>
      </w:r>
    </w:p>
    <w:p>
      <w:pPr>
        <w:pStyle w:val="FirstParagraph"/>
      </w:pPr>
      <w:r>
        <w:t xml:space="preserve">Tras haber realizado analizado el número óptimo de clusters para la colección de 125 TT de nuestro jefe, rechazamos el número óptimo calculado, es decir, 3 grupos, ya que al tener 10 viviendas tan separadas nos imposibilita la tarea de clasificarlos en los garajes de manera óptima. Es por ello, y tras estudiar la ubicación de las viviendas en el mapa otorgado, que establecemos el número óptimo de grupos en 5, los cuales se distribuirán de la siguiente manera:</w:t>
      </w:r>
    </w:p>
    <w:p>
      <w:pPr>
        <w:numPr>
          <w:ilvl w:val="0"/>
          <w:numId w:val="1001"/>
        </w:numPr>
      </w:pPr>
      <w:r>
        <w:rPr>
          <w:b/>
        </w:rPr>
        <w:t xml:space="preserve">Grupo 1</w:t>
      </w:r>
      <w:r>
        <w:t xml:space="preserve">: 16 vehículos. Distribuidos en la Rochelle. El vehículo que cabe en este garaje pasaría a Corcega, ya que se asemeja a los vehículos del quinto grupo.</w:t>
      </w:r>
    </w:p>
    <w:p>
      <w:pPr>
        <w:numPr>
          <w:ilvl w:val="0"/>
          <w:numId w:val="1001"/>
        </w:numPr>
      </w:pPr>
      <w:r>
        <w:rPr>
          <w:b/>
        </w:rPr>
        <w:t xml:space="preserve">Grupo 2</w:t>
      </w:r>
      <w:r>
        <w:t xml:space="preserve">: 45 vehículos. Distribuidos en los 3 garajes de la zona de Mónaco-Niza.</w:t>
      </w:r>
    </w:p>
    <w:p>
      <w:pPr>
        <w:numPr>
          <w:ilvl w:val="0"/>
          <w:numId w:val="1001"/>
        </w:numPr>
      </w:pPr>
      <w:r>
        <w:rPr>
          <w:b/>
        </w:rPr>
        <w:t xml:space="preserve">Grupo 3</w:t>
      </w:r>
      <w:r>
        <w:t xml:space="preserve">: 20 vehículos. Distribuidos en los garajes de Suiza.</w:t>
      </w:r>
    </w:p>
    <w:p>
      <w:pPr>
        <w:numPr>
          <w:ilvl w:val="0"/>
          <w:numId w:val="1001"/>
        </w:numPr>
      </w:pPr>
      <w:r>
        <w:rPr>
          <w:b/>
        </w:rPr>
        <w:t xml:space="preserve">Grupo 4</w:t>
      </w:r>
      <w:r>
        <w:t xml:space="preserve">: 25 vehículos. Distribuidos en los dos garajes de París</w:t>
      </w:r>
    </w:p>
    <w:p>
      <w:pPr>
        <w:numPr>
          <w:ilvl w:val="0"/>
          <w:numId w:val="1001"/>
        </w:numPr>
      </w:pPr>
      <w:r>
        <w:rPr>
          <w:b/>
        </w:rPr>
        <w:t xml:space="preserve">Grupo 5</w:t>
      </w:r>
      <w:r>
        <w:t xml:space="preserve">: 19 vehículos. Dado que algunos se asemejan a los del grupo 2, recomendarías que fuesen a Corcega y el resto a Pirineos.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21" Target="../references/map.png" TargetMode="External" /><Relationship Type="http://schemas.openxmlformats.org/officeDocument/2006/relationships/hyperlink" Id="rId25" Target="La%20determinaci&#243;n%20del%20n&#250;mero%20&#243;ptimo%20de%20clusters%20es%20uno%20de%20los%20principales%20problemas%20en%20el%20an&#225;lisis%20de%20nuestros%20datos.%20Un%20exceso%20de%20grupos%20puede%20resultar%20en%20una%20granularidad%20que%20no%20aporta%20mayor%20inter&#233;s%20y,%20sobre%20todo,%20que%20puede%20resultar%20excesivamente%20cara%20a%20la%20hora%20de%20implementarlo%20en%20la%20pr&#225;ctica%20con%20clientes%20o%20en%20investigaci&#243;n;%20por%20otro%20lado,%20siendo%20mucho%20m&#225;s%20econ&#243;mico%20un%20n&#250;mero%20reducido,%20el%20impacto%20real%20en%20el%20grupo%20puede%20ser%20muy%20peque&#241;o%20debido%20a%20la%20gran%20diversidad%20de%20caracter&#237;sticas%20que%20lo%20identifican.%20Para%20resolver%20este%20problema,%20desde%202014%20est&#225;%20disponible%20en%20%60R%60%20el%20paquete%20%60NBclust%60%20que%20proporciona%2030%20&#237;ndices%20para%20determinar%20ese%20n&#250;mero,%20en%20una%20&#250;nica%20l&#237;nea%20de%20c&#243;digo." TargetMode="External" /></Relationships>
</file>

<file path=word/_rels/footnotes.xml.rels><?xml version="1.0" encoding="UTF-8"?>
<Relationships xmlns="http://schemas.openxmlformats.org/package/2006/relationships"><Relationship Type="http://schemas.openxmlformats.org/officeDocument/2006/relationships/hyperlink" Id="rId21" Target="../references/map.png" TargetMode="External" /><Relationship Type="http://schemas.openxmlformats.org/officeDocument/2006/relationships/hyperlink" Id="rId25" Target="La%20determinaci&#243;n%20del%20n&#250;mero%20&#243;ptimo%20de%20clusters%20es%20uno%20de%20los%20principales%20problemas%20en%20el%20an&#225;lisis%20de%20nuestros%20datos.%20Un%20exceso%20de%20grupos%20puede%20resultar%20en%20una%20granularidad%20que%20no%20aporta%20mayor%20inter&#233;s%20y,%20sobre%20todo,%20que%20puede%20resultar%20excesivamente%20cara%20a%20la%20hora%20de%20implementarlo%20en%20la%20pr&#225;ctica%20con%20clientes%20o%20en%20investigaci&#243;n;%20por%20otro%20lado,%20siendo%20mucho%20m&#225;s%20econ&#243;mico%20un%20n&#250;mero%20reducido,%20el%20impacto%20real%20en%20el%20grupo%20puede%20ser%20muy%20peque&#241;o%20debido%20a%20la%20gran%20diversidad%20de%20caracter&#237;sticas%20que%20lo%20identifican.%20Para%20resolver%20este%20problema,%20desde%202014%20est&#225;%20disponible%20en%20%60R%60%20el%20paquete%20%60NBclust%60%20que%20proporciona%2030%20&#237;ndices%20para%20determinar%20ese%20n&#250;mero,%20en%20una%20&#250;nica%20l&#237;nea%20de%20c&#243;di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Coches del Jefe</dc:title>
  <dc:creator>Jose López</dc:creator>
  <cp:keywords/>
  <dcterms:created xsi:type="dcterms:W3CDTF">2020-12-01T08:19:29Z</dcterms:created>
  <dcterms:modified xsi:type="dcterms:W3CDTF">2020-12-01T08:19:29Z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2020-12-01</vt:lpwstr>
  </property>
  <property fmtid="{D5CDD505-2E9C-101B-9397-08002B2CF9AE}" pid="3" name="output">
    <vt:lpwstr>word_document</vt:lpwstr>
  </property>
  <property fmtid="{D5CDD505-2E9C-101B-9397-08002B2CF9AE}" pid="4" name="subtitle">
    <vt:lpwstr>División de la colección</vt:lpwstr>
  </property>
</Properties>
</file>