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segmentación</w:t>
      </w:r>
    </w:p>
    <w:p>
      <w:pPr>
        <w:pStyle w:val="Author"/>
      </w:pPr>
      <w:r>
        <w:t xml:space="preserve">Jordi</w:t>
      </w:r>
      <w:r>
        <w:t xml:space="preserve"> </w:t>
      </w:r>
      <w:r>
        <w:t xml:space="preserve">López</w:t>
      </w:r>
      <w:r>
        <w:t xml:space="preserve"> </w:t>
      </w:r>
      <w:r>
        <w:t xml:space="preserve">Sintas</w:t>
      </w:r>
    </w:p>
    <w:p>
      <w:pPr>
        <w:pStyle w:val="Date"/>
      </w:pPr>
      <w:r>
        <w:t xml:space="preserve">23/2/2017</w:t>
      </w:r>
    </w:p>
    <w:p>
      <w:pPr>
        <w:pStyle w:val="Heading1"/>
      </w:pPr>
      <w:bookmarkStart w:id="21" w:name="introduccion"/>
      <w:bookmarkEnd w:id="21"/>
      <w:r>
        <w:t xml:space="preserve">Introducción</w:t>
      </w:r>
    </w:p>
    <w:p>
      <w:pPr>
        <w:pStyle w:val="TableCaption"/>
      </w:pPr>
      <w:r>
        <w:t xml:space="preserve">Descripción de las 6 primeras empresas y sus bases</w:t>
      </w:r>
    </w:p>
    <w:tbl>
      <w:tblPr>
        <w:tblStyle w:val="TableNormal"/>
        <w:tblW w:type="pct" w:w="0.0"/>
        <w:tblLook w:firstRow="1"/>
        <w:tblCaption w:val="Descripción de las 6 primeras empresas y sus bas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PRICELEV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PRICEFLE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MANUFIMA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SALESFOR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PRODUCTQ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</w:tbl>
    <w:p>
      <w:pPr>
        <w:pStyle w:val="TableCaption"/>
      </w:pPr>
      <w:r>
        <w:t xml:space="preserve">Descripicón de las 6 primeras empreas</w:t>
      </w:r>
    </w:p>
    <w:tbl>
      <w:tblPr>
        <w:tblStyle w:val="TableNormal"/>
        <w:tblW w:type="pct" w:w="0.0"/>
        <w:tblLook w:firstRow="1"/>
        <w:tblCaption w:val="Descripicón de las 6 primeras empre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TAMEMP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USAGELEV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SATISFLE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ESPCOMPR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ESTRCOMP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INDUSTRI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Total Value Analysis</w:t>
            </w:r>
          </w:p>
        </w:tc>
        <w:tc>
          <w:p>
            <w:pPr>
              <w:pStyle w:val="Compact"/>
              <w:jc w:val="left"/>
            </w:pPr>
            <w:r>
              <w:t xml:space="preserve">Decentralized</w:t>
            </w:r>
          </w:p>
        </w:tc>
        <w:tc>
          <w:p>
            <w:pPr>
              <w:pStyle w:val="Compact"/>
              <w:jc w:val="left"/>
            </w:pPr>
            <w:r>
              <w:t xml:space="preserve">Industry A 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Buying</w:t>
            </w:r>
          </w:p>
        </w:tc>
        <w:tc>
          <w:p>
            <w:pPr>
              <w:pStyle w:val="Compact"/>
              <w:jc w:val="left"/>
            </w:pPr>
            <w:r>
              <w:t xml:space="preserve">Centralized</w:t>
            </w:r>
          </w:p>
        </w:tc>
        <w:tc>
          <w:p>
            <w:pPr>
              <w:pStyle w:val="Compact"/>
              <w:jc w:val="left"/>
            </w:pPr>
            <w:r>
              <w:t xml:space="preserve">Other Industries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Buying</w:t>
            </w:r>
          </w:p>
        </w:tc>
        <w:tc>
          <w:p>
            <w:pPr>
              <w:pStyle w:val="Compact"/>
              <w:jc w:val="left"/>
            </w:pPr>
            <w:r>
              <w:t xml:space="preserve">Centralized</w:t>
            </w:r>
          </w:p>
        </w:tc>
        <w:tc>
          <w:p>
            <w:pPr>
              <w:pStyle w:val="Compact"/>
              <w:jc w:val="left"/>
            </w:pPr>
            <w:r>
              <w:t xml:space="preserve">Industry A 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Total Value Analysis</w:t>
            </w:r>
          </w:p>
        </w:tc>
        <w:tc>
          <w:p>
            <w:pPr>
              <w:pStyle w:val="Compact"/>
              <w:jc w:val="left"/>
            </w:pPr>
            <w:r>
              <w:t xml:space="preserve">Decentralized</w:t>
            </w:r>
          </w:p>
        </w:tc>
        <w:tc>
          <w:p>
            <w:pPr>
              <w:pStyle w:val="Compact"/>
              <w:jc w:val="left"/>
            </w:pPr>
            <w:r>
              <w:t xml:space="preserve">Industry A 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Total Value Analysis</w:t>
            </w:r>
          </w:p>
        </w:tc>
        <w:tc>
          <w:p>
            <w:pPr>
              <w:pStyle w:val="Compact"/>
              <w:jc w:val="left"/>
            </w:pPr>
            <w:r>
              <w:t xml:space="preserve">Decentralized</w:t>
            </w:r>
          </w:p>
        </w:tc>
        <w:tc>
          <w:p>
            <w:pPr>
              <w:pStyle w:val="Compact"/>
              <w:jc w:val="left"/>
            </w:pPr>
            <w:r>
              <w:t xml:space="preserve">Other Industries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Buying</w:t>
            </w:r>
          </w:p>
        </w:tc>
        <w:tc>
          <w:p>
            <w:pPr>
              <w:pStyle w:val="Compact"/>
              <w:jc w:val="left"/>
            </w:pPr>
            <w:r>
              <w:t xml:space="preserve">Centralized</w:t>
            </w:r>
          </w:p>
        </w:tc>
        <w:tc>
          <w:p>
            <w:pPr>
              <w:pStyle w:val="Compact"/>
              <w:jc w:val="left"/>
            </w:pPr>
            <w:r>
              <w:t xml:space="preserve">Other Industries</w:t>
            </w:r>
          </w:p>
        </w:tc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</w:tr>
    </w:tbl>
    <w:p>
      <w:pPr>
        <w:pStyle w:val="Heading1"/>
      </w:pPr>
      <w:bookmarkStart w:id="22" w:name="descripcion-de-las-bases"/>
      <w:bookmarkEnd w:id="22"/>
      <w:r>
        <w:t xml:space="preserve">Descripción de Las bases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tco-1-informe_files/figure-docx/base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exploracion-de-la-heterogeneidad"/>
      <w:bookmarkEnd w:id="24"/>
      <w:r>
        <w:t xml:space="preserve">Exploración de la heterogeneidad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tco-1-informe_files/figure-docx/hcl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Medias de la agrupación jerárquica</w:t>
      </w:r>
    </w:p>
    <w:tbl>
      <w:tblPr>
        <w:tblStyle w:val="TableNormal"/>
        <w:tblW w:type="pct" w:w="0.0"/>
        <w:tblLook w:firstRow="1"/>
        <w:tblCaption w:val="Medias de la agrupación jerárquic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8.66</w:t>
            </w:r>
          </w:p>
        </w:tc>
        <w:tc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8.04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</w:tr>
    </w:tbl>
    <w:p>
      <w:pPr>
        <w:pStyle w:val="Heading1"/>
      </w:pPr>
      <w:bookmarkStart w:id="26" w:name="particion-de-la-muestra-y-clasificacion"/>
      <w:bookmarkEnd w:id="26"/>
      <w:r>
        <w:t xml:space="preserve">Partición de la muestra y clasificación</w:t>
      </w:r>
    </w:p>
    <w:p>
      <w:pPr>
        <w:pStyle w:val="Heading2"/>
      </w:pPr>
      <w:bookmarkStart w:id="27" w:name="percepciones-de-las-empresas-en-los-segmentos"/>
      <w:bookmarkEnd w:id="27"/>
      <w:r>
        <w:t xml:space="preserve">Percepciones de las empresas en los segmentos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DELSPEED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PRICELEV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PRICEFLE</w:t>
            </w:r>
          </w:p>
        </w:tc>
        <w:tc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  <w:tc>
          <w:p>
            <w:pPr>
              <w:pStyle w:val="Compact"/>
              <w:jc w:val="right"/>
            </w:pPr>
            <w:r>
              <w:t xml:space="preserve">9.37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MANUFIMA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SALESFOR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PRODUCTQ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8.13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</w:tr>
    </w:tbl>
    <w:p>
      <w:pPr>
        <w:pStyle w:val="Heading1"/>
      </w:pPr>
      <w:bookmarkStart w:id="28" w:name="descripcion-de-las-empresas-que-forman-cada-segmento"/>
      <w:bookmarkEnd w:id="28"/>
      <w:r>
        <w:t xml:space="preserve">Descripción de las empresas que forman cada segmento</w:t>
      </w:r>
    </w:p>
    <w:p>
      <w:pPr>
        <w:pStyle w:val="SourceCode"/>
      </w:pPr>
      <w:r>
        <w:rPr>
          <w:rStyle w:val="VerbatimChar"/>
        </w:rPr>
        <w:t xml:space="preserve">##                                      Stratified by segmento</w:t>
      </w:r>
      <w:r>
        <w:br w:type="textWrapping"/>
      </w:r>
      <w:r>
        <w:rPr>
          <w:rStyle w:val="VerbatimChar"/>
        </w:rPr>
        <w:t xml:space="preserve">##                                       1             2            </w:t>
      </w:r>
      <w:r>
        <w:br w:type="textWrapping"/>
      </w:r>
      <w:r>
        <w:rPr>
          <w:rStyle w:val="VerbatimChar"/>
        </w:rPr>
        <w:t xml:space="preserve">##   n                                      33            48        </w:t>
      </w:r>
      <w:r>
        <w:br w:type="textWrapping"/>
      </w:r>
      <w:r>
        <w:rPr>
          <w:rStyle w:val="VerbatimChar"/>
        </w:rPr>
        <w:t xml:space="preserve">##   TAMEMP = Small (%)                     31 (93.9)     10 (20.8) </w:t>
      </w:r>
      <w:r>
        <w:br w:type="textWrapping"/>
      </w:r>
      <w:r>
        <w:rPr>
          <w:rStyle w:val="VerbatimChar"/>
        </w:rPr>
        <w:t xml:space="preserve">##   USAGELEV (mean (sd))                46.33 (8.90)  42.73 (7.70) </w:t>
      </w:r>
      <w:r>
        <w:br w:type="textWrapping"/>
      </w:r>
      <w:r>
        <w:rPr>
          <w:rStyle w:val="VerbatimChar"/>
        </w:rPr>
        <w:t xml:space="preserve">##   SATISFLE (mean (sd))                 4.84 (0.74)   4.38 (0.76) </w:t>
      </w:r>
      <w:r>
        <w:br w:type="textWrapping"/>
      </w:r>
      <w:r>
        <w:rPr>
          <w:rStyle w:val="VerbatimChar"/>
        </w:rPr>
        <w:t xml:space="preserve">##   ESPCOMPR = Total Value Analysis (%)    31 (93.9)     10 (20.8) </w:t>
      </w:r>
      <w:r>
        <w:br w:type="textWrapping"/>
      </w:r>
      <w:r>
        <w:rPr>
          <w:rStyle w:val="VerbatimChar"/>
        </w:rPr>
        <w:t xml:space="preserve">##   ESTRCOMP = Decentralized (%)           31 (93.9)      0 ( 0.0) </w:t>
      </w:r>
      <w:r>
        <w:br w:type="textWrapping"/>
      </w:r>
      <w:r>
        <w:rPr>
          <w:rStyle w:val="VerbatimChar"/>
        </w:rPr>
        <w:t xml:space="preserve">##   INDUSTRI = Other Industries (%)        23 (69.7)     22 (45.8) </w:t>
      </w:r>
      <w:r>
        <w:br w:type="textWrapping"/>
      </w:r>
      <w:r>
        <w:rPr>
          <w:rStyle w:val="VerbatimChar"/>
        </w:rPr>
        <w:t xml:space="preserve">##   SITCOMP (%)                                                    </w:t>
      </w:r>
      <w:r>
        <w:br w:type="textWrapping"/>
      </w:r>
      <w:r>
        <w:rPr>
          <w:rStyle w:val="VerbatimChar"/>
        </w:rPr>
        <w:t xml:space="preserve">##      Modified Rebuy                       8 (24.2)     22 (45.8) </w:t>
      </w:r>
      <w:r>
        <w:br w:type="textWrapping"/>
      </w:r>
      <w:r>
        <w:rPr>
          <w:rStyle w:val="VerbatimChar"/>
        </w:rPr>
        <w:t xml:space="preserve">##      New Task                             8 (24.2)     24 (50.0) </w:t>
      </w:r>
      <w:r>
        <w:br w:type="textWrapping"/>
      </w:r>
      <w:r>
        <w:rPr>
          <w:rStyle w:val="VerbatimChar"/>
        </w:rPr>
        <w:t xml:space="preserve">##      Straight Rebuy                      17 (51.5)      2 ( 4.2) </w:t>
      </w:r>
      <w:r>
        <w:br w:type="textWrapping"/>
      </w:r>
      <w:r>
        <w:rPr>
          <w:rStyle w:val="VerbatimChar"/>
        </w:rPr>
        <w:t xml:space="preserve">##                                      Stratified by segmento</w:t>
      </w:r>
      <w:r>
        <w:br w:type="textWrapping"/>
      </w:r>
      <w:r>
        <w:rPr>
          <w:rStyle w:val="VerbatimChar"/>
        </w:rPr>
        <w:t xml:space="preserve">##                                       3              p      test</w:t>
      </w:r>
      <w:r>
        <w:br w:type="textWrapping"/>
      </w:r>
      <w:r>
        <w:rPr>
          <w:rStyle w:val="VerbatimChar"/>
        </w:rPr>
        <w:t xml:space="preserve">##   n                                      19                     </w:t>
      </w:r>
      <w:r>
        <w:br w:type="textWrapping"/>
      </w:r>
      <w:r>
        <w:rPr>
          <w:rStyle w:val="VerbatimChar"/>
        </w:rPr>
        <w:t xml:space="preserve">##   TAMEMP = Small (%)                     19 (100.0)  &lt;0.001     </w:t>
      </w:r>
      <w:r>
        <w:br w:type="textWrapping"/>
      </w:r>
      <w:r>
        <w:rPr>
          <w:rStyle w:val="VerbatimChar"/>
        </w:rPr>
        <w:t xml:space="preserve">##   USAGELEV (mean (sd))                54.21 (7.00)   &lt;0.001     </w:t>
      </w:r>
      <w:r>
        <w:br w:type="textWrapping"/>
      </w:r>
      <w:r>
        <w:rPr>
          <w:rStyle w:val="VerbatimChar"/>
        </w:rPr>
        <w:t xml:space="preserve">##   SATISFLE (mean (sd))                 5.64 (0.57)   &lt;0.001     </w:t>
      </w:r>
      <w:r>
        <w:br w:type="textWrapping"/>
      </w:r>
      <w:r>
        <w:rPr>
          <w:rStyle w:val="VerbatimChar"/>
        </w:rPr>
        <w:t xml:space="preserve">##   ESPCOMPR = Total Value Analysis (%)    19 (100.0)  &lt;0.001     </w:t>
      </w:r>
      <w:r>
        <w:br w:type="textWrapping"/>
      </w:r>
      <w:r>
        <w:rPr>
          <w:rStyle w:val="VerbatimChar"/>
        </w:rPr>
        <w:t xml:space="preserve">##   ESTRCOMP = Decentralized (%)           19 (100.0)  &lt;0.001     </w:t>
      </w:r>
      <w:r>
        <w:br w:type="textWrapping"/>
      </w:r>
      <w:r>
        <w:rPr>
          <w:rStyle w:val="VerbatimChar"/>
        </w:rPr>
        <w:t xml:space="preserve">##   INDUSTRI = Other Industries (%)         5 ( 26.3)   0.008     </w:t>
      </w:r>
      <w:r>
        <w:br w:type="textWrapping"/>
      </w:r>
      <w:r>
        <w:rPr>
          <w:rStyle w:val="VerbatimChar"/>
        </w:rPr>
        <w:t xml:space="preserve">##   SITCOMP (%)                                        &lt;0.001     </w:t>
      </w:r>
      <w:r>
        <w:br w:type="textWrapping"/>
      </w:r>
      <w:r>
        <w:rPr>
          <w:rStyle w:val="VerbatimChar"/>
        </w:rPr>
        <w:t xml:space="preserve">##      Modified Rebuy                       2 ( 10.5)             </w:t>
      </w:r>
      <w:r>
        <w:br w:type="textWrapping"/>
      </w:r>
      <w:r>
        <w:rPr>
          <w:rStyle w:val="VerbatimChar"/>
        </w:rPr>
        <w:t xml:space="preserve">##      New Task                             2 ( 10.5)             </w:t>
      </w:r>
      <w:r>
        <w:br w:type="textWrapping"/>
      </w:r>
      <w:r>
        <w:rPr>
          <w:rStyle w:val="VerbatimChar"/>
        </w:rPr>
        <w:t xml:space="preserve">##      Straight Rebuy                      15 ( 78.9)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TAMEMP = Small (%)</w:t>
            </w:r>
          </w:p>
        </w:tc>
        <w:tc>
          <w:p>
            <w:pPr>
              <w:pStyle w:val="Compact"/>
              <w:jc w:val="left"/>
            </w:pPr>
            <w:r>
              <w:t xml:space="preserve">31 (93.9)</w:t>
            </w:r>
          </w:p>
        </w:tc>
        <w:tc>
          <w:p>
            <w:pPr>
              <w:pStyle w:val="Compact"/>
              <w:jc w:val="left"/>
            </w:pPr>
            <w:r>
              <w:t xml:space="preserve">10 (20.8)</w:t>
            </w:r>
          </w:p>
        </w:tc>
        <w:tc>
          <w:p>
            <w:pPr>
              <w:pStyle w:val="Compact"/>
              <w:jc w:val="left"/>
            </w:pPr>
            <w:r>
              <w:t xml:space="preserve">19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USAGELEV (mean (sd))</w:t>
            </w:r>
          </w:p>
        </w:tc>
        <w:tc>
          <w:p>
            <w:pPr>
              <w:pStyle w:val="Compact"/>
              <w:jc w:val="left"/>
            </w:pPr>
            <w:r>
              <w:t xml:space="preserve">46.33 (8.90)</w:t>
            </w:r>
          </w:p>
        </w:tc>
        <w:tc>
          <w:p>
            <w:pPr>
              <w:pStyle w:val="Compact"/>
              <w:jc w:val="left"/>
            </w:pPr>
            <w:r>
              <w:t xml:space="preserve">42.73 (7.70)</w:t>
            </w:r>
          </w:p>
        </w:tc>
        <w:tc>
          <w:p>
            <w:pPr>
              <w:pStyle w:val="Compact"/>
              <w:jc w:val="left"/>
            </w:pPr>
            <w:r>
              <w:t xml:space="preserve">54.21 (7.00)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SATISFLE (mean (sd))</w:t>
            </w:r>
          </w:p>
        </w:tc>
        <w:tc>
          <w:p>
            <w:pPr>
              <w:pStyle w:val="Compact"/>
              <w:jc w:val="left"/>
            </w:pPr>
            <w:r>
              <w:t xml:space="preserve">4.84 (0.74)</w:t>
            </w:r>
          </w:p>
        </w:tc>
        <w:tc>
          <w:p>
            <w:pPr>
              <w:pStyle w:val="Compact"/>
              <w:jc w:val="left"/>
            </w:pPr>
            <w:r>
              <w:t xml:space="preserve">4.38 (0.76)</w:t>
            </w:r>
          </w:p>
        </w:tc>
        <w:tc>
          <w:p>
            <w:pPr>
              <w:pStyle w:val="Compact"/>
              <w:jc w:val="left"/>
            </w:pPr>
            <w:r>
              <w:t xml:space="preserve">5.64 (0.57)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ESPCOMPR = Total Value Analysis (%)</w:t>
            </w:r>
          </w:p>
        </w:tc>
        <w:tc>
          <w:p>
            <w:pPr>
              <w:pStyle w:val="Compact"/>
              <w:jc w:val="left"/>
            </w:pPr>
            <w:r>
              <w:t xml:space="preserve">31 (93.9)</w:t>
            </w:r>
          </w:p>
        </w:tc>
        <w:tc>
          <w:p>
            <w:pPr>
              <w:pStyle w:val="Compact"/>
              <w:jc w:val="left"/>
            </w:pPr>
            <w:r>
              <w:t xml:space="preserve">10 (20.8)</w:t>
            </w:r>
          </w:p>
        </w:tc>
        <w:tc>
          <w:p>
            <w:pPr>
              <w:pStyle w:val="Compact"/>
              <w:jc w:val="left"/>
            </w:pPr>
            <w:r>
              <w:t xml:space="preserve">19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ESTRCOMP = Decentralized (%)</w:t>
            </w:r>
          </w:p>
        </w:tc>
        <w:tc>
          <w:p>
            <w:pPr>
              <w:pStyle w:val="Compact"/>
              <w:jc w:val="left"/>
            </w:pPr>
            <w:r>
              <w:t xml:space="preserve">31 (93.9)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19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INDUSTRI = Other Industries (%)</w:t>
            </w:r>
          </w:p>
        </w:tc>
        <w:tc>
          <w:p>
            <w:pPr>
              <w:pStyle w:val="Compact"/>
              <w:jc w:val="left"/>
            </w:pPr>
            <w:r>
              <w:t xml:space="preserve">23 (69.7)</w:t>
            </w:r>
          </w:p>
        </w:tc>
        <w:tc>
          <w:p>
            <w:pPr>
              <w:pStyle w:val="Compact"/>
              <w:jc w:val="left"/>
            </w:pPr>
            <w:r>
              <w:t xml:space="preserve">22 (45.8)</w:t>
            </w:r>
          </w:p>
        </w:tc>
        <w:tc>
          <w:p>
            <w:pPr>
              <w:pStyle w:val="Compact"/>
              <w:jc w:val="left"/>
            </w:pPr>
            <w:r>
              <w:t xml:space="preserve">5 ( 26.3)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SITCOMP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Modified Rebuy</w:t>
            </w:r>
          </w:p>
        </w:tc>
        <w:tc>
          <w:p>
            <w:pPr>
              <w:pStyle w:val="Compact"/>
              <w:jc w:val="left"/>
            </w:pPr>
            <w:r>
              <w:t xml:space="preserve">8 (24.2)</w:t>
            </w:r>
          </w:p>
        </w:tc>
        <w:tc>
          <w:p>
            <w:pPr>
              <w:pStyle w:val="Compact"/>
              <w:jc w:val="left"/>
            </w:pPr>
            <w:r>
              <w:t xml:space="preserve">22 (45.8)</w:t>
            </w:r>
          </w:p>
        </w:tc>
        <w:tc>
          <w:p>
            <w:pPr>
              <w:pStyle w:val="Compact"/>
              <w:jc w:val="left"/>
            </w:pPr>
            <w:r>
              <w:t xml:space="preserve">2 ( 10.5)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New Task</w:t>
            </w:r>
          </w:p>
        </w:tc>
        <w:tc>
          <w:p>
            <w:pPr>
              <w:pStyle w:val="Compact"/>
              <w:jc w:val="left"/>
            </w:pPr>
            <w:r>
              <w:t xml:space="preserve">8 (24.2)</w:t>
            </w:r>
          </w:p>
        </w:tc>
        <w:tc>
          <w:p>
            <w:pPr>
              <w:pStyle w:val="Compact"/>
              <w:jc w:val="left"/>
            </w:pPr>
            <w:r>
              <w:t xml:space="preserve">24 (50.0)</w:t>
            </w:r>
          </w:p>
        </w:tc>
        <w:tc>
          <w:p>
            <w:pPr>
              <w:pStyle w:val="Compact"/>
              <w:jc w:val="left"/>
            </w:pPr>
            <w:r>
              <w:t xml:space="preserve">2 ( 10.5)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Straight Rebuy</w:t>
            </w:r>
          </w:p>
        </w:tc>
        <w:tc>
          <w:p>
            <w:pPr>
              <w:pStyle w:val="Compact"/>
              <w:jc w:val="left"/>
            </w:pPr>
            <w:r>
              <w:t xml:space="preserve">17 (51.5)</w:t>
            </w:r>
          </w:p>
        </w:tc>
        <w:tc>
          <w:p>
            <w:pPr>
              <w:pStyle w:val="Compact"/>
              <w:jc w:val="left"/>
            </w:pPr>
            <w:r>
              <w:t xml:space="preserve">2 ( 4.2)</w:t>
            </w:r>
          </w:p>
        </w:tc>
        <w:tc>
          <w:p>
            <w:pPr>
              <w:pStyle w:val="Compact"/>
              <w:jc w:val="left"/>
            </w:pPr>
            <w:r>
              <w:t xml:space="preserve">15 ( 78.9)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29" w:name="interpretacion-de-los-segmentos-segun-percepciones-y-empresas"/>
      <w:bookmarkEnd w:id="29"/>
      <w:r>
        <w:t xml:space="preserve">Interpretación de los segmentos según percepciones y empresas</w:t>
      </w:r>
    </w:p>
    <w:p>
      <w:pPr>
        <w:pStyle w:val="Heading1"/>
      </w:pPr>
      <w:bookmarkStart w:id="30" w:name="estrategia"/>
      <w:bookmarkEnd w:id="30"/>
      <w:r>
        <w:t xml:space="preserve">Estrategia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eb17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segmentación</dc:title>
  <dc:creator>Jordi López Sintas</dc:creator>
  <dcterms:created xsi:type="dcterms:W3CDTF">2017-02-23T13:47:09Z</dcterms:created>
  <dcterms:modified xsi:type="dcterms:W3CDTF">2017-02-23T13:47:09Z</dcterms:modified>
</cp:coreProperties>
</file>