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jc w:val="center"/>
      </w:pPr>
      <w:r>
        <w:t>Consolidated IPCCC Paper Development Report</w:t>
      </w:r>
    </w:p>
    <w:p>
      <w:pPr>
        <w:pStyle w:val="Subtitle"/>
        <w:keepNext/>
        <w:jc w:val="center"/>
      </w:pPr>
      <w:r>
        <w:t>Load- and Hardware-Aware Reallocation Coalescing in Embedded Multi-Robot Task Allocation</w:t>
      </w:r>
    </w:p>
    <w:p>
      <w:pPr>
        <w:jc w:val="center"/>
      </w:pPr>
      <w:r>
        <w:rPr>
          <w:b/>
          <w:color w:val="1F4E79"/>
        </w:rPr>
        <w:t>Recommended paper title</w:t>
      </w:r>
    </w:p>
    <w:p>
      <w:pPr>
        <w:jc w:val="center"/>
      </w:pPr>
      <w:r>
        <w:rPr>
          <w:b/>
          <w:i/>
          <w:sz w:val="28"/>
        </w:rPr>
        <w:t>When Reallocation Coalescing Helps: Load- and Hardware-Dependent Tradeoffs in Embedded Multi-Robot Task Allocation</w:t>
      </w:r>
    </w:p>
    <w:tbl>
      <w:tblPr>
        <w:tblStyle w:val="TableGrid"/>
        <w:tblW w:w="0" w:type="auto"/>
        <w:jc w:val="center"/>
        <w:tblLook w:val="04A0" w:firstRow="1" w:lastRow="0" w:firstColumn="1" w:lastColumn="0" w:noHBand="0" w:noVBand="1"/>
      </w:tblPr>
      <w:tblGrid>
        <w:gridCol w:w="2376"/>
        <w:gridCol w:w="2664"/>
        <w:gridCol w:w="2448"/>
        <w:gridCol w:w="2376"/>
      </w:tblGrid>
      <w:tr w:rsidR="00307435" w14:paraId="3D26872C" w14:textId="77777777">
        <w:trPr>
          <w:tblHeader/>
          <w:jc w:val="center"/>
          <w:cantSplit/>
        </w:trPr>
        <w:tc>
          <w:tcPr>
            <w:tcW w:w="2376" w:type="dxa"/>
            <w:shd w:val="clear" w:color="auto" w:fill="183A5A"/>
            <w:tcMar>
              <w:top w:w="80" w:type="dxa"/>
              <w:left w:w="80" w:type="dxa"/>
              <w:bottom w:w="80" w:type="dxa"/>
              <w:right w:w="80" w:type="dxa"/>
            </w:tcMar>
            <w:vAlign w:val="center"/>
          </w:tcPr>
          <w:p w14:paraId="7D77DF21" w14:textId="77777777" w:rsidR="00307435" w:rsidRDefault="00000000">
            <w:pPr>
              <w:jc w:val="center"/>
            </w:pPr>
            <w:r>
              <w:rPr>
                <w:b/>
                <w:color w:val="FFFFFF"/>
                <w:sz w:val="19"/>
              </w:rPr>
              <w:t>3,000</w:t>
            </w:r>
          </w:p>
        </w:tc>
        <w:tc>
          <w:tcPr>
            <w:tcW w:w="2664" w:type="dxa"/>
            <w:shd w:val="clear" w:color="auto" w:fill="183A5A"/>
            <w:tcMar>
              <w:top w:w="80" w:type="dxa"/>
              <w:left w:w="80" w:type="dxa"/>
              <w:bottom w:w="80" w:type="dxa"/>
              <w:right w:w="80" w:type="dxa"/>
            </w:tcMar>
            <w:vAlign w:val="center"/>
          </w:tcPr>
          <w:p w14:paraId="7AB7EF31" w14:textId="77777777" w:rsidR="00307435" w:rsidRDefault="00000000">
            <w:pPr>
              <w:jc w:val="center"/>
            </w:pPr>
            <w:r>
              <w:rPr>
                <w:b/>
                <w:color w:val="FFFFFF"/>
                <w:sz w:val="19"/>
              </w:rPr>
              <w:t>3,000</w:t>
            </w:r>
          </w:p>
        </w:tc>
        <w:tc>
          <w:tcPr>
            <w:tcW w:w="2448" w:type="dxa"/>
            <w:shd w:val="clear" w:color="auto" w:fill="183A5A"/>
            <w:tcMar>
              <w:top w:w="80" w:type="dxa"/>
              <w:left w:w="80" w:type="dxa"/>
              <w:bottom w:w="80" w:type="dxa"/>
              <w:right w:w="80" w:type="dxa"/>
            </w:tcMar>
            <w:vAlign w:val="center"/>
          </w:tcPr>
          <w:p w14:paraId="7D6034E4" w14:textId="77777777" w:rsidR="00307435" w:rsidRDefault="00000000">
            <w:pPr>
              <w:jc w:val="center"/>
            </w:pPr>
            <w:r>
              <w:rPr>
                <w:b/>
                <w:color w:val="FFFFFF"/>
                <w:sz w:val="19"/>
              </w:rPr>
              <w:t>104 / 104</w:t>
            </w:r>
          </w:p>
        </w:tc>
        <w:tc>
          <w:tcPr>
            <w:tcW w:w="2376" w:type="dxa"/>
            <w:shd w:val="clear" w:color="auto" w:fill="183A5A"/>
            <w:tcMar>
              <w:top w:w="80" w:type="dxa"/>
              <w:left w:w="80" w:type="dxa"/>
              <w:bottom w:w="80" w:type="dxa"/>
              <w:right w:w="80" w:type="dxa"/>
            </w:tcMar>
            <w:vAlign w:val="center"/>
          </w:tcPr>
          <w:p w14:paraId="6EDA0609" w14:textId="77777777" w:rsidR="00307435" w:rsidRDefault="00000000">
            <w:pPr>
              <w:jc w:val="center"/>
            </w:pPr>
            <w:r>
              <w:rPr>
                <w:b/>
                <w:color w:val="FFFFFF"/>
                <w:sz w:val="19"/>
              </w:rPr>
              <w:t>26.75x</w:t>
            </w:r>
          </w:p>
        </w:tc>
      </w:tr>
      <w:tr w:rsidR="00307435" w14:paraId="77CA1EC4" w14:textId="77777777">
        <w:trPr>
          <w:jc w:val="center"/>
          <w:cantSplit/>
        </w:trPr>
        <w:tc>
          <w:tcPr>
            <w:tcW w:w="2376" w:type="dxa"/>
            <w:tcMar>
              <w:top w:w="80" w:type="dxa"/>
              <w:left w:w="80" w:type="dxa"/>
              <w:bottom w:w="80" w:type="dxa"/>
              <w:right w:w="80" w:type="dxa"/>
            </w:tcMar>
            <w:vAlign w:val="center"/>
          </w:tcPr>
          <w:p w14:paraId="0A1C7F3A" w14:textId="77777777" w:rsidR="00307435" w:rsidRDefault="00000000">
            <w:r>
              <w:rPr>
                <w:sz w:val="19"/>
              </w:rPr>
              <w:t>causal trials</w:t>
            </w:r>
          </w:p>
        </w:tc>
        <w:tc>
          <w:tcPr>
            <w:tcW w:w="2664" w:type="dxa"/>
            <w:tcMar>
              <w:top w:w="80" w:type="dxa"/>
              <w:left w:w="80" w:type="dxa"/>
              <w:bottom w:w="80" w:type="dxa"/>
              <w:right w:w="80" w:type="dxa"/>
            </w:tcMar>
            <w:vAlign w:val="center"/>
          </w:tcPr>
          <w:p w14:paraId="02497831" w14:textId="77777777" w:rsidR="00307435" w:rsidRDefault="00000000">
            <w:r>
              <w:rPr>
                <w:sz w:val="19"/>
              </w:rPr>
              <w:t>matched zero-compute trials</w:t>
            </w:r>
          </w:p>
        </w:tc>
        <w:tc>
          <w:tcPr>
            <w:tcW w:w="2448" w:type="dxa"/>
            <w:tcMar>
              <w:top w:w="80" w:type="dxa"/>
              <w:left w:w="80" w:type="dxa"/>
              <w:bottom w:w="80" w:type="dxa"/>
              <w:right w:w="80" w:type="dxa"/>
            </w:tcMar>
            <w:vAlign w:val="center"/>
          </w:tcPr>
          <w:p w14:paraId="5794920B" w14:textId="77777777" w:rsidR="00307435" w:rsidRDefault="00000000">
            <w:r>
              <w:rPr>
                <w:sz w:val="19"/>
              </w:rPr>
              <w:t>hardware parity passes</w:t>
            </w:r>
          </w:p>
        </w:tc>
        <w:tc>
          <w:tcPr>
            <w:tcW w:w="2376" w:type="dxa"/>
            <w:tcMar>
              <w:top w:w="80" w:type="dxa"/>
              <w:left w:w="80" w:type="dxa"/>
              <w:bottom w:w="80" w:type="dxa"/>
              <w:right w:w="80" w:type="dxa"/>
            </w:tcMar>
            <w:vAlign w:val="center"/>
          </w:tcPr>
          <w:p w14:paraId="79B38A35" w14:textId="77777777" w:rsidR="00307435" w:rsidRDefault="00000000">
            <w:r>
              <w:rPr>
                <w:sz w:val="19"/>
              </w:rPr>
              <w:t>median RP2040/AGX work ratio</w:t>
            </w:r>
          </w:p>
        </w:tc>
      </w:tr>
    </w:tbl>
    <w:p/>
    <w:tbl>
      <w:tblPr>
        <w:tblW w:w="0" w:type="auto"/>
        <w:jc w:val="center"/>
        <w:tblLook w:val="04A0" w:firstRow="1" w:lastRow="0" w:firstColumn="1" w:lastColumn="0" w:noHBand="0" w:noVBand="1"/>
      </w:tblPr>
      <w:tblGrid>
        <w:gridCol w:w="10282"/>
      </w:tblGrid>
      <w:tr w:rsidR="00307435" w14:paraId="39005762" w14:textId="77777777">
        <w:trPr>
          <w:jc w:val="center"/>
          <w:cantSplit/>
        </w:trPr>
        <w:tc>
          <w:tcPr>
            <w:tcW w:w="10282" w:type="dxa"/>
            <w:shd w:val="clear" w:color="auto" w:fill="E6F2F2"/>
            <w:tcMar>
              <w:top w:w="140" w:type="dxa"/>
              <w:left w:w="160" w:type="dxa"/>
              <w:bottom w:w="140" w:type="dxa"/>
              <w:right w:w="160" w:type="dxa"/>
            </w:tcMar>
          </w:tcPr>
          <w:p w14:paraId="6CB46A0B" w14:textId="77777777" w:rsidR="00307435" w:rsidRDefault="00000000">
            <w:r>
              <w:rPr>
                <w:b/>
                <w:color w:val="167D7F"/>
              </w:rPr>
              <w:t>Recommended central claim</w:t>
            </w:r>
          </w:p>
          <w:p w14:paraId="60550727" w14:textId="77777777" w:rsidR="00307435" w:rsidRDefault="00000000">
            <w:pPr>
              <w:spacing w:after="0"/>
            </w:pPr>
            <w:r>
              <w:t>Reallocation coalescing is a load- and compute-pressure-dependent control. Under sparse arrivals it adds task-service latency and may increase work; under dense arrivals it can reduce allocator work, and on constrained hardware those savings can exceed the intentional wait and accelerate online task service.</w:t>
            </w:r>
          </w:p>
        </w:tc>
      </w:tr>
    </w:tbl>
    <w:p>
      <w:pPr>
        <w:jc w:val="center"/>
      </w:pPr>
      <w:r>
        <w:rPr>
          <w:i/>
        </w:rPr>
        <w:t>This report consolidates the experiment architecture, metric definitions, statistical interpretation, related-work position, novelty boundary, final results, and paper-writing plan into one reference document.</w:t>
      </w:r>
    </w:p>
    <w:p>
      <w:r>
        <w:br w:type="page"/>
      </w:r>
    </w:p>
    <w:p>
      <w:pPr>
        <w:pStyle w:val="Heading2"/>
        <w:keepNext/>
      </w:pPr>
      <w:r>
        <w:t>How to use this report</w:t>
      </w:r>
    </w:p>
    <w:p>
      <w:pPr>
        <w:pStyle w:val="ListBullet"/>
      </w:pPr>
      <w:r>
        <w:t>Read Sections 1-4 first for the paper thesis, experimental design, metric definitions, and statistical rules.</w:t>
      </w:r>
    </w:p>
    <w:p>
      <w:pPr>
        <w:pStyle w:val="ListBullet"/>
      </w:pPr>
      <w:r>
        <w:t>Use Section 5 to understand the related-work landscape, novelty boundary, citation strategy, and likely reviewer objections.</w:t>
      </w:r>
    </w:p>
    <w:p>
      <w:pPr>
        <w:pStyle w:val="ListBullet"/>
      </w:pPr>
      <w:r>
        <w:t>Use Sections 6-9 to write Results and Discussion; these sections contain the paper-facing AGX, RP2040, decomposition, bounded-policy, tail, and completion results.</w:t>
      </w:r>
    </w:p>
    <w:p>
      <w:pPr>
        <w:pStyle w:val="ListBullet"/>
      </w:pPr>
      <w:r>
        <w:t>Use Section 10 for the final figure, table, Results sequence, and page-budget plan.</w:t>
      </w:r>
    </w:p>
    <w:p>
      <w:pPr>
        <w:pStyle w:val="ListBullet"/>
      </w:pPr>
      <w:r>
        <w:t>Use Sections 11-13 for claim controls, exact source mapping, references, and the final writing checklist.</w:t>
      </w:r>
    </w:p>
    <w:p>
      <w:pPr>
        <w:pStyle w:val="Heading2"/>
        <w:keepNext/>
      </w:pPr>
      <w:r>
        <w:t>Report map</w:t>
      </w:r>
    </w:p>
    <w:tbl>
      <w:tblPr>
        <w:tblStyle w:val="TableGrid"/>
        <w:tblW w:type="auto" w:w="0"/>
        <w:jc w:val="center"/>
        <w:tblLook w:firstColumn="1" w:firstRow="1" w:lastColumn="0" w:lastRow="0" w:noHBand="0" w:noVBand="1" w:val="04A0"/>
      </w:tblPr>
      <w:tblGrid>
        <w:gridCol w:w="5141"/>
        <w:gridCol w:w="5141"/>
      </w:tblGrid>
      <w:tr>
        <w:trPr>
          <w:cantSplit/>
        </w:trPr>
        <w:tc>
          <w:tcPr>
            <w:tcW w:type="dxa" w:w="2880"/>
            <w:shd w:fill="1F4E78"/>
            <w:vAlign w:val="center"/>
            <w:tcMar>
              <w:top w:w="80" w:type="dxa"/>
              <w:start w:w="90" w:type="dxa"/>
              <w:bottom w:w="80" w:type="dxa"/>
              <w:end w:w="90" w:type="dxa"/>
            </w:tcMar>
          </w:tcPr>
          <w:p>
            <w:pPr>
              <w:jc w:val="center"/>
            </w:pPr>
            <w:r>
              <w:rPr>
                <w:b/>
                <w:color w:val="FFFFFF"/>
                <w:sz w:val="18"/>
              </w:rPr>
              <w:t>Section</w:t>
            </w:r>
          </w:p>
        </w:tc>
        <w:tc>
          <w:tcPr>
            <w:tcW w:type="dxa" w:w="7488"/>
            <w:shd w:fill="1F4E78"/>
            <w:vAlign w:val="center"/>
            <w:tcMar>
              <w:top w:w="80" w:type="dxa"/>
              <w:start w:w="90" w:type="dxa"/>
              <w:bottom w:w="80" w:type="dxa"/>
              <w:end w:w="90" w:type="dxa"/>
            </w:tcMar>
          </w:tcPr>
          <w:p>
            <w:pPr>
              <w:jc w:val="center"/>
            </w:pPr>
            <w:r>
              <w:rPr>
                <w:b/>
                <w:color w:val="FFFFFF"/>
                <w:sz w:val="18"/>
              </w:rPr>
              <w:t>Purpose</w:t>
            </w:r>
          </w:p>
        </w:tc>
      </w:tr>
      <w:tr>
        <w:trPr>
          <w:cantSplit/>
        </w:trPr>
        <w:tc>
          <w:tcPr>
            <w:tcW w:type="dxa" w:w="2880"/>
            <w:tcMar>
              <w:top w:w="80" w:type="dxa"/>
              <w:start w:w="90" w:type="dxa"/>
              <w:bottom w:w="80" w:type="dxa"/>
              <w:end w:w="90" w:type="dxa"/>
            </w:tcMar>
          </w:tcPr>
          <w:p>
            <w:r>
              <w:rPr>
                <w:sz w:val="17"/>
              </w:rPr>
              <w:t>1</w:t>
            </w:r>
          </w:p>
        </w:tc>
        <w:tc>
          <w:tcPr>
            <w:tcW w:type="dxa" w:w="7488"/>
            <w:tcMar>
              <w:top w:w="80" w:type="dxa"/>
              <w:start w:w="90" w:type="dxa"/>
              <w:bottom w:w="80" w:type="dxa"/>
              <w:end w:w="90" w:type="dxa"/>
            </w:tcMar>
          </w:tcPr>
          <w:p>
            <w:r>
              <w:rPr>
                <w:sz w:val="17"/>
              </w:rPr>
              <w:t>Executive direction, headline contribution, and generalizable operating principle.</w:t>
            </w:r>
          </w:p>
        </w:tc>
      </w:tr>
      <w:tr>
        <w:trPr>
          <w:cantSplit/>
        </w:trPr>
        <w:tc>
          <w:tcPr>
            <w:tcW w:type="dxa" w:w="2880"/>
            <w:tcMar>
              <w:top w:w="80" w:type="dxa"/>
              <w:start w:w="90" w:type="dxa"/>
              <w:bottom w:w="80" w:type="dxa"/>
              <w:end w:w="90" w:type="dxa"/>
            </w:tcMar>
          </w:tcPr>
          <w:p>
            <w:r>
              <w:rPr>
                <w:sz w:val="17"/>
              </w:rPr>
              <w:t>2</w:t>
            </w:r>
          </w:p>
        </w:tc>
        <w:tc>
          <w:tcPr>
            <w:tcW w:type="dxa" w:w="7488"/>
            <w:tcMar>
              <w:top w:w="80" w:type="dxa"/>
              <w:start w:w="90" w:type="dxa"/>
              <w:bottom w:w="80" w:type="dxa"/>
              <w:end w:w="90" w:type="dxa"/>
            </w:tcMar>
          </w:tcPr>
          <w:p>
            <w:r>
              <w:rPr>
                <w:sz w:val="17"/>
              </w:rPr>
              <w:t>Mission, coalescing policies, causal timing, hardware providers, and pairing.</w:t>
            </w:r>
          </w:p>
        </w:tc>
      </w:tr>
      <w:tr>
        <w:trPr>
          <w:cantSplit/>
        </w:trPr>
        <w:tc>
          <w:tcPr>
            <w:tcW w:type="dxa" w:w="2880"/>
            <w:tcMar>
              <w:top w:w="80" w:type="dxa"/>
              <w:start w:w="90" w:type="dxa"/>
              <w:bottom w:w="80" w:type="dxa"/>
              <w:end w:w="90" w:type="dxa"/>
            </w:tcMar>
          </w:tcPr>
          <w:p>
            <w:r>
              <w:rPr>
                <w:sz w:val="17"/>
              </w:rPr>
              <w:t>3</w:t>
            </w:r>
          </w:p>
        </w:tc>
        <w:tc>
          <w:tcPr>
            <w:tcW w:type="dxa" w:w="7488"/>
            <w:tcMar>
              <w:top w:w="80" w:type="dxa"/>
              <w:start w:w="90" w:type="dxa"/>
              <w:bottom w:w="80" w:type="dxa"/>
              <w:end w:w="90" w:type="dxa"/>
            </w:tcMar>
          </w:tcPr>
          <w:p>
            <w:r>
              <w:rPr>
                <w:sz w:val="17"/>
              </w:rPr>
              <w:t>Primary online-service, tail, computation, mechanism, and global metrics.</w:t>
            </w:r>
          </w:p>
        </w:tc>
      </w:tr>
      <w:tr>
        <w:trPr>
          <w:cantSplit/>
        </w:trPr>
        <w:tc>
          <w:tcPr>
            <w:tcW w:type="dxa" w:w="2880"/>
            <w:tcMar>
              <w:top w:w="80" w:type="dxa"/>
              <w:start w:w="90" w:type="dxa"/>
              <w:bottom w:w="80" w:type="dxa"/>
              <w:end w:w="90" w:type="dxa"/>
            </w:tcMar>
          </w:tcPr>
          <w:p>
            <w:r>
              <w:rPr>
                <w:sz w:val="17"/>
              </w:rPr>
              <w:t>4</w:t>
            </w:r>
          </w:p>
        </w:tc>
        <w:tc>
          <w:tcPr>
            <w:tcW w:type="dxa" w:w="7488"/>
            <w:tcMar>
              <w:top w:w="80" w:type="dxa"/>
              <w:start w:w="90" w:type="dxa"/>
              <w:bottom w:w="80" w:type="dxa"/>
              <w:end w:w="90" w:type="dxa"/>
            </w:tcMar>
          </w:tcPr>
          <w:p>
            <w:r>
              <w:rPr>
                <w:sz w:val="17"/>
              </w:rPr>
              <w:t>Replication unit, planned tests, provider matching, completion handling, and validation.</w:t>
            </w:r>
          </w:p>
        </w:tc>
      </w:tr>
      <w:tr>
        <w:trPr>
          <w:cantSplit/>
        </w:trPr>
        <w:tc>
          <w:tcPr>
            <w:tcW w:type="dxa" w:w="2880"/>
            <w:tcMar>
              <w:top w:w="80" w:type="dxa"/>
              <w:start w:w="90" w:type="dxa"/>
              <w:bottom w:w="80" w:type="dxa"/>
              <w:end w:w="90" w:type="dxa"/>
            </w:tcMar>
          </w:tcPr>
          <w:p>
            <w:r>
              <w:rPr>
                <w:sz w:val="17"/>
              </w:rPr>
              <w:t>5</w:t>
            </w:r>
          </w:p>
        </w:tc>
        <w:tc>
          <w:tcPr>
            <w:tcW w:type="dxa" w:w="7488"/>
            <w:tcMar>
              <w:top w:w="80" w:type="dxa"/>
              <w:start w:w="90" w:type="dxa"/>
              <w:bottom w:w="80" w:type="dxa"/>
              <w:end w:w="90" w:type="dxa"/>
            </w:tcMar>
          </w:tcPr>
          <w:p>
            <w:r>
              <w:rPr>
                <w:sz w:val="17"/>
              </w:rPr>
              <w:t>Related work, direct novelty comparison, contribution boundary, citation plan, and reviewer responses.</w:t>
            </w:r>
          </w:p>
        </w:tc>
      </w:tr>
      <w:tr>
        <w:trPr>
          <w:cantSplit/>
        </w:trPr>
        <w:tc>
          <w:tcPr>
            <w:tcW w:type="dxa" w:w="2880"/>
            <w:tcMar>
              <w:top w:w="80" w:type="dxa"/>
              <w:start w:w="90" w:type="dxa"/>
              <w:bottom w:w="80" w:type="dxa"/>
              <w:end w:w="90" w:type="dxa"/>
            </w:tcMar>
          </w:tcPr>
          <w:p>
            <w:r>
              <w:rPr>
                <w:sz w:val="17"/>
              </w:rPr>
              <w:t>6</w:t>
            </w:r>
          </w:p>
        </w:tc>
        <w:tc>
          <w:tcPr>
            <w:tcW w:type="dxa" w:w="7488"/>
            <w:tcMar>
              <w:top w:w="80" w:type="dxa"/>
              <w:start w:w="90" w:type="dxa"/>
              <w:bottom w:w="80" w:type="dxa"/>
              <w:end w:w="90" w:type="dxa"/>
            </w:tcMar>
          </w:tcPr>
          <w:p>
            <w:r>
              <w:rPr>
                <w:sz w:val="17"/>
              </w:rPr>
              <w:t>AGX load-dependent compute-service tradeoff.</w:t>
            </w:r>
          </w:p>
        </w:tc>
      </w:tr>
      <w:tr>
        <w:trPr>
          <w:cantSplit/>
        </w:trPr>
        <w:tc>
          <w:tcPr>
            <w:tcW w:type="dxa" w:w="2880"/>
            <w:tcMar>
              <w:top w:w="80" w:type="dxa"/>
              <w:start w:w="90" w:type="dxa"/>
              <w:bottom w:w="80" w:type="dxa"/>
              <w:end w:w="90" w:type="dxa"/>
            </w:tcMar>
          </w:tcPr>
          <w:p>
            <w:r>
              <w:rPr>
                <w:sz w:val="17"/>
              </w:rPr>
              <w:t>7</w:t>
            </w:r>
          </w:p>
        </w:tc>
        <w:tc>
          <w:tcPr>
            <w:tcW w:type="dxa" w:w="7488"/>
            <w:tcMar>
              <w:top w:w="80" w:type="dxa"/>
              <w:start w:w="90" w:type="dxa"/>
              <w:bottom w:w="80" w:type="dxa"/>
              <w:end w:w="90" w:type="dxa"/>
            </w:tcMar>
          </w:tcPr>
          <w:p>
            <w:r>
              <w:rPr>
                <w:sz w:val="17"/>
              </w:rPr>
              <w:t>RP2040 load crossover and allocator-specific hardware outcomes.</w:t>
            </w:r>
          </w:p>
        </w:tc>
      </w:tr>
      <w:tr>
        <w:trPr>
          <w:cantSplit/>
        </w:trPr>
        <w:tc>
          <w:tcPr>
            <w:tcW w:type="dxa" w:w="2880"/>
            <w:tcMar>
              <w:top w:w="80" w:type="dxa"/>
              <w:start w:w="90" w:type="dxa"/>
              <w:bottom w:w="80" w:type="dxa"/>
              <w:end w:w="90" w:type="dxa"/>
            </w:tcMar>
          </w:tcPr>
          <w:p>
            <w:r>
              <w:rPr>
                <w:sz w:val="17"/>
              </w:rPr>
              <w:t>8</w:t>
            </w:r>
          </w:p>
        </w:tc>
        <w:tc>
          <w:tcPr>
            <w:tcW w:type="dxa" w:w="7488"/>
            <w:tcMar>
              <w:top w:w="80" w:type="dxa"/>
              <w:start w:w="90" w:type="dxa"/>
              <w:bottom w:w="80" w:type="dxa"/>
              <w:end w:w="90" w:type="dxa"/>
            </w:tcMar>
          </w:tcPr>
          <w:p>
            <w:r>
              <w:rPr>
                <w:sz w:val="17"/>
              </w:rPr>
              <w:t>Latency decomposition and architecture-specific mechanism interpretation.</w:t>
            </w:r>
          </w:p>
        </w:tc>
      </w:tr>
      <w:tr>
        <w:trPr>
          <w:cantSplit/>
        </w:trPr>
        <w:tc>
          <w:tcPr>
            <w:tcW w:type="dxa" w:w="2880"/>
            <w:tcMar>
              <w:top w:w="80" w:type="dxa"/>
              <w:start w:w="90" w:type="dxa"/>
              <w:bottom w:w="80" w:type="dxa"/>
              <w:end w:w="90" w:type="dxa"/>
            </w:tcMar>
          </w:tcPr>
          <w:p>
            <w:r>
              <w:rPr>
                <w:sz w:val="17"/>
              </w:rPr>
              <w:t>9</w:t>
            </w:r>
          </w:p>
        </w:tc>
        <w:tc>
          <w:tcPr>
            <w:tcW w:type="dxa" w:w="7488"/>
            <w:tcMar>
              <w:top w:w="80" w:type="dxa"/>
              <w:start w:w="90" w:type="dxa"/>
              <w:bottom w:w="80" w:type="dxa"/>
              <w:end w:w="90" w:type="dxa"/>
            </w:tcMar>
          </w:tcPr>
          <w:p>
            <w:r>
              <w:rPr>
                <w:sz w:val="17"/>
              </w:rPr>
              <w:t>Bounded waiting, tail behavior, initial-task sensitivity, and CBAA completion context.</w:t>
            </w:r>
          </w:p>
        </w:tc>
      </w:tr>
      <w:tr>
        <w:trPr>
          <w:cantSplit/>
        </w:trPr>
        <w:tc>
          <w:tcPr>
            <w:tcW w:type="dxa" w:w="2880"/>
            <w:tcMar>
              <w:top w:w="80" w:type="dxa"/>
              <w:start w:w="90" w:type="dxa"/>
              <w:bottom w:w="80" w:type="dxa"/>
              <w:end w:w="90" w:type="dxa"/>
            </w:tcMar>
          </w:tcPr>
          <w:p>
            <w:r>
              <w:rPr>
                <w:sz w:val="17"/>
              </w:rPr>
              <w:t>10</w:t>
            </w:r>
          </w:p>
        </w:tc>
        <w:tc>
          <w:tcPr>
            <w:tcW w:type="dxa" w:w="7488"/>
            <w:tcMar>
              <w:top w:w="80" w:type="dxa"/>
              <w:start w:w="90" w:type="dxa"/>
              <w:bottom w:w="80" w:type="dxa"/>
              <w:end w:w="90" w:type="dxa"/>
            </w:tcMar>
          </w:tcPr>
          <w:p>
            <w:r>
              <w:rPr>
                <w:sz w:val="17"/>
              </w:rPr>
              <w:t>Recommended 5-6 page IPCCC figures, table, section sequence, and page budget.</w:t>
            </w:r>
          </w:p>
        </w:tc>
      </w:tr>
      <w:tr>
        <w:trPr>
          <w:cantSplit/>
        </w:trPr>
        <w:tc>
          <w:tcPr>
            <w:tcW w:type="dxa" w:w="2880"/>
            <w:tcMar>
              <w:top w:w="80" w:type="dxa"/>
              <w:start w:w="90" w:type="dxa"/>
              <w:bottom w:w="80" w:type="dxa"/>
              <w:end w:w="90" w:type="dxa"/>
            </w:tcMar>
          </w:tcPr>
          <w:p>
            <w:r>
              <w:rPr>
                <w:sz w:val="17"/>
              </w:rPr>
              <w:t>11</w:t>
            </w:r>
          </w:p>
        </w:tc>
        <w:tc>
          <w:tcPr>
            <w:tcW w:type="dxa" w:w="7488"/>
            <w:tcMar>
              <w:top w:w="80" w:type="dxa"/>
              <w:start w:w="90" w:type="dxa"/>
              <w:bottom w:w="80" w:type="dxa"/>
              <w:end w:w="90" w:type="dxa"/>
            </w:tcMar>
          </w:tcPr>
          <w:p>
            <w:r>
              <w:rPr>
                <w:sz w:val="17"/>
              </w:rPr>
              <w:t>Paper-safe claims, required qualifications, and wording that must be avoided.</w:t>
            </w:r>
          </w:p>
        </w:tc>
      </w:tr>
      <w:tr>
        <w:trPr>
          <w:cantSplit/>
        </w:trPr>
        <w:tc>
          <w:tcPr>
            <w:tcW w:type="dxa" w:w="2880"/>
            <w:tcMar>
              <w:top w:w="80" w:type="dxa"/>
              <w:start w:w="90" w:type="dxa"/>
              <w:bottom w:w="80" w:type="dxa"/>
              <w:end w:w="90" w:type="dxa"/>
            </w:tcMar>
          </w:tcPr>
          <w:p>
            <w:r>
              <w:rPr>
                <w:sz w:val="17"/>
              </w:rPr>
              <w:t>12</w:t>
            </w:r>
          </w:p>
        </w:tc>
        <w:tc>
          <w:tcPr>
            <w:tcW w:type="dxa" w:w="7488"/>
            <w:tcMar>
              <w:top w:w="80" w:type="dxa"/>
              <w:start w:w="90" w:type="dxa"/>
              <w:bottom w:w="80" w:type="dxa"/>
              <w:end w:w="90" w:type="dxa"/>
            </w:tcMar>
          </w:tcPr>
          <w:p>
            <w:r>
              <w:rPr>
                <w:sz w:val="17"/>
              </w:rPr>
              <w:t>Exact source and derivation map for every major result.</w:t>
            </w:r>
          </w:p>
        </w:tc>
      </w:tr>
      <w:tr>
        <w:trPr>
          <w:cantSplit/>
        </w:trPr>
        <w:tc>
          <w:tcPr>
            <w:tcW w:type="dxa" w:w="2880"/>
            <w:tcMar>
              <w:top w:w="80" w:type="dxa"/>
              <w:start w:w="90" w:type="dxa"/>
              <w:bottom w:w="80" w:type="dxa"/>
              <w:end w:w="90" w:type="dxa"/>
            </w:tcMar>
          </w:tcPr>
          <w:p>
            <w:r>
              <w:rPr>
                <w:sz w:val="17"/>
              </w:rPr>
              <w:t>13</w:t>
            </w:r>
          </w:p>
        </w:tc>
        <w:tc>
          <w:tcPr>
            <w:tcW w:type="dxa" w:w="7488"/>
            <w:tcMar>
              <w:top w:w="80" w:type="dxa"/>
              <w:start w:w="90" w:type="dxa"/>
              <w:bottom w:w="80" w:type="dxa"/>
              <w:end w:w="90" w:type="dxa"/>
            </w:tcMar>
          </w:tcPr>
          <w:p>
            <w:r>
              <w:rPr>
                <w:sz w:val="17"/>
              </w:rPr>
              <w:t>Final handoff checklist and one-sentence paper conclusion.</w:t>
            </w:r>
          </w:p>
        </w:tc>
      </w:tr>
      <w:tr>
        <w:trPr>
          <w:cantSplit/>
        </w:trPr>
        <w:tc>
          <w:tcPr>
            <w:tcW w:type="dxa" w:w="2880"/>
            <w:tcMar>
              <w:top w:w="80" w:type="dxa"/>
              <w:start w:w="90" w:type="dxa"/>
              <w:bottom w:w="80" w:type="dxa"/>
              <w:end w:w="90" w:type="dxa"/>
            </w:tcMar>
          </w:tcPr>
          <w:p>
            <w:r>
              <w:rPr>
                <w:sz w:val="17"/>
              </w:rPr>
              <w:t>Appendix A</w:t>
            </w:r>
          </w:p>
        </w:tc>
        <w:tc>
          <w:tcPr>
            <w:tcW w:type="dxa" w:w="7488"/>
            <w:tcMar>
              <w:top w:w="80" w:type="dxa"/>
              <w:start w:w="90" w:type="dxa"/>
              <w:bottom w:w="80" w:type="dxa"/>
              <w:end w:w="90" w:type="dxa"/>
            </w:tcMar>
          </w:tcPr>
          <w:p>
            <w:r>
              <w:rPr>
                <w:sz w:val="17"/>
              </w:rPr>
              <w:t>Related-work references and source-quality notes.</w:t>
            </w:r>
          </w:p>
        </w:tc>
      </w:tr>
    </w:tbl>
    <w:p>
      <w:pPr>
        <w:pStyle w:val="Heading2"/>
        <w:keepNext/>
      </w:pPr>
      <w:r>
        <w:t>Polished abstract</w:t>
      </w:r>
    </w:p>
    <w:p w14:paraId="52F6C1A3" w14:textId="77777777" w:rsidR="00B37685" w:rsidRPr="00B37685" w:rsidRDefault="00B37685" w:rsidP="00B37685">
      <w:pPr>
        <w:rPr>
          <w:b/>
          <w:bCs/>
        </w:rPr>
      </w:pPr>
      <w:r w:rsidRPr="00B37685">
        <w:rPr>
          <w:b/>
          <w:bCs/>
        </w:rPr>
        <w:t>Revised IPCCC Abstract</w:t>
      </w:r>
    </w:p>
    <w:p w14:paraId="5F6F7E94" w14:textId="4387743C" w:rsidR="00B37685" w:rsidRPr="00B37685" w:rsidRDefault="00B37685" w:rsidP="00B37685">
      <w:r>
        <w:t>Task allocators in d</w:t>
      </w:r>
      <w:r w:rsidRPr="00B37685">
        <w:t xml:space="preserve">ynamic multi-robot missions must decide whether to reallocate immediately when a new task appears or </w:t>
      </w:r>
      <w:r>
        <w:t>wait to batch</w:t>
      </w:r>
      <w:r w:rsidRPr="00B37685">
        <w:t xml:space="preserve"> several arrivals together. </w:t>
      </w:r>
      <w:r>
        <w:t>Reallocation</w:t>
      </w:r>
      <w:r w:rsidRPr="00B37685">
        <w:t xml:space="preserve"> coalescing </w:t>
      </w:r>
      <w:r w:rsidR="007C3300">
        <w:t>has been proposed to</w:t>
      </w:r>
      <w:r>
        <w:t xml:space="preserve"> minimize allocator runtime on constrained embedded devices a</w:t>
      </w:r>
      <w:r w:rsidR="007C3300">
        <w:t>t</w:t>
      </w:r>
      <w:r>
        <w:t xml:space="preserve"> the expense of </w:t>
      </w:r>
      <w:r w:rsidR="007C3300">
        <w:t>increased</w:t>
      </w:r>
      <w:r w:rsidRPr="00B37685">
        <w:t xml:space="preserve"> </w:t>
      </w:r>
      <w:r>
        <w:t xml:space="preserve">task-service delay. </w:t>
      </w:r>
      <w:r w:rsidRPr="00B37685">
        <w:t xml:space="preserve">We evaluate this </w:t>
      </w:r>
      <w:r>
        <w:t xml:space="preserve">compute-performance </w:t>
      </w:r>
      <w:r w:rsidRPr="00B37685">
        <w:t>tradeoff in a four-robo</w:t>
      </w:r>
      <w:r w:rsidR="007C3300">
        <w:t xml:space="preserve">t </w:t>
      </w:r>
      <w:r w:rsidR="007C3300" w:rsidRPr="007C3300">
        <w:t>search-and-service mission with eight initially available tasks and 42 additional tasks released at sparse, moderate, and dense frequencies</w:t>
      </w:r>
      <w:r w:rsidRPr="00B37685">
        <w:t xml:space="preserve">. </w:t>
      </w:r>
      <w:r w:rsidR="007C3300">
        <w:t>The i</w:t>
      </w:r>
      <w:r w:rsidRPr="00B37685">
        <w:t>mmediate reallocation</w:t>
      </w:r>
      <w:r w:rsidR="007C3300">
        <w:t xml:space="preserve"> baseline</w:t>
      </w:r>
      <w:r w:rsidRPr="00B37685">
        <w:t xml:space="preserve"> is compared with policies that wait for 2, 4, or 8 pending tasks and a four-task policy with a five-second maximum wait across four decentralized multi-robot task-allocation methods (ACBBA, CBAA, HIPC, and PI). The study includes 3,000 simulations in which measured allocator execution delays </w:t>
      </w:r>
      <w:r w:rsidR="007C3300">
        <w:t>take simulator time</w:t>
      </w:r>
      <w:r w:rsidRPr="00B37685">
        <w:t xml:space="preserve"> and 3,000</w:t>
      </w:r>
      <w:r w:rsidR="007C3300">
        <w:t xml:space="preserve"> paired</w:t>
      </w:r>
      <w:r w:rsidRPr="00B37685">
        <w:t xml:space="preserve"> execution delay</w:t>
      </w:r>
      <w:r w:rsidR="007C3300">
        <w:t xml:space="preserve"> free simulations</w:t>
      </w:r>
      <w:r w:rsidRPr="00B37685">
        <w:t xml:space="preserve">. </w:t>
      </w:r>
      <w:r w:rsidR="007C3300">
        <w:t xml:space="preserve">Additionally, a limited hardware-in-the-loop simulation suite was performed on embedded RP2040 processors. </w:t>
      </w:r>
      <w:r w:rsidRPr="00B37685">
        <w:t>Execution time was measured on an NVIDIA Jetson AGX Orin</w:t>
      </w:r>
      <w:r w:rsidR="007C3300">
        <w:t xml:space="preserve"> and the embedded RP2040.</w:t>
      </w:r>
      <w:r w:rsidRPr="00B37685">
        <w:t xml:space="preserve"> Under sparse arrivals, four-task coalescing increased the median time from an online task’s release to its completion by 3.04–3.61 s on the AGX. Under dense arrivals, it saved 13.2–41.3% of AGX allocator processor work without a statistically detectable change in median task-service time. In the RP2040 experiments, all four dense-arrival paired scenarios favored coalescing</w:t>
      </w:r>
      <w:r w:rsidR="007C3300">
        <w:t>. After</w:t>
      </w:r>
      <w:r w:rsidRPr="00B37685">
        <w:t xml:space="preserve"> averaging the four allocators within each scenario, it saved 24.3–29.6 s in median task-service time, with the largest gain produced by the most computationally intensive allocator. </w:t>
      </w:r>
      <w:r w:rsidR="007C3300" w:rsidRPr="007C3300">
        <w:t>A five-second wait bound reduced the sparse-arrival penalty by 1.17–1.58 s.</w:t>
      </w:r>
      <w:r w:rsidR="007C3300" w:rsidRPr="007C3300">
        <w:t xml:space="preserve"> </w:t>
      </w:r>
      <w:r w:rsidRPr="00B37685">
        <w:t xml:space="preserve">These results show that reallocation coalescing </w:t>
      </w:r>
      <w:r w:rsidR="00650EA0">
        <w:t>can be a useful mechanism for embedded devices when</w:t>
      </w:r>
      <w:r w:rsidRPr="00B37685">
        <w:t xml:space="preserve"> selected according to task-release frequency and available processing capacity</w:t>
      </w:r>
      <w:r w:rsidR="00650EA0">
        <w:t>.</w:t>
      </w:r>
    </w:p>
    <w:p w14:paraId="045FB743" w14:textId="77777777" w:rsidR="00307435" w:rsidRDefault="00000000">
      <w:pPr>
        <w:pStyle w:val="Heading1"/>
        <w:keepNext/>
        <w:spacing w:before="240" w:after="100"/>
      </w:pPr>
      <w:r>
        <w:t>1. Executive direction for the IPCCC paper</w:t>
      </w:r>
    </w:p>
    <w:p w14:paraId="67064A32" w14:textId="77777777" w:rsidR="00307435" w:rsidRDefault="00000000">
      <w:r>
        <w:t>The paper should be a compact systems study of when batching new task releases helps or hurts a decentralized multi-robot team. It should not be written as an algorithm-ranking paper, a generic batching paper, or a proof that coalescing always reduces reallocation overhead.</w:t>
      </w:r>
    </w:p>
    <w:p w14:paraId="77595D97" w14:textId="77777777" w:rsidR="00307435" w:rsidRDefault="00000000">
      <w:pPr>
        <w:pStyle w:val="Heading2"/>
        <w:keepNext/>
      </w:pPr>
      <w:r>
        <w:lastRenderedPageBreak/>
        <w:t>1.1 The headline contribution</w:t>
      </w:r>
    </w:p>
    <w:p w14:paraId="3A686C9B" w14:textId="77777777" w:rsidR="00307435" w:rsidRDefault="00000000">
      <w:pPr>
        <w:pStyle w:val="ListBullet"/>
      </w:pPr>
      <w:r>
        <w:t>A load-dependent task-service regime: Count B=4 produces a clear online service-latency penalty under sparse arrivals, a smaller penalty at medium load, and no detected median penalty on AGX at high load while saving allocator work.</w:t>
      </w:r>
    </w:p>
    <w:p w14:paraId="531B4ECC" w14:textId="77777777" w:rsidR="00307435" w:rsidRDefault="00000000">
      <w:pPr>
        <w:pStyle w:val="ListBullet"/>
      </w:pPr>
      <w:r>
        <w:t>A hardware-dependent crossover: in the four matched RP2040 traces, B=4 is slower at low and medium load but faster at high load after averaging the four allocators within each trace.</w:t>
      </w:r>
    </w:p>
    <w:p w14:paraId="59AAD5CE" w14:textId="77777777" w:rsidR="00307435" w:rsidRDefault="00000000">
      <w:pPr>
        <w:pStyle w:val="ListBullet"/>
      </w:pPr>
      <w:r>
        <w:t>An allocator-dependent magnitude: the high-load hardware gain is dominated by HIPC, is meaningful for PI, and is much smaller or more qualified for ACBBA and CBAA.</w:t>
      </w:r>
    </w:p>
    <w:p w14:paraId="09D916AE" w14:textId="77777777" w:rsidR="00307435" w:rsidRDefault="00000000">
      <w:pPr>
        <w:pStyle w:val="ListBullet"/>
      </w:pPr>
      <w:r>
        <w:t>A bounded-wait mitigation: B=4 with W=5 s materially reduces the sparse-arrival penalty but does not return service latency to Eager levels.</w:t>
      </w:r>
    </w:p>
    <w:p w14:paraId="6847D8B1" w14:textId="77777777" w:rsidR="00307435" w:rsidRDefault="00000000">
      <w:pPr>
        <w:pStyle w:val="Heading2"/>
        <w:keepNext/>
      </w:pPr>
      <w:r>
        <w:t>1.2 The generalizable engineering principle</w:t>
      </w:r>
    </w:p>
    <w:tbl>
      <w:tblPr>
        <w:tblW w:w="0" w:type="auto"/>
        <w:jc w:val="center"/>
        <w:tblLook w:val="04A0" w:firstRow="1" w:lastRow="0" w:firstColumn="1" w:lastColumn="0" w:noHBand="0" w:noVBand="1"/>
      </w:tblPr>
      <w:tblGrid>
        <w:gridCol w:w="10282"/>
      </w:tblGrid>
      <w:tr w:rsidR="00307435" w14:paraId="3EE5392D" w14:textId="77777777">
        <w:trPr>
          <w:jc w:val="center"/>
          <w:cantSplit/>
        </w:trPr>
        <w:tc>
          <w:tcPr>
            <w:tcW w:w="10282" w:type="dxa"/>
            <w:shd w:val="clear" w:color="auto" w:fill="E6F2F2"/>
            <w:tcMar>
              <w:top w:w="140" w:type="dxa"/>
              <w:left w:w="160" w:type="dxa"/>
              <w:bottom w:w="140" w:type="dxa"/>
              <w:right w:w="160" w:type="dxa"/>
            </w:tcMar>
          </w:tcPr>
          <w:p w14:paraId="2750E315" w14:textId="77777777" w:rsidR="00307435" w:rsidRDefault="00000000">
            <w:r>
              <w:rPr>
                <w:b/>
                <w:color w:val="167D7F"/>
              </w:rPr>
              <w:t>Generalizable result</w:t>
            </w:r>
          </w:p>
          <w:p w14:paraId="65245BDE" w14:textId="77777777" w:rsidR="00307435" w:rsidRDefault="00000000">
            <w:pPr>
              <w:spacing w:after="0"/>
            </w:pPr>
            <w:r>
              <w:t>The usefulness of reallocation coalescing is governed by the ratio between arrival-driven reallocation pressure and available allocator compute capacity. A useful implementation should therefore trigger or strengthen coalescing when task arrivals overlap and measured compute pressure rises, and relax it when arrivals are sparse.</w:t>
            </w:r>
          </w:p>
        </w:tc>
      </w:tr>
    </w:tbl>
    <w:p w14:paraId="7ACF51E7" w14:textId="77777777" w:rsidR="00307435" w:rsidRDefault="00307435">
      <w:pPr>
        <w:spacing w:after="0"/>
      </w:pPr>
    </w:p>
    <w:p w14:paraId="7E8613F5" w14:textId="77777777" w:rsidR="00307435" w:rsidRDefault="00000000">
      <w:r>
        <w:t>This principle is broader than the exact 19x19 grid, four-robot team, B=4 threshold, W=5 s timeout, or RP2040 board. Those values establish one empirical operating point; the broader result is a three-way interaction among arrival density, allocator complexity, and device speed.</w:t>
      </w:r>
    </w:p>
    <w:p w14:paraId="78B8A6BF" w14:textId="77777777" w:rsidR="00307435" w:rsidRDefault="00000000">
      <w:pPr>
        <w:pStyle w:val="Heading2"/>
        <w:keepNext/>
      </w:pPr>
      <w:r>
        <w:t>1.3 What is supporting evidence, not the headline</w:t>
      </w:r>
    </w:p>
    <w:p w14:paraId="5EE1DA42" w14:textId="77777777" w:rsidR="00307435" w:rsidRDefault="00000000">
      <w:pPr>
        <w:pStyle w:val="ListBullet"/>
      </w:pPr>
      <w:r>
        <w:t>Fewer logical allocation epochs can coexist with more allocator calls. This is real in the testbed, but its exact low-load cause depends on the simulator's global admission reset, mandatory piggyback, and post-epoch call semantics. Present it as architectural mechanism support, not a universal systems law.</w:t>
      </w:r>
    </w:p>
    <w:p w14:paraId="197EECF9" w14:textId="77777777" w:rsidR="00307435" w:rsidRDefault="00000000">
      <w:pPr>
        <w:pStyle w:val="ListBullet"/>
      </w:pPr>
      <w:r>
        <w:t>Causal timing changes CBAA completion behavior. This is useful evidence that timing can alter liveness and trajectories, but it is conditional on a finite stagnation horizon and should remain a short limitation/secondary observation.</w:t>
      </w:r>
    </w:p>
    <w:p w14:paraId="3555BB83" w14:textId="77777777" w:rsidR="00307435" w:rsidRDefault="00000000">
      <w:pPr>
        <w:pStyle w:val="ListBullet"/>
      </w:pPr>
      <w:r>
        <w:t>Mission elapsed time is secondary. It is useful for deployment context, but online release-to-completion latency directly measures the service received by tasks that arrive after mission start and is less dominated by the last-release time.</w:t>
      </w:r>
    </w:p>
    <w:p w14:paraId="35076D21" w14:textId="77777777" w:rsidR="00307435" w:rsidRDefault="00000000">
      <w:pPr>
        <w:pStyle w:val="Heading1"/>
        <w:keepNext/>
        <w:spacing w:before="240" w:after="100"/>
      </w:pPr>
      <w:r>
        <w:t>2. Experiment explained from first principles</w:t>
      </w:r>
    </w:p>
    <w:p w14:paraId="78F24AF9" w14:textId="77777777" w:rsidR="00307435" w:rsidRDefault="00000000">
      <w:pPr>
        <w:jc w:val="center"/>
      </w:pPr>
      <w:r>
        <w:rPr>
          <w:noProof/>
        </w:rPr>
        <w:drawing>
          <wp:inline distT="0" distB="0" distL="0" distR="0" wp14:anchorId="6F3D28AB" wp14:editId="184E25DB">
            <wp:extent cx="6492240" cy="254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experiment_flow.png"/>
                    <pic:cNvPicPr/>
                  </pic:nvPicPr>
                  <pic:blipFill>
                    <a:blip r:embed="rId8"/>
                    <a:stretch>
                      <a:fillRect/>
                    </a:stretch>
                  </pic:blipFill>
                  <pic:spPr>
                    <a:xfrm>
                      <a:off x="0" y="0"/>
                      <a:ext cx="6492240" cy="2548720"/>
                    </a:xfrm>
                    <a:prstGeom prst="rect">
                      <a:avLst/>
                    </a:prstGeom>
                  </pic:spPr>
                </pic:pic>
              </a:graphicData>
            </a:graphic>
          </wp:inline>
        </w:drawing>
      </w:r>
    </w:p>
    <w:p w14:paraId="0233374F" w14:textId="77777777" w:rsidR="00307435" w:rsidRDefault="00000000">
      <w:pPr>
        <w:spacing w:after="20"/>
        <w:jc w:val="center"/>
      </w:pPr>
      <w:r>
        <w:rPr>
          <w:b/>
          <w:sz w:val="17"/>
        </w:rPr>
        <w:t>Figure 1. Causal flow of one online task through release, admission, allocation, movement, and completion.</w:t>
      </w:r>
    </w:p>
    <w:p w14:paraId="01DD8721" w14:textId="77777777" w:rsidR="00307435" w:rsidRDefault="00000000">
      <w:pPr>
        <w:spacing w:after="100"/>
        <w:jc w:val="center"/>
      </w:pPr>
      <w:r>
        <w:rPr>
          <w:i/>
          <w:color w:val="5A6670"/>
          <w:sz w:val="15"/>
        </w:rPr>
        <w:t>Source: Architecture audit and final experiment plan; repo semantics in known_visit_sim/core/reallocation.py:521-686 and scheduler.py:593-817.</w:t>
      </w:r>
    </w:p>
    <w:p w14:paraId="2A959DA9" w14:textId="77777777" w:rsidR="00307435" w:rsidRDefault="00000000">
      <w:pPr>
        <w:pStyle w:val="Heading2"/>
        <w:keepNext/>
      </w:pPr>
      <w:r>
        <w:t>2.1 Mission and factorial design</w:t>
      </w:r>
    </w:p>
    <w:tbl>
      <w:tblPr>
        <w:tblStyle w:val="TableGrid"/>
        <w:tblW w:w="0" w:type="auto"/>
        <w:jc w:val="center"/>
        <w:tblLook w:val="04A0" w:firstRow="1" w:lastRow="0" w:firstColumn="1" w:lastColumn="0" w:noHBand="0" w:noVBand="1"/>
      </w:tblPr>
      <w:tblGrid>
        <w:gridCol w:w="1944"/>
        <w:gridCol w:w="8064"/>
      </w:tblGrid>
      <w:tr w:rsidR="00307435" w14:paraId="1EC50EDF" w14:textId="77777777">
        <w:trPr>
          <w:tblHeader/>
          <w:jc w:val="center"/>
          <w:cantSplit/>
        </w:trPr>
        <w:tc>
          <w:tcPr>
            <w:tcW w:w="1944" w:type="dxa"/>
            <w:shd w:val="clear" w:color="auto" w:fill="183A5A"/>
            <w:tcMar>
              <w:top w:w="80" w:type="dxa"/>
              <w:left w:w="80" w:type="dxa"/>
              <w:bottom w:w="80" w:type="dxa"/>
              <w:right w:w="80" w:type="dxa"/>
            </w:tcMar>
            <w:vAlign w:val="center"/>
          </w:tcPr>
          <w:p w14:paraId="48CE2E5C" w14:textId="77777777" w:rsidR="00307435" w:rsidRDefault="00000000">
            <w:pPr>
              <w:jc w:val="center"/>
            </w:pPr>
            <w:r>
              <w:rPr>
                <w:b/>
                <w:color w:val="FFFFFF"/>
                <w:sz w:val="16"/>
              </w:rPr>
              <w:t>Factor</w:t>
            </w:r>
          </w:p>
        </w:tc>
        <w:tc>
          <w:tcPr>
            <w:tcW w:w="8064" w:type="dxa"/>
            <w:shd w:val="clear" w:color="auto" w:fill="183A5A"/>
            <w:tcMar>
              <w:top w:w="80" w:type="dxa"/>
              <w:left w:w="80" w:type="dxa"/>
              <w:bottom w:w="80" w:type="dxa"/>
              <w:right w:w="80" w:type="dxa"/>
            </w:tcMar>
            <w:vAlign w:val="center"/>
          </w:tcPr>
          <w:p w14:paraId="28D56D0B" w14:textId="77777777" w:rsidR="00307435" w:rsidRDefault="00000000">
            <w:pPr>
              <w:jc w:val="center"/>
            </w:pPr>
            <w:r>
              <w:rPr>
                <w:b/>
                <w:color w:val="FFFFFF"/>
                <w:sz w:val="16"/>
              </w:rPr>
              <w:t>Final design</w:t>
            </w:r>
          </w:p>
        </w:tc>
      </w:tr>
      <w:tr w:rsidR="00307435" w14:paraId="352A3CD0" w14:textId="77777777">
        <w:trPr>
          <w:jc w:val="center"/>
          <w:cantSplit/>
        </w:trPr>
        <w:tc>
          <w:tcPr>
            <w:tcW w:w="1944" w:type="dxa"/>
            <w:tcMar>
              <w:top w:w="80" w:type="dxa"/>
              <w:left w:w="80" w:type="dxa"/>
              <w:bottom w:w="80" w:type="dxa"/>
              <w:right w:w="80" w:type="dxa"/>
            </w:tcMar>
            <w:vAlign w:val="center"/>
          </w:tcPr>
          <w:p w14:paraId="08D84C9E" w14:textId="77777777" w:rsidR="00307435" w:rsidRDefault="00000000">
            <w:r>
              <w:rPr>
                <w:sz w:val="16"/>
              </w:rPr>
              <w:t>Mission</w:t>
            </w:r>
          </w:p>
        </w:tc>
        <w:tc>
          <w:tcPr>
            <w:tcW w:w="8064" w:type="dxa"/>
            <w:tcMar>
              <w:top w:w="80" w:type="dxa"/>
              <w:left w:w="80" w:type="dxa"/>
              <w:bottom w:w="80" w:type="dxa"/>
              <w:right w:w="80" w:type="dxa"/>
            </w:tcMar>
            <w:vAlign w:val="center"/>
          </w:tcPr>
          <w:p w14:paraId="6D000770" w14:textId="77777777" w:rsidR="00307435" w:rsidRDefault="00000000">
            <w:r>
              <w:rPr>
                <w:sz w:val="16"/>
              </w:rPr>
              <w:t>Collaborative Visit on a 19x19 grid; every task cell must be physically serviced.</w:t>
            </w:r>
          </w:p>
        </w:tc>
      </w:tr>
      <w:tr w:rsidR="00307435" w14:paraId="3CECEA7E" w14:textId="77777777">
        <w:trPr>
          <w:jc w:val="center"/>
          <w:cantSplit/>
        </w:trPr>
        <w:tc>
          <w:tcPr>
            <w:tcW w:w="1944" w:type="dxa"/>
            <w:shd w:val="clear" w:color="auto" w:fill="F3F7F8"/>
            <w:tcMar>
              <w:top w:w="80" w:type="dxa"/>
              <w:left w:w="80" w:type="dxa"/>
              <w:bottom w:w="80" w:type="dxa"/>
              <w:right w:w="80" w:type="dxa"/>
            </w:tcMar>
            <w:vAlign w:val="center"/>
          </w:tcPr>
          <w:p w14:paraId="306BCB69" w14:textId="77777777" w:rsidR="00307435" w:rsidRDefault="00000000">
            <w:r>
              <w:rPr>
                <w:sz w:val="16"/>
              </w:rPr>
              <w:lastRenderedPageBreak/>
              <w:t>Team</w:t>
            </w:r>
          </w:p>
        </w:tc>
        <w:tc>
          <w:tcPr>
            <w:tcW w:w="8064" w:type="dxa"/>
            <w:shd w:val="clear" w:color="auto" w:fill="F3F7F8"/>
            <w:tcMar>
              <w:top w:w="80" w:type="dxa"/>
              <w:left w:w="80" w:type="dxa"/>
              <w:bottom w:w="80" w:type="dxa"/>
              <w:right w:w="80" w:type="dxa"/>
            </w:tcMar>
            <w:vAlign w:val="center"/>
          </w:tcPr>
          <w:p w14:paraId="32673870" w14:textId="77777777" w:rsidR="00307435" w:rsidRDefault="00000000">
            <w:r>
              <w:rPr>
                <w:sz w:val="16"/>
              </w:rPr>
              <w:t>4 robots with deterministic paired start states.</w:t>
            </w:r>
          </w:p>
        </w:tc>
      </w:tr>
      <w:tr w:rsidR="00307435" w14:paraId="3A018CD8" w14:textId="77777777">
        <w:trPr>
          <w:jc w:val="center"/>
          <w:cantSplit/>
        </w:trPr>
        <w:tc>
          <w:tcPr>
            <w:tcW w:w="1944" w:type="dxa"/>
            <w:tcMar>
              <w:top w:w="80" w:type="dxa"/>
              <w:left w:w="80" w:type="dxa"/>
              <w:bottom w:w="80" w:type="dxa"/>
              <w:right w:w="80" w:type="dxa"/>
            </w:tcMar>
            <w:vAlign w:val="center"/>
          </w:tcPr>
          <w:p w14:paraId="67ECBA63" w14:textId="77777777" w:rsidR="00307435" w:rsidRDefault="00000000">
            <w:r>
              <w:rPr>
                <w:sz w:val="16"/>
              </w:rPr>
              <w:t>Tasks</w:t>
            </w:r>
          </w:p>
        </w:tc>
        <w:tc>
          <w:tcPr>
            <w:tcW w:w="8064" w:type="dxa"/>
            <w:tcMar>
              <w:top w:w="80" w:type="dxa"/>
              <w:left w:w="80" w:type="dxa"/>
              <w:bottom w:w="80" w:type="dxa"/>
              <w:right w:w="80" w:type="dxa"/>
            </w:tcMar>
            <w:vAlign w:val="center"/>
          </w:tcPr>
          <w:p w14:paraId="7FB76744" w14:textId="77777777" w:rsidR="00307435" w:rsidRDefault="00000000">
            <w:r>
              <w:rPr>
                <w:sz w:val="16"/>
              </w:rPr>
              <w:t>50 total: 8 visible at time zero and 42 released online.</w:t>
            </w:r>
          </w:p>
        </w:tc>
      </w:tr>
      <w:tr w:rsidR="00307435" w14:paraId="5FDC6228" w14:textId="77777777">
        <w:trPr>
          <w:jc w:val="center"/>
          <w:cantSplit/>
        </w:trPr>
        <w:tc>
          <w:tcPr>
            <w:tcW w:w="1944" w:type="dxa"/>
            <w:shd w:val="clear" w:color="auto" w:fill="F3F7F8"/>
            <w:tcMar>
              <w:top w:w="80" w:type="dxa"/>
              <w:left w:w="80" w:type="dxa"/>
              <w:bottom w:w="80" w:type="dxa"/>
              <w:right w:w="80" w:type="dxa"/>
            </w:tcMar>
            <w:vAlign w:val="center"/>
          </w:tcPr>
          <w:p w14:paraId="68851F18" w14:textId="77777777" w:rsidR="00307435" w:rsidRDefault="00000000">
            <w:r>
              <w:rPr>
                <w:sz w:val="16"/>
              </w:rPr>
              <w:t>Arrival loads</w:t>
            </w:r>
          </w:p>
        </w:tc>
        <w:tc>
          <w:tcPr>
            <w:tcW w:w="8064" w:type="dxa"/>
            <w:shd w:val="clear" w:color="auto" w:fill="F3F7F8"/>
            <w:tcMar>
              <w:top w:w="80" w:type="dxa"/>
              <w:left w:w="80" w:type="dxa"/>
              <w:bottom w:w="80" w:type="dxa"/>
              <w:right w:w="80" w:type="dxa"/>
            </w:tcMar>
            <w:vAlign w:val="center"/>
          </w:tcPr>
          <w:p w14:paraId="5606D9BF" w14:textId="77777777" w:rsidR="00307435" w:rsidRDefault="00000000">
            <w:r>
              <w:rPr>
                <w:sz w:val="16"/>
              </w:rPr>
              <w:t>Low 0.075 tasks/s; medium 0.30 tasks/s; high 1.20 tasks/s. Mean interarrival times are 13.33, 3.33, and 0.833 s.</w:t>
            </w:r>
          </w:p>
        </w:tc>
      </w:tr>
      <w:tr w:rsidR="00307435" w14:paraId="71B168AB" w14:textId="77777777">
        <w:trPr>
          <w:jc w:val="center"/>
          <w:cantSplit/>
        </w:trPr>
        <w:tc>
          <w:tcPr>
            <w:tcW w:w="1944" w:type="dxa"/>
            <w:tcMar>
              <w:top w:w="80" w:type="dxa"/>
              <w:left w:w="80" w:type="dxa"/>
              <w:bottom w:w="80" w:type="dxa"/>
              <w:right w:w="80" w:type="dxa"/>
            </w:tcMar>
            <w:vAlign w:val="center"/>
          </w:tcPr>
          <w:p w14:paraId="24AE7658" w14:textId="77777777" w:rsidR="00307435" w:rsidRDefault="00000000">
            <w:r>
              <w:rPr>
                <w:sz w:val="16"/>
              </w:rPr>
              <w:t>Allocators</w:t>
            </w:r>
          </w:p>
        </w:tc>
        <w:tc>
          <w:tcPr>
            <w:tcW w:w="8064" w:type="dxa"/>
            <w:tcMar>
              <w:top w:w="80" w:type="dxa"/>
              <w:left w:w="80" w:type="dxa"/>
              <w:bottom w:w="80" w:type="dxa"/>
              <w:right w:w="80" w:type="dxa"/>
            </w:tcMar>
            <w:vAlign w:val="center"/>
          </w:tcPr>
          <w:p w14:paraId="53FED154" w14:textId="77777777" w:rsidR="00307435" w:rsidRDefault="00000000">
            <w:r>
              <w:rPr>
                <w:sz w:val="16"/>
              </w:rPr>
              <w:t>CBAA, ACBBA, HIPC, and PI.</w:t>
            </w:r>
          </w:p>
        </w:tc>
      </w:tr>
      <w:tr w:rsidR="00307435" w14:paraId="479A54DE" w14:textId="77777777">
        <w:trPr>
          <w:jc w:val="center"/>
          <w:cantSplit/>
        </w:trPr>
        <w:tc>
          <w:tcPr>
            <w:tcW w:w="1944" w:type="dxa"/>
            <w:shd w:val="clear" w:color="auto" w:fill="F3F7F8"/>
            <w:tcMar>
              <w:top w:w="80" w:type="dxa"/>
              <w:left w:w="80" w:type="dxa"/>
              <w:bottom w:w="80" w:type="dxa"/>
              <w:right w:w="80" w:type="dxa"/>
            </w:tcMar>
            <w:vAlign w:val="center"/>
          </w:tcPr>
          <w:p w14:paraId="3E094A34" w14:textId="77777777" w:rsidR="00307435" w:rsidRDefault="00000000">
            <w:r>
              <w:rPr>
                <w:sz w:val="16"/>
              </w:rPr>
              <w:t>Policies</w:t>
            </w:r>
          </w:p>
        </w:tc>
        <w:tc>
          <w:tcPr>
            <w:tcW w:w="8064" w:type="dxa"/>
            <w:shd w:val="clear" w:color="auto" w:fill="F3F7F8"/>
            <w:tcMar>
              <w:top w:w="80" w:type="dxa"/>
              <w:left w:w="80" w:type="dxa"/>
              <w:bottom w:w="80" w:type="dxa"/>
              <w:right w:w="80" w:type="dxa"/>
            </w:tcMar>
            <w:vAlign w:val="center"/>
          </w:tcPr>
          <w:p w14:paraId="05707DE4" w14:textId="77777777" w:rsidR="00307435" w:rsidRDefault="00000000">
            <w:r>
              <w:rPr>
                <w:sz w:val="16"/>
              </w:rPr>
              <w:t>Eager B=1; Count B=2, B=4, B=8; bounded B=4 with W=5 s.</w:t>
            </w:r>
          </w:p>
        </w:tc>
      </w:tr>
      <w:tr w:rsidR="00307435" w14:paraId="062444D4" w14:textId="77777777">
        <w:trPr>
          <w:jc w:val="center"/>
          <w:cantSplit/>
        </w:trPr>
        <w:tc>
          <w:tcPr>
            <w:tcW w:w="1944" w:type="dxa"/>
            <w:tcMar>
              <w:top w:w="80" w:type="dxa"/>
              <w:left w:w="80" w:type="dxa"/>
              <w:bottom w:w="80" w:type="dxa"/>
              <w:right w:w="80" w:type="dxa"/>
            </w:tcMar>
            <w:vAlign w:val="center"/>
          </w:tcPr>
          <w:p w14:paraId="06B6959B" w14:textId="77777777" w:rsidR="00307435" w:rsidRDefault="00000000">
            <w:r>
              <w:rPr>
                <w:sz w:val="16"/>
              </w:rPr>
              <w:t>Primary matrix</w:t>
            </w:r>
          </w:p>
        </w:tc>
        <w:tc>
          <w:tcPr>
            <w:tcW w:w="8064" w:type="dxa"/>
            <w:tcMar>
              <w:top w:w="80" w:type="dxa"/>
              <w:left w:w="80" w:type="dxa"/>
              <w:bottom w:w="80" w:type="dxa"/>
              <w:right w:w="80" w:type="dxa"/>
            </w:tcMar>
            <w:vAlign w:val="center"/>
          </w:tcPr>
          <w:p w14:paraId="2595FD54" w14:textId="77777777" w:rsidR="00307435" w:rsidRDefault="00000000">
            <w:r>
              <w:rPr>
                <w:sz w:val="16"/>
              </w:rPr>
              <w:t>4 allocators x 3 loads x 5 policies x 50 traces = 3,000 causal trials, plus 3,000 matched zero-compute trials.</w:t>
            </w:r>
          </w:p>
        </w:tc>
      </w:tr>
      <w:tr w:rsidR="00307435" w14:paraId="3D053AD2" w14:textId="77777777">
        <w:trPr>
          <w:jc w:val="center"/>
          <w:cantSplit/>
        </w:trPr>
        <w:tc>
          <w:tcPr>
            <w:tcW w:w="1944" w:type="dxa"/>
            <w:shd w:val="clear" w:color="auto" w:fill="F3F7F8"/>
            <w:tcMar>
              <w:top w:w="80" w:type="dxa"/>
              <w:left w:w="80" w:type="dxa"/>
              <w:bottom w:w="80" w:type="dxa"/>
              <w:right w:w="80" w:type="dxa"/>
            </w:tcMar>
            <w:vAlign w:val="center"/>
          </w:tcPr>
          <w:p w14:paraId="38712D2B" w14:textId="77777777" w:rsidR="00307435" w:rsidRDefault="00000000">
            <w:r>
              <w:rPr>
                <w:sz w:val="16"/>
              </w:rPr>
              <w:t>Hardware subset</w:t>
            </w:r>
          </w:p>
        </w:tc>
        <w:tc>
          <w:tcPr>
            <w:tcW w:w="8064" w:type="dxa"/>
            <w:shd w:val="clear" w:color="auto" w:fill="F3F7F8"/>
            <w:tcMar>
              <w:top w:w="80" w:type="dxa"/>
              <w:left w:w="80" w:type="dxa"/>
              <w:bottom w:w="80" w:type="dxa"/>
              <w:right w:w="80" w:type="dxa"/>
            </w:tcMar>
            <w:vAlign w:val="center"/>
          </w:tcPr>
          <w:p w14:paraId="68DE8E47" w14:textId="77777777" w:rsidR="00307435" w:rsidRDefault="00000000">
            <w:r>
              <w:rPr>
                <w:sz w:val="16"/>
              </w:rPr>
              <w:t>104 RP2040-backed causal trials; balanced core is 96 trials = 4 allocators x 3 loads x 2 policies x 4 traces.</w:t>
            </w:r>
          </w:p>
        </w:tc>
      </w:tr>
      <w:tr w:rsidR="00307435" w14:paraId="020B07D1" w14:textId="77777777">
        <w:trPr>
          <w:jc w:val="center"/>
          <w:cantSplit/>
        </w:trPr>
        <w:tc>
          <w:tcPr>
            <w:tcW w:w="1944" w:type="dxa"/>
            <w:tcMar>
              <w:top w:w="80" w:type="dxa"/>
              <w:left w:w="80" w:type="dxa"/>
              <w:bottom w:w="80" w:type="dxa"/>
              <w:right w:w="80" w:type="dxa"/>
            </w:tcMar>
            <w:vAlign w:val="center"/>
          </w:tcPr>
          <w:p w14:paraId="0CAE5BE4" w14:textId="77777777" w:rsidR="00307435" w:rsidRDefault="00000000">
            <w:r>
              <w:rPr>
                <w:sz w:val="16"/>
              </w:rPr>
              <w:t>Verification</w:t>
            </w:r>
          </w:p>
        </w:tc>
        <w:tc>
          <w:tcPr>
            <w:tcW w:w="8064" w:type="dxa"/>
            <w:tcMar>
              <w:top w:w="80" w:type="dxa"/>
              <w:left w:w="80" w:type="dxa"/>
              <w:bottom w:w="80" w:type="dxa"/>
              <w:right w:w="80" w:type="dxa"/>
            </w:tcMar>
            <w:vAlign w:val="center"/>
          </w:tcPr>
          <w:p w14:paraId="1807E5E4" w14:textId="77777777" w:rsidR="00307435" w:rsidRDefault="00000000">
            <w:r>
              <w:rPr>
                <w:sz w:val="16"/>
              </w:rPr>
              <w:t>144 separate trigger/engineering checks; all 104 hardware-backed trials passed allocator-output parity.</w:t>
            </w:r>
          </w:p>
        </w:tc>
      </w:tr>
    </w:tbl>
    <w:p w14:paraId="7C3781F0" w14:textId="77777777" w:rsidR="00307435" w:rsidRDefault="00307435">
      <w:pPr>
        <w:spacing w:after="0"/>
      </w:pPr>
    </w:p>
    <w:p w14:paraId="7880CA0D" w14:textId="77777777" w:rsidR="00307435" w:rsidRDefault="00000000">
      <w:pPr>
        <w:pStyle w:val="Heading2"/>
        <w:keepNext/>
      </w:pPr>
      <w:r>
        <w:t>2.2 What “coalescing” changes</w:t>
      </w:r>
    </w:p>
    <w:p w14:paraId="7FD43AD9" w14:textId="77777777" w:rsidR="00307435" w:rsidRDefault="00000000">
      <w:r>
        <w:t>A new online task first enters a pending queue. Eager admits it immediately. Count policies wait until the pending depth reaches B, then admit the whole queue; the final partial tail is flushed, and mandatory execution events can piggyback pending tasks. The bounded policy admits at the first of B=4, an oldest pending age of 5 s, a final flush, or a mandatory event.</w:t>
      </w:r>
    </w:p>
    <w:p w14:paraId="0BE286DA" w14:textId="77777777" w:rsidR="00307435" w:rsidRDefault="00000000">
      <w:r>
        <w:t>Admission is not completion. It makes the task visible to the allocators, resets the allocation epoch, and starts per-robot decision calls. Therefore coalescing can change both when a task becomes eligible for allocation and which assignments and routes the team ultimately executes.</w:t>
      </w:r>
    </w:p>
    <w:p w14:paraId="0C5C21F4" w14:textId="77777777" w:rsidR="00307435" w:rsidRDefault="00000000">
      <w:pPr>
        <w:pStyle w:val="Heading2"/>
        <w:keepNext/>
      </w:pPr>
      <w:r>
        <w:t>2.3 Causal timing and the two computation providers</w:t>
      </w:r>
    </w:p>
    <w:p w14:paraId="458F4F6D" w14:textId="77777777" w:rsidR="00307435" w:rsidRDefault="00000000">
      <w:r>
        <w:t>Each logical robot starts an allocator call at simulated time t. The result is not committed until t+d, where d is the measured AGX or RP2040 allocator duration. That robot is compute-busy during the interval, while peer robots, task releases, movement completions, and messages continue in simulated time. RP2040 calls are physically measured in sequence on a board but mapped back to independent virtual completion times. USB/serial/setup overhead is excluded from the injected allocator duration.</w:t>
      </w:r>
    </w:p>
    <w:p w14:paraId="25E6F4DF" w14:textId="77777777" w:rsidR="00307435" w:rsidRDefault="00000000">
      <w:r>
        <w:t>The zero-compute counterpart recomputes the allocator decision normally from its own evolving state but sets d=0. It is not a replay of the causal trial. Causal and zero-compute trajectories can therefore diverge through event ordering even when exogenous inputs are identical.</w:t>
      </w:r>
    </w:p>
    <w:p w14:paraId="284CD48C" w14:textId="77777777" w:rsidR="00307435" w:rsidRDefault="00000000">
      <w:pPr>
        <w:pStyle w:val="Heading2"/>
        <w:keepNext/>
      </w:pPr>
      <w:r>
        <w:t>2.4 Paired design and what is allowed to differ</w:t>
      </w:r>
    </w:p>
    <w:p w14:paraId="2682C7EB" w14:textId="77777777" w:rsidR="00307435" w:rsidRDefault="00000000">
      <w:r>
        <w:t>For a fixed allocator, load, and trace, all policies receive the same robot starts, task locations, release sequence, and random identifiers. Policies are not required to make the same assignments, take the same paths, produce the same number of calls, or finish at the same time. Those differences are the downstream effect being measured.</w:t>
      </w:r>
    </w:p>
    <w:p w14:paraId="023C39AC" w14:textId="77777777" w:rsidR="00307435" w:rsidRDefault="00000000">
      <w:pPr>
        <w:pStyle w:val="Heading1"/>
        <w:keepNext/>
        <w:spacing w:before="240" w:after="100"/>
      </w:pPr>
      <w:r>
        <w:lastRenderedPageBreak/>
        <w:t>3. Exactly what the paper should measure</w:t>
      </w:r>
    </w:p>
    <w:p w14:paraId="5B7D30E8" w14:textId="77777777" w:rsidR="00307435" w:rsidRDefault="00000000">
      <w:pPr>
        <w:jc w:val="center"/>
      </w:pPr>
      <w:r>
        <w:rPr>
          <w:noProof/>
        </w:rPr>
        <w:drawing>
          <wp:inline distT="0" distB="0" distL="0" distR="0" wp14:anchorId="090EEE3F" wp14:editId="1CD69665">
            <wp:extent cx="6446520" cy="24486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etric_timeline.png"/>
                    <pic:cNvPicPr/>
                  </pic:nvPicPr>
                  <pic:blipFill>
                    <a:blip r:embed="rId9"/>
                    <a:stretch>
                      <a:fillRect/>
                    </a:stretch>
                  </pic:blipFill>
                  <pic:spPr>
                    <a:xfrm>
                      <a:off x="0" y="0"/>
                      <a:ext cx="6446520" cy="2448622"/>
                    </a:xfrm>
                    <a:prstGeom prst="rect">
                      <a:avLst/>
                    </a:prstGeom>
                  </pic:spPr>
                </pic:pic>
              </a:graphicData>
            </a:graphic>
          </wp:inline>
        </w:drawing>
      </w:r>
    </w:p>
    <w:p w14:paraId="6CCA21AD" w14:textId="77777777" w:rsidR="00307435" w:rsidRDefault="00000000">
      <w:pPr>
        <w:spacing w:after="20"/>
        <w:jc w:val="center"/>
      </w:pPr>
      <w:r>
        <w:rPr>
          <w:b/>
          <w:sz w:val="17"/>
        </w:rPr>
        <w:t>Figure 2. Metric timeline. The primary end-to-end service outcome spans release to physical completion; component means decompose where the change occurs.</w:t>
      </w:r>
    </w:p>
    <w:p w14:paraId="217AE22F" w14:textId="77777777" w:rsidR="00307435" w:rsidRDefault="00000000">
      <w:pPr>
        <w:spacing w:after="100"/>
        <w:jc w:val="center"/>
      </w:pPr>
      <w:r>
        <w:rPr>
          <w:i/>
          <w:color w:val="5A6670"/>
          <w:sz w:val="15"/>
        </w:rPr>
        <w:t>Source: Paper-V2 task decomposition export and compact task-latency analysis.</w:t>
      </w:r>
    </w:p>
    <w:p w14:paraId="0243F421" w14:textId="77777777" w:rsidR="00307435" w:rsidRDefault="00000000">
      <w:pPr>
        <w:pStyle w:val="Heading2"/>
        <w:keepNext/>
      </w:pPr>
      <w:r>
        <w:t>3.1 Paper-facing metric hierarchy</w:t>
      </w:r>
    </w:p>
    <w:tbl>
      <w:tblPr>
        <w:tblStyle w:val="TableGrid"/>
        <w:tblW w:w="0" w:type="auto"/>
        <w:jc w:val="center"/>
        <w:tblLook w:val="04A0" w:firstRow="1" w:lastRow="0" w:firstColumn="1" w:lastColumn="0" w:noHBand="0" w:noVBand="1"/>
      </w:tblPr>
      <w:tblGrid>
        <w:gridCol w:w="1512"/>
        <w:gridCol w:w="2376"/>
        <w:gridCol w:w="2880"/>
        <w:gridCol w:w="3528"/>
      </w:tblGrid>
      <w:tr w:rsidR="00307435" w14:paraId="09B15852" w14:textId="77777777">
        <w:trPr>
          <w:tblHeader/>
          <w:jc w:val="center"/>
          <w:cantSplit/>
        </w:trPr>
        <w:tc>
          <w:tcPr>
            <w:tcW w:w="1512" w:type="dxa"/>
            <w:shd w:val="clear" w:color="auto" w:fill="183A5A"/>
            <w:tcMar>
              <w:top w:w="80" w:type="dxa"/>
              <w:left w:w="80" w:type="dxa"/>
              <w:bottom w:w="80" w:type="dxa"/>
              <w:right w:w="80" w:type="dxa"/>
            </w:tcMar>
            <w:vAlign w:val="center"/>
          </w:tcPr>
          <w:p w14:paraId="03F93B4E" w14:textId="77777777" w:rsidR="00307435" w:rsidRDefault="00000000">
            <w:pPr>
              <w:jc w:val="center"/>
            </w:pPr>
            <w:r>
              <w:rPr>
                <w:b/>
                <w:color w:val="FFFFFF"/>
                <w:sz w:val="15"/>
              </w:rPr>
              <w:t>Priority</w:t>
            </w:r>
          </w:p>
        </w:tc>
        <w:tc>
          <w:tcPr>
            <w:tcW w:w="2376" w:type="dxa"/>
            <w:shd w:val="clear" w:color="auto" w:fill="183A5A"/>
            <w:tcMar>
              <w:top w:w="80" w:type="dxa"/>
              <w:left w:w="80" w:type="dxa"/>
              <w:bottom w:w="80" w:type="dxa"/>
              <w:right w:w="80" w:type="dxa"/>
            </w:tcMar>
            <w:vAlign w:val="center"/>
          </w:tcPr>
          <w:p w14:paraId="0B64E45A" w14:textId="77777777" w:rsidR="00307435" w:rsidRDefault="00000000">
            <w:pPr>
              <w:jc w:val="center"/>
            </w:pPr>
            <w:r>
              <w:rPr>
                <w:b/>
                <w:color w:val="FFFFFF"/>
                <w:sz w:val="15"/>
              </w:rPr>
              <w:t>Metric</w:t>
            </w:r>
          </w:p>
        </w:tc>
        <w:tc>
          <w:tcPr>
            <w:tcW w:w="2880" w:type="dxa"/>
            <w:shd w:val="clear" w:color="auto" w:fill="183A5A"/>
            <w:tcMar>
              <w:top w:w="80" w:type="dxa"/>
              <w:left w:w="80" w:type="dxa"/>
              <w:bottom w:w="80" w:type="dxa"/>
              <w:right w:w="80" w:type="dxa"/>
            </w:tcMar>
            <w:vAlign w:val="center"/>
          </w:tcPr>
          <w:p w14:paraId="3898FFF7" w14:textId="77777777" w:rsidR="00307435" w:rsidRDefault="00000000">
            <w:pPr>
              <w:jc w:val="center"/>
            </w:pPr>
            <w:r>
              <w:rPr>
                <w:b/>
                <w:color w:val="FFFFFF"/>
                <w:sz w:val="15"/>
              </w:rPr>
              <w:t>Exact derivation</w:t>
            </w:r>
          </w:p>
        </w:tc>
        <w:tc>
          <w:tcPr>
            <w:tcW w:w="3528" w:type="dxa"/>
            <w:shd w:val="clear" w:color="auto" w:fill="183A5A"/>
            <w:tcMar>
              <w:top w:w="80" w:type="dxa"/>
              <w:left w:w="80" w:type="dxa"/>
              <w:bottom w:w="80" w:type="dxa"/>
              <w:right w:w="80" w:type="dxa"/>
            </w:tcMar>
            <w:vAlign w:val="center"/>
          </w:tcPr>
          <w:p w14:paraId="60A088EA" w14:textId="77777777" w:rsidR="00307435" w:rsidRDefault="00000000">
            <w:pPr>
              <w:jc w:val="center"/>
            </w:pPr>
            <w:r>
              <w:rPr>
                <w:b/>
                <w:color w:val="FFFFFF"/>
                <w:sz w:val="15"/>
              </w:rPr>
              <w:t>Why it is in the paper</w:t>
            </w:r>
          </w:p>
        </w:tc>
      </w:tr>
      <w:tr w:rsidR="00307435" w14:paraId="7990EBFF" w14:textId="77777777">
        <w:trPr>
          <w:jc w:val="center"/>
          <w:cantSplit/>
        </w:trPr>
        <w:tc>
          <w:tcPr>
            <w:tcW w:w="1512" w:type="dxa"/>
            <w:tcMar>
              <w:top w:w="80" w:type="dxa"/>
              <w:left w:w="80" w:type="dxa"/>
              <w:bottom w:w="80" w:type="dxa"/>
              <w:right w:w="80" w:type="dxa"/>
            </w:tcMar>
            <w:vAlign w:val="center"/>
          </w:tcPr>
          <w:p w14:paraId="7395F70F" w14:textId="77777777" w:rsidR="00307435" w:rsidRDefault="00000000">
            <w:r>
              <w:rPr>
                <w:sz w:val="15"/>
              </w:rPr>
              <w:t>1 - Primary mission outcome</w:t>
            </w:r>
          </w:p>
        </w:tc>
        <w:tc>
          <w:tcPr>
            <w:tcW w:w="2376" w:type="dxa"/>
            <w:tcMar>
              <w:top w:w="80" w:type="dxa"/>
              <w:left w:w="80" w:type="dxa"/>
              <w:bottom w:w="80" w:type="dxa"/>
              <w:right w:w="80" w:type="dxa"/>
            </w:tcMar>
            <w:vAlign w:val="center"/>
          </w:tcPr>
          <w:p w14:paraId="5B340045" w14:textId="77777777" w:rsidR="00307435" w:rsidRDefault="00000000">
            <w:r>
              <w:rPr>
                <w:sz w:val="15"/>
              </w:rPr>
              <w:t>Trial-median online release-to-completion latency</w:t>
            </w:r>
          </w:p>
        </w:tc>
        <w:tc>
          <w:tcPr>
            <w:tcW w:w="2880" w:type="dxa"/>
            <w:tcMar>
              <w:top w:w="80" w:type="dxa"/>
              <w:left w:w="80" w:type="dxa"/>
              <w:bottom w:w="80" w:type="dxa"/>
              <w:right w:w="80" w:type="dxa"/>
            </w:tcMar>
            <w:vAlign w:val="center"/>
          </w:tcPr>
          <w:p w14:paraId="74FB40CA" w14:textId="77777777" w:rsidR="00307435" w:rsidRDefault="00000000">
            <w:r>
              <w:rPr>
                <w:sz w:val="15"/>
              </w:rPr>
              <w:t>Median over the 42 online tasks in one trial: completion_time - release_time.</w:t>
            </w:r>
          </w:p>
        </w:tc>
        <w:tc>
          <w:tcPr>
            <w:tcW w:w="3528" w:type="dxa"/>
            <w:tcMar>
              <w:top w:w="80" w:type="dxa"/>
              <w:left w:w="80" w:type="dxa"/>
              <w:bottom w:w="80" w:type="dxa"/>
              <w:right w:w="80" w:type="dxa"/>
            </w:tcMar>
            <w:vAlign w:val="center"/>
          </w:tcPr>
          <w:p w14:paraId="65F16A89" w14:textId="77777777" w:rsidR="00307435" w:rsidRDefault="00000000">
            <w:r>
              <w:rPr>
                <w:sz w:val="15"/>
              </w:rPr>
              <w:t>Direct task-service responsiveness; robust to initial time-zero tasks.</w:t>
            </w:r>
          </w:p>
        </w:tc>
      </w:tr>
      <w:tr w:rsidR="00307435" w14:paraId="5303225A" w14:textId="77777777">
        <w:trPr>
          <w:jc w:val="center"/>
          <w:cantSplit/>
        </w:trPr>
        <w:tc>
          <w:tcPr>
            <w:tcW w:w="1512" w:type="dxa"/>
            <w:shd w:val="clear" w:color="auto" w:fill="F3F7F8"/>
            <w:tcMar>
              <w:top w:w="80" w:type="dxa"/>
              <w:left w:w="80" w:type="dxa"/>
              <w:bottom w:w="80" w:type="dxa"/>
              <w:right w:w="80" w:type="dxa"/>
            </w:tcMar>
            <w:vAlign w:val="center"/>
          </w:tcPr>
          <w:p w14:paraId="47BA9ADC" w14:textId="77777777" w:rsidR="00307435" w:rsidRDefault="00000000">
            <w:r>
              <w:rPr>
                <w:sz w:val="15"/>
              </w:rPr>
              <w:t>2 - Primary tail outcome</w:t>
            </w:r>
          </w:p>
        </w:tc>
        <w:tc>
          <w:tcPr>
            <w:tcW w:w="2376" w:type="dxa"/>
            <w:shd w:val="clear" w:color="auto" w:fill="F3F7F8"/>
            <w:tcMar>
              <w:top w:w="80" w:type="dxa"/>
              <w:left w:w="80" w:type="dxa"/>
              <w:bottom w:w="80" w:type="dxa"/>
              <w:right w:w="80" w:type="dxa"/>
            </w:tcMar>
            <w:vAlign w:val="center"/>
          </w:tcPr>
          <w:p w14:paraId="5CD3C243" w14:textId="77777777" w:rsidR="00307435" w:rsidRDefault="00000000">
            <w:r>
              <w:rPr>
                <w:sz w:val="15"/>
              </w:rPr>
              <w:t>Trial Q95 online release-to-completion latency</w:t>
            </w:r>
          </w:p>
        </w:tc>
        <w:tc>
          <w:tcPr>
            <w:tcW w:w="2880" w:type="dxa"/>
            <w:shd w:val="clear" w:color="auto" w:fill="F3F7F8"/>
            <w:tcMar>
              <w:top w:w="80" w:type="dxa"/>
              <w:left w:w="80" w:type="dxa"/>
              <w:bottom w:w="80" w:type="dxa"/>
              <w:right w:w="80" w:type="dxa"/>
            </w:tcMar>
            <w:vAlign w:val="center"/>
          </w:tcPr>
          <w:p w14:paraId="42D06419" w14:textId="77777777" w:rsidR="00307435" w:rsidRDefault="00000000">
            <w:r>
              <w:rPr>
                <w:sz w:val="15"/>
              </w:rPr>
              <w:t>Type-7 Q95 over online task service latencies within each trial.</w:t>
            </w:r>
          </w:p>
        </w:tc>
        <w:tc>
          <w:tcPr>
            <w:tcW w:w="3528" w:type="dxa"/>
            <w:shd w:val="clear" w:color="auto" w:fill="F3F7F8"/>
            <w:tcMar>
              <w:top w:w="80" w:type="dxa"/>
              <w:left w:w="80" w:type="dxa"/>
              <w:bottom w:w="80" w:type="dxa"/>
              <w:right w:w="80" w:type="dxa"/>
            </w:tcMar>
            <w:vAlign w:val="center"/>
          </w:tcPr>
          <w:p w14:paraId="4F9CF22A" w14:textId="77777777" w:rsidR="00307435" w:rsidRDefault="00000000">
            <w:r>
              <w:rPr>
                <w:sz w:val="15"/>
              </w:rPr>
              <w:t>Shows whether median gains hide slow-task tails.</w:t>
            </w:r>
          </w:p>
        </w:tc>
      </w:tr>
      <w:tr w:rsidR="00307435" w14:paraId="40EE761B" w14:textId="77777777">
        <w:trPr>
          <w:jc w:val="center"/>
          <w:cantSplit/>
        </w:trPr>
        <w:tc>
          <w:tcPr>
            <w:tcW w:w="1512" w:type="dxa"/>
            <w:tcMar>
              <w:top w:w="80" w:type="dxa"/>
              <w:left w:w="80" w:type="dxa"/>
              <w:bottom w:w="80" w:type="dxa"/>
              <w:right w:w="80" w:type="dxa"/>
            </w:tcMar>
            <w:vAlign w:val="center"/>
          </w:tcPr>
          <w:p w14:paraId="3A49C285" w14:textId="77777777" w:rsidR="00307435" w:rsidRDefault="00000000">
            <w:r>
              <w:rPr>
                <w:sz w:val="15"/>
              </w:rPr>
              <w:t>3 - Primary computation</w:t>
            </w:r>
          </w:p>
        </w:tc>
        <w:tc>
          <w:tcPr>
            <w:tcW w:w="2376" w:type="dxa"/>
            <w:tcMar>
              <w:top w:w="80" w:type="dxa"/>
              <w:left w:w="80" w:type="dxa"/>
              <w:bottom w:w="80" w:type="dxa"/>
              <w:right w:w="80" w:type="dxa"/>
            </w:tcMar>
            <w:vAlign w:val="center"/>
          </w:tcPr>
          <w:p w14:paraId="3AB82A67" w14:textId="77777777" w:rsidR="00307435" w:rsidRDefault="00000000">
            <w:r>
              <w:rPr>
                <w:sz w:val="15"/>
              </w:rPr>
              <w:t>Provider-specific allocator processor work</w:t>
            </w:r>
          </w:p>
        </w:tc>
        <w:tc>
          <w:tcPr>
            <w:tcW w:w="2880" w:type="dxa"/>
            <w:tcMar>
              <w:top w:w="80" w:type="dxa"/>
              <w:left w:w="80" w:type="dxa"/>
              <w:bottom w:w="80" w:type="dxa"/>
              <w:right w:w="80" w:type="dxa"/>
            </w:tcMar>
            <w:vAlign w:val="center"/>
          </w:tcPr>
          <w:p w14:paraId="463F9333" w14:textId="77777777" w:rsidR="00307435" w:rsidRDefault="00000000">
            <w:r>
              <w:rPr>
                <w:sz w:val="15"/>
              </w:rPr>
              <w:t>Sum of valid allocator call durations over all logical robots and calls.</w:t>
            </w:r>
          </w:p>
        </w:tc>
        <w:tc>
          <w:tcPr>
            <w:tcW w:w="3528" w:type="dxa"/>
            <w:tcMar>
              <w:top w:w="80" w:type="dxa"/>
              <w:left w:w="80" w:type="dxa"/>
              <w:bottom w:w="80" w:type="dxa"/>
              <w:right w:w="80" w:type="dxa"/>
            </w:tcMar>
            <w:vAlign w:val="center"/>
          </w:tcPr>
          <w:p w14:paraId="0FFEE6F1" w14:textId="77777777" w:rsidR="00307435" w:rsidRDefault="00000000">
            <w:r>
              <w:rPr>
                <w:sz w:val="15"/>
              </w:rPr>
              <w:t>Actual computation demanded from AGX or RP2040; not mission wall delay.</w:t>
            </w:r>
          </w:p>
        </w:tc>
      </w:tr>
      <w:tr w:rsidR="00307435" w14:paraId="009DA8AD" w14:textId="77777777">
        <w:trPr>
          <w:jc w:val="center"/>
          <w:cantSplit/>
        </w:trPr>
        <w:tc>
          <w:tcPr>
            <w:tcW w:w="1512" w:type="dxa"/>
            <w:shd w:val="clear" w:color="auto" w:fill="F3F7F8"/>
            <w:tcMar>
              <w:top w:w="80" w:type="dxa"/>
              <w:left w:w="80" w:type="dxa"/>
              <w:bottom w:w="80" w:type="dxa"/>
              <w:right w:w="80" w:type="dxa"/>
            </w:tcMar>
            <w:vAlign w:val="center"/>
          </w:tcPr>
          <w:p w14:paraId="1735B963" w14:textId="77777777" w:rsidR="00307435" w:rsidRDefault="00000000">
            <w:r>
              <w:rPr>
                <w:sz w:val="15"/>
              </w:rPr>
              <w:t>4 - Mechanism</w:t>
            </w:r>
          </w:p>
        </w:tc>
        <w:tc>
          <w:tcPr>
            <w:tcW w:w="2376" w:type="dxa"/>
            <w:shd w:val="clear" w:color="auto" w:fill="F3F7F8"/>
            <w:tcMar>
              <w:top w:w="80" w:type="dxa"/>
              <w:left w:w="80" w:type="dxa"/>
              <w:bottom w:w="80" w:type="dxa"/>
              <w:right w:w="80" w:type="dxa"/>
            </w:tcMar>
            <w:vAlign w:val="center"/>
          </w:tcPr>
          <w:p w14:paraId="0315BAB3" w14:textId="77777777" w:rsidR="00307435" w:rsidRDefault="00000000">
            <w:r>
              <w:rPr>
                <w:sz w:val="15"/>
              </w:rPr>
              <w:t>Allocator-call count</w:t>
            </w:r>
          </w:p>
        </w:tc>
        <w:tc>
          <w:tcPr>
            <w:tcW w:w="2880" w:type="dxa"/>
            <w:shd w:val="clear" w:color="auto" w:fill="F3F7F8"/>
            <w:tcMar>
              <w:top w:w="80" w:type="dxa"/>
              <w:left w:w="80" w:type="dxa"/>
              <w:bottom w:w="80" w:type="dxa"/>
              <w:right w:w="80" w:type="dxa"/>
            </w:tcMar>
            <w:vAlign w:val="center"/>
          </w:tcPr>
          <w:p w14:paraId="73A80D30" w14:textId="77777777" w:rsidR="00307435" w:rsidRDefault="00000000">
            <w:r>
              <w:rPr>
                <w:sz w:val="15"/>
              </w:rPr>
              <w:t>Number of valid per-robot choose_goal calls.</w:t>
            </w:r>
          </w:p>
        </w:tc>
        <w:tc>
          <w:tcPr>
            <w:tcW w:w="3528" w:type="dxa"/>
            <w:shd w:val="clear" w:color="auto" w:fill="F3F7F8"/>
            <w:tcMar>
              <w:top w:w="80" w:type="dxa"/>
              <w:left w:w="80" w:type="dxa"/>
              <w:bottom w:w="80" w:type="dxa"/>
              <w:right w:w="80" w:type="dxa"/>
            </w:tcMar>
            <w:vAlign w:val="center"/>
          </w:tcPr>
          <w:p w14:paraId="110ED212" w14:textId="77777777" w:rsidR="00307435" w:rsidRDefault="00000000">
            <w:r>
              <w:rPr>
                <w:sz w:val="15"/>
              </w:rPr>
              <w:t>Explains whether work falls because fewer calls are made.</w:t>
            </w:r>
          </w:p>
        </w:tc>
      </w:tr>
      <w:tr w:rsidR="00307435" w14:paraId="14456506" w14:textId="77777777">
        <w:trPr>
          <w:jc w:val="center"/>
          <w:cantSplit/>
        </w:trPr>
        <w:tc>
          <w:tcPr>
            <w:tcW w:w="1512" w:type="dxa"/>
            <w:tcMar>
              <w:top w:w="80" w:type="dxa"/>
              <w:left w:w="80" w:type="dxa"/>
              <w:bottom w:w="80" w:type="dxa"/>
              <w:right w:w="80" w:type="dxa"/>
            </w:tcMar>
            <w:vAlign w:val="center"/>
          </w:tcPr>
          <w:p w14:paraId="3B5CA7CD" w14:textId="77777777" w:rsidR="00307435" w:rsidRDefault="00000000">
            <w:r>
              <w:rPr>
                <w:sz w:val="15"/>
              </w:rPr>
              <w:t>5 - Mechanism</w:t>
            </w:r>
          </w:p>
        </w:tc>
        <w:tc>
          <w:tcPr>
            <w:tcW w:w="2376" w:type="dxa"/>
            <w:tcMar>
              <w:top w:w="80" w:type="dxa"/>
              <w:left w:w="80" w:type="dxa"/>
              <w:bottom w:w="80" w:type="dxa"/>
              <w:right w:w="80" w:type="dxa"/>
            </w:tcMar>
            <w:vAlign w:val="center"/>
          </w:tcPr>
          <w:p w14:paraId="6C9E2ABA" w14:textId="77777777" w:rsidR="00307435" w:rsidRDefault="00000000">
            <w:r>
              <w:rPr>
                <w:sz w:val="15"/>
              </w:rPr>
              <w:t>Release-to-admission latency</w:t>
            </w:r>
          </w:p>
        </w:tc>
        <w:tc>
          <w:tcPr>
            <w:tcW w:w="2880" w:type="dxa"/>
            <w:tcMar>
              <w:top w:w="80" w:type="dxa"/>
              <w:left w:w="80" w:type="dxa"/>
              <w:bottom w:w="80" w:type="dxa"/>
              <w:right w:w="80" w:type="dxa"/>
            </w:tcMar>
            <w:vAlign w:val="center"/>
          </w:tcPr>
          <w:p w14:paraId="0ADA2346" w14:textId="77777777" w:rsidR="00307435" w:rsidRDefault="00000000">
            <w:r>
              <w:rPr>
                <w:sz w:val="15"/>
              </w:rPr>
              <w:t>admission_time - release_time.</w:t>
            </w:r>
          </w:p>
        </w:tc>
        <w:tc>
          <w:tcPr>
            <w:tcW w:w="3528" w:type="dxa"/>
            <w:tcMar>
              <w:top w:w="80" w:type="dxa"/>
              <w:left w:w="80" w:type="dxa"/>
              <w:bottom w:w="80" w:type="dxa"/>
              <w:right w:w="80" w:type="dxa"/>
            </w:tcMar>
            <w:vAlign w:val="center"/>
          </w:tcPr>
          <w:p w14:paraId="6D87F816" w14:textId="77777777" w:rsidR="00307435" w:rsidRDefault="00000000">
            <w:r>
              <w:rPr>
                <w:sz w:val="15"/>
              </w:rPr>
              <w:t>Intentional waiting imposed by coalescing.</w:t>
            </w:r>
          </w:p>
        </w:tc>
      </w:tr>
      <w:tr w:rsidR="00307435" w14:paraId="0CD3DDE0" w14:textId="77777777">
        <w:trPr>
          <w:jc w:val="center"/>
          <w:cantSplit/>
        </w:trPr>
        <w:tc>
          <w:tcPr>
            <w:tcW w:w="1512" w:type="dxa"/>
            <w:shd w:val="clear" w:color="auto" w:fill="F3F7F8"/>
            <w:tcMar>
              <w:top w:w="80" w:type="dxa"/>
              <w:left w:w="80" w:type="dxa"/>
              <w:bottom w:w="80" w:type="dxa"/>
              <w:right w:w="80" w:type="dxa"/>
            </w:tcMar>
            <w:vAlign w:val="center"/>
          </w:tcPr>
          <w:p w14:paraId="45414290" w14:textId="77777777" w:rsidR="00307435" w:rsidRDefault="00000000">
            <w:r>
              <w:rPr>
                <w:sz w:val="15"/>
              </w:rPr>
              <w:t>6 - Mechanism</w:t>
            </w:r>
          </w:p>
        </w:tc>
        <w:tc>
          <w:tcPr>
            <w:tcW w:w="2376" w:type="dxa"/>
            <w:shd w:val="clear" w:color="auto" w:fill="F3F7F8"/>
            <w:tcMar>
              <w:top w:w="80" w:type="dxa"/>
              <w:left w:w="80" w:type="dxa"/>
              <w:bottom w:w="80" w:type="dxa"/>
              <w:right w:w="80" w:type="dxa"/>
            </w:tcMar>
            <w:vAlign w:val="center"/>
          </w:tcPr>
          <w:p w14:paraId="73A36EAB" w14:textId="77777777" w:rsidR="00307435" w:rsidRDefault="00000000">
            <w:r>
              <w:rPr>
                <w:sz w:val="15"/>
              </w:rPr>
              <w:t>Admission-to-first-assignment latency</w:t>
            </w:r>
          </w:p>
        </w:tc>
        <w:tc>
          <w:tcPr>
            <w:tcW w:w="2880" w:type="dxa"/>
            <w:shd w:val="clear" w:color="auto" w:fill="F3F7F8"/>
            <w:tcMar>
              <w:top w:w="80" w:type="dxa"/>
              <w:left w:w="80" w:type="dxa"/>
              <w:bottom w:w="80" w:type="dxa"/>
              <w:right w:w="80" w:type="dxa"/>
            </w:tcMar>
            <w:vAlign w:val="center"/>
          </w:tcPr>
          <w:p w14:paraId="5FD98696" w14:textId="77777777" w:rsidR="00307435" w:rsidRDefault="00000000">
            <w:r>
              <w:rPr>
                <w:sz w:val="15"/>
              </w:rPr>
              <w:t>first_assignment_time - admission_time.</w:t>
            </w:r>
          </w:p>
        </w:tc>
        <w:tc>
          <w:tcPr>
            <w:tcW w:w="3528" w:type="dxa"/>
            <w:shd w:val="clear" w:color="auto" w:fill="F3F7F8"/>
            <w:tcMar>
              <w:top w:w="80" w:type="dxa"/>
              <w:left w:w="80" w:type="dxa"/>
              <w:bottom w:w="80" w:type="dxa"/>
              <w:right w:w="80" w:type="dxa"/>
            </w:tcMar>
            <w:vAlign w:val="center"/>
          </w:tcPr>
          <w:p w14:paraId="370D1B0F" w14:textId="77777777" w:rsidR="00307435" w:rsidRDefault="00000000">
            <w:r>
              <w:rPr>
                <w:sz w:val="15"/>
              </w:rPr>
              <w:t>Post-admission allocation/coordination delay.</w:t>
            </w:r>
          </w:p>
        </w:tc>
      </w:tr>
      <w:tr w:rsidR="00307435" w14:paraId="38E60585" w14:textId="77777777">
        <w:trPr>
          <w:jc w:val="center"/>
          <w:cantSplit/>
        </w:trPr>
        <w:tc>
          <w:tcPr>
            <w:tcW w:w="1512" w:type="dxa"/>
            <w:tcMar>
              <w:top w:w="80" w:type="dxa"/>
              <w:left w:w="80" w:type="dxa"/>
              <w:bottom w:w="80" w:type="dxa"/>
              <w:right w:w="80" w:type="dxa"/>
            </w:tcMar>
            <w:vAlign w:val="center"/>
          </w:tcPr>
          <w:p w14:paraId="36F3A288" w14:textId="77777777" w:rsidR="00307435" w:rsidRDefault="00000000">
            <w:r>
              <w:rPr>
                <w:sz w:val="15"/>
              </w:rPr>
              <w:t>7 - Mechanism</w:t>
            </w:r>
          </w:p>
        </w:tc>
        <w:tc>
          <w:tcPr>
            <w:tcW w:w="2376" w:type="dxa"/>
            <w:tcMar>
              <w:top w:w="80" w:type="dxa"/>
              <w:left w:w="80" w:type="dxa"/>
              <w:bottom w:w="80" w:type="dxa"/>
              <w:right w:w="80" w:type="dxa"/>
            </w:tcMar>
            <w:vAlign w:val="center"/>
          </w:tcPr>
          <w:p w14:paraId="3BAF122C" w14:textId="77777777" w:rsidR="00307435" w:rsidRDefault="00000000">
            <w:r>
              <w:rPr>
                <w:sz w:val="15"/>
              </w:rPr>
              <w:t>First-assignment-to-completion latency</w:t>
            </w:r>
          </w:p>
        </w:tc>
        <w:tc>
          <w:tcPr>
            <w:tcW w:w="2880" w:type="dxa"/>
            <w:tcMar>
              <w:top w:w="80" w:type="dxa"/>
              <w:left w:w="80" w:type="dxa"/>
              <w:bottom w:w="80" w:type="dxa"/>
              <w:right w:w="80" w:type="dxa"/>
            </w:tcMar>
            <w:vAlign w:val="center"/>
          </w:tcPr>
          <w:p w14:paraId="465908DC" w14:textId="77777777" w:rsidR="00307435" w:rsidRDefault="00000000">
            <w:r>
              <w:rPr>
                <w:sz w:val="15"/>
              </w:rPr>
              <w:t>completion_time - first_assignment_time.</w:t>
            </w:r>
          </w:p>
        </w:tc>
        <w:tc>
          <w:tcPr>
            <w:tcW w:w="3528" w:type="dxa"/>
            <w:tcMar>
              <w:top w:w="80" w:type="dxa"/>
              <w:left w:w="80" w:type="dxa"/>
              <w:bottom w:w="80" w:type="dxa"/>
              <w:right w:w="80" w:type="dxa"/>
            </w:tcMar>
            <w:vAlign w:val="center"/>
          </w:tcPr>
          <w:p w14:paraId="60B5C8D2" w14:textId="77777777" w:rsidR="00307435" w:rsidRDefault="00000000">
            <w:r>
              <w:rPr>
                <w:sz w:val="15"/>
              </w:rPr>
              <w:t>Motion/service plus changed assignment and route; not pure compute.</w:t>
            </w:r>
          </w:p>
        </w:tc>
      </w:tr>
      <w:tr w:rsidR="00307435" w14:paraId="3C60E53A" w14:textId="77777777">
        <w:trPr>
          <w:jc w:val="center"/>
          <w:cantSplit/>
        </w:trPr>
        <w:tc>
          <w:tcPr>
            <w:tcW w:w="1512" w:type="dxa"/>
            <w:shd w:val="clear" w:color="auto" w:fill="F3F7F8"/>
            <w:tcMar>
              <w:top w:w="80" w:type="dxa"/>
              <w:left w:w="80" w:type="dxa"/>
              <w:bottom w:w="80" w:type="dxa"/>
              <w:right w:w="80" w:type="dxa"/>
            </w:tcMar>
            <w:vAlign w:val="center"/>
          </w:tcPr>
          <w:p w14:paraId="6B6E8200" w14:textId="77777777" w:rsidR="00307435" w:rsidRDefault="00000000">
            <w:r>
              <w:rPr>
                <w:sz w:val="15"/>
              </w:rPr>
              <w:t>8 - Secondary global</w:t>
            </w:r>
          </w:p>
        </w:tc>
        <w:tc>
          <w:tcPr>
            <w:tcW w:w="2376" w:type="dxa"/>
            <w:shd w:val="clear" w:color="auto" w:fill="F3F7F8"/>
            <w:tcMar>
              <w:top w:w="80" w:type="dxa"/>
              <w:left w:w="80" w:type="dxa"/>
              <w:bottom w:w="80" w:type="dxa"/>
              <w:right w:w="80" w:type="dxa"/>
            </w:tcMar>
            <w:vAlign w:val="center"/>
          </w:tcPr>
          <w:p w14:paraId="097E2D2B" w14:textId="77777777" w:rsidR="00307435" w:rsidRDefault="00000000">
            <w:r>
              <w:rPr>
                <w:sz w:val="15"/>
              </w:rPr>
              <w:t>Mission elapsed time</w:t>
            </w:r>
          </w:p>
        </w:tc>
        <w:tc>
          <w:tcPr>
            <w:tcW w:w="2880" w:type="dxa"/>
            <w:shd w:val="clear" w:color="auto" w:fill="F3F7F8"/>
            <w:tcMar>
              <w:top w:w="80" w:type="dxa"/>
              <w:left w:w="80" w:type="dxa"/>
              <w:bottom w:w="80" w:type="dxa"/>
              <w:right w:w="80" w:type="dxa"/>
            </w:tcMar>
            <w:vAlign w:val="center"/>
          </w:tcPr>
          <w:p w14:paraId="48978524" w14:textId="77777777" w:rsidR="00307435" w:rsidRDefault="00000000">
            <w:r>
              <w:rPr>
                <w:sz w:val="15"/>
              </w:rPr>
              <w:t>Final required completion time - mission start.</w:t>
            </w:r>
          </w:p>
        </w:tc>
        <w:tc>
          <w:tcPr>
            <w:tcW w:w="3528" w:type="dxa"/>
            <w:shd w:val="clear" w:color="auto" w:fill="F3F7F8"/>
            <w:tcMar>
              <w:top w:w="80" w:type="dxa"/>
              <w:left w:w="80" w:type="dxa"/>
              <w:bottom w:w="80" w:type="dxa"/>
              <w:right w:w="80" w:type="dxa"/>
            </w:tcMar>
            <w:vAlign w:val="center"/>
          </w:tcPr>
          <w:p w14:paraId="77DB8A98" w14:textId="77777777" w:rsidR="00307435" w:rsidRDefault="00000000">
            <w:r>
              <w:rPr>
                <w:sz w:val="15"/>
              </w:rPr>
              <w:t>Deployment context; sensitive to release schedule and critical path.</w:t>
            </w:r>
          </w:p>
        </w:tc>
      </w:tr>
      <w:tr w:rsidR="00307435" w14:paraId="0EB94641" w14:textId="77777777">
        <w:trPr>
          <w:jc w:val="center"/>
          <w:cantSplit/>
        </w:trPr>
        <w:tc>
          <w:tcPr>
            <w:tcW w:w="1512" w:type="dxa"/>
            <w:tcMar>
              <w:top w:w="80" w:type="dxa"/>
              <w:left w:w="80" w:type="dxa"/>
              <w:bottom w:w="80" w:type="dxa"/>
              <w:right w:w="80" w:type="dxa"/>
            </w:tcMar>
            <w:vAlign w:val="center"/>
          </w:tcPr>
          <w:p w14:paraId="6C46AD39" w14:textId="77777777" w:rsidR="00307435" w:rsidRDefault="00000000">
            <w:r>
              <w:rPr>
                <w:sz w:val="15"/>
              </w:rPr>
              <w:t>9 - Supporting</w:t>
            </w:r>
          </w:p>
        </w:tc>
        <w:tc>
          <w:tcPr>
            <w:tcW w:w="2376" w:type="dxa"/>
            <w:tcMar>
              <w:top w:w="80" w:type="dxa"/>
              <w:left w:w="80" w:type="dxa"/>
              <w:bottom w:w="80" w:type="dxa"/>
              <w:right w:w="80" w:type="dxa"/>
            </w:tcMar>
            <w:vAlign w:val="center"/>
          </w:tcPr>
          <w:p w14:paraId="6E7044A9" w14:textId="77777777" w:rsidR="00307435" w:rsidRDefault="00000000">
            <w:r>
              <w:rPr>
                <w:sz w:val="15"/>
              </w:rPr>
              <w:t>Completion, max steps, total steps, fallback source</w:t>
            </w:r>
          </w:p>
        </w:tc>
        <w:tc>
          <w:tcPr>
            <w:tcW w:w="2880" w:type="dxa"/>
            <w:tcMar>
              <w:top w:w="80" w:type="dxa"/>
              <w:left w:w="80" w:type="dxa"/>
              <w:bottom w:w="80" w:type="dxa"/>
              <w:right w:w="80" w:type="dxa"/>
            </w:tcMar>
            <w:vAlign w:val="center"/>
          </w:tcPr>
          <w:p w14:paraId="64070965" w14:textId="77777777" w:rsidR="00307435" w:rsidRDefault="00000000">
            <w:r>
              <w:rPr>
                <w:sz w:val="15"/>
              </w:rPr>
              <w:t>Trial outcome and trajectory diagnostics.</w:t>
            </w:r>
          </w:p>
        </w:tc>
        <w:tc>
          <w:tcPr>
            <w:tcW w:w="3528" w:type="dxa"/>
            <w:tcMar>
              <w:top w:w="80" w:type="dxa"/>
              <w:left w:w="80" w:type="dxa"/>
              <w:bottom w:w="80" w:type="dxa"/>
              <w:right w:w="80" w:type="dxa"/>
            </w:tcMar>
            <w:vAlign w:val="center"/>
          </w:tcPr>
          <w:p w14:paraId="7D004739" w14:textId="77777777" w:rsidR="00307435" w:rsidRDefault="00000000">
            <w:r>
              <w:rPr>
                <w:sz w:val="15"/>
              </w:rPr>
              <w:t>Protects interpretation when latency is conditional or paths change.</w:t>
            </w:r>
          </w:p>
        </w:tc>
      </w:tr>
    </w:tbl>
    <w:p w14:paraId="74C8D87E" w14:textId="77777777" w:rsidR="00307435" w:rsidRDefault="00307435">
      <w:pPr>
        <w:spacing w:after="0"/>
      </w:pPr>
    </w:p>
    <w:p w14:paraId="58265268" w14:textId="77777777" w:rsidR="00307435" w:rsidRDefault="00000000">
      <w:pPr>
        <w:pStyle w:val="Heading2"/>
        <w:keepNext/>
      </w:pPr>
      <w:r>
        <w:t>3.2 Sign conventions that must be stated once</w:t>
      </w:r>
    </w:p>
    <w:p w14:paraId="51344AB4" w14:textId="77777777" w:rsidR="00307435" w:rsidRDefault="00000000">
      <w:pPr>
        <w:pStyle w:val="CodeBlock"/>
        <w:rPr>
          <w:rFonts w:hint="eastAsia"/>
        </w:rPr>
      </w:pPr>
      <w:r>
        <w:t>latency Delta = policy - Eager        positive: policy is slower</w:t>
      </w:r>
      <w:r>
        <w:br/>
        <w:t>work saved = Eager - policy           positive: policy saves computation</w:t>
      </w:r>
      <w:r>
        <w:br/>
        <w:t>calls saved = Eager - policy          positive: policy makes fewer calls</w:t>
      </w:r>
      <w:r>
        <w:br/>
        <w:t>hardware results: four unique traces, descriptive only</w:t>
      </w:r>
    </w:p>
    <w:p w14:paraId="5E22BCF2" w14:textId="77777777" w:rsidR="00307435" w:rsidRDefault="00000000">
      <w:pPr>
        <w:pStyle w:val="Heading2"/>
        <w:keepNext/>
      </w:pPr>
      <w:r>
        <w:lastRenderedPageBreak/>
        <w:t>3.3 Why release-to-completion is the primary service outcome</w:t>
      </w:r>
    </w:p>
    <w:p w14:paraId="75B77CC8" w14:textId="77777777" w:rsidR="00307435" w:rsidRDefault="00000000">
      <w:r>
        <w:t>Release-to-first-assignment is useful for mechanism, but 0.35% of causal online tasks and 0.43% of zero-compute online tasks were first assigned through a physical-service fallback when a robot reached a task before an allocator-owned assignment existed. Release-to-completion remains defined for either path and directly captures whether the task was actually serviced.</w:t>
      </w:r>
    </w:p>
    <w:p w14:paraId="1B3B01F0" w14:textId="77777777" w:rsidR="00307435" w:rsidRDefault="00000000">
      <w:pPr>
        <w:pStyle w:val="Heading2"/>
        <w:keepNext/>
      </w:pPr>
      <w:r>
        <w:t>3.4 Additive decomposition rule</w:t>
      </w:r>
    </w:p>
    <w:p w14:paraId="41C622A3" w14:textId="77777777" w:rsidR="00307435" w:rsidRDefault="00000000">
      <w:r>
        <w:t>For valid online tasks, the task-level identity is:</w:t>
      </w:r>
    </w:p>
    <w:p w14:paraId="692BA7DF" w14:textId="77777777" w:rsidR="00307435" w:rsidRDefault="00000000">
      <w:pPr>
        <w:pStyle w:val="CodeBlock"/>
        <w:rPr>
          <w:rFonts w:hint="eastAsia"/>
        </w:rPr>
      </w:pPr>
      <w:r>
        <w:t>release_to_completion = release_to_admission + admission_to_first_any_assignment + first_any_assignment_to_completion</w:t>
      </w:r>
    </w:p>
    <w:p w14:paraId="4AD3FBFD" w14:textId="77777777" w:rsidR="00307435" w:rsidRDefault="00000000">
      <w:r>
        <w:t>Use trial means or ratios of task-level sums when showing this decomposition. Do not stack component medians and imply they add to the median total.</w:t>
      </w:r>
    </w:p>
    <w:p w14:paraId="4176FAEB" w14:textId="77777777" w:rsidR="00307435" w:rsidRDefault="00000000">
      <w:pPr>
        <w:pStyle w:val="Heading1"/>
        <w:keepNext/>
        <w:spacing w:before="240" w:after="100"/>
      </w:pPr>
      <w:r>
        <w:t>4. Statistical interpretation and evidence hierarchy</w:t>
      </w:r>
    </w:p>
    <w:p w14:paraId="0C84D354" w14:textId="77777777" w:rsidR="00307435" w:rsidRDefault="00000000">
      <w:pPr>
        <w:pStyle w:val="Heading2"/>
        <w:keepNext/>
      </w:pPr>
      <w:r>
        <w:t>4.1 Replication unit</w:t>
      </w:r>
    </w:p>
    <w:tbl>
      <w:tblPr>
        <w:tblW w:w="0" w:type="auto"/>
        <w:jc w:val="center"/>
        <w:tblLook w:val="04A0" w:firstRow="1" w:lastRow="0" w:firstColumn="1" w:lastColumn="0" w:noHBand="0" w:noVBand="1"/>
      </w:tblPr>
      <w:tblGrid>
        <w:gridCol w:w="10282"/>
      </w:tblGrid>
      <w:tr w:rsidR="00307435" w14:paraId="789770AA" w14:textId="77777777">
        <w:trPr>
          <w:jc w:val="center"/>
          <w:cantSplit/>
        </w:trPr>
        <w:tc>
          <w:tcPr>
            <w:tcW w:w="10282" w:type="dxa"/>
            <w:shd w:val="clear" w:color="auto" w:fill="FFF4E5"/>
            <w:tcMar>
              <w:top w:w="140" w:type="dxa"/>
              <w:left w:w="160" w:type="dxa"/>
              <w:bottom w:w="140" w:type="dxa"/>
              <w:right w:w="160" w:type="dxa"/>
            </w:tcMar>
          </w:tcPr>
          <w:p w14:paraId="06E41F75" w14:textId="77777777" w:rsidR="00307435" w:rsidRDefault="00000000">
            <w:pPr>
              <w:spacing w:after="0"/>
            </w:pPr>
            <w:r>
              <w:t>The trace is the environmental replication unit. A trial summarizes its 42 online tasks; individual tasks, calls, and epochs are not independent experimental replicates.</w:t>
            </w:r>
          </w:p>
        </w:tc>
      </w:tr>
    </w:tbl>
    <w:p w14:paraId="64CA2D8E" w14:textId="77777777" w:rsidR="00307435" w:rsidRDefault="00307435">
      <w:pPr>
        <w:spacing w:after="0"/>
      </w:pPr>
    </w:p>
    <w:p w14:paraId="3B428DE8" w14:textId="77777777" w:rsidR="00307435" w:rsidRDefault="00000000">
      <w:r>
        <w:t>The AGX policy analysis forms matched trace blocks within each allocator x load stratum. Friedman tests compare the five policies; paired Wilcoxon tests compare each non-Eager policy with Eager after a significant omnibus test, with Holm adjustment. Median paired deltas receive 10,000-sample trace-bootstrap confidence intervals using seed 20260814. A global Benjamini-Hochberg result is retained only as a sensitivity check.</w:t>
      </w:r>
    </w:p>
    <w:p w14:paraId="034AD7A6" w14:textId="77777777" w:rsidR="00307435" w:rsidRDefault="00000000">
      <w:pPr>
        <w:pStyle w:val="Heading2"/>
        <w:keepNext/>
      </w:pPr>
      <w:r>
        <w:t>4.2 Hardware evidence</w:t>
      </w:r>
    </w:p>
    <w:p w14:paraId="693FB107" w14:textId="77777777" w:rsidR="00307435" w:rsidRDefault="00000000">
      <w:r>
        <w:t>The balanced Eager/B=4 hardware core has 48 exact pairs but only four unique traces. Report all four trace values and summary ranges. Do not report hardware p-values or call the 104 hardware rows 104 independent scenarios.</w:t>
      </w:r>
    </w:p>
    <w:p w14:paraId="4B773C73" w14:textId="77777777" w:rsidR="00307435" w:rsidRDefault="00000000">
      <w:pPr>
        <w:pStyle w:val="Heading2"/>
        <w:keepNext/>
      </w:pPr>
      <w:r>
        <w:t>4.3 Provider matching and completion</w:t>
      </w:r>
    </w:p>
    <w:p w14:paraId="3856EFA1" w14:textId="77777777" w:rsidR="00307435" w:rsidRDefault="00000000">
      <w:r>
        <w:t>Every primary policy-versus-Eager estimate must compare the same timing provider. AGX and RP2040 are never pooled inside a primary estimate. Latency inference uses pairs in which both missions completed; completion discordances remain visible. CBAA estimates are therefore explicitly conditional on both policies completing the matched trace.</w:t>
      </w:r>
    </w:p>
    <w:p w14:paraId="7A33C3E2" w14:textId="77777777" w:rsidR="00307435" w:rsidRDefault="00000000">
      <w:pPr>
        <w:pStyle w:val="Heading2"/>
        <w:keepNext/>
      </w:pPr>
      <w:r>
        <w:t>4.4 Validation strength</w:t>
      </w:r>
    </w:p>
    <w:p w14:paraId="2EEEB17C" w14:textId="77777777" w:rsidR="00307435" w:rsidRDefault="00000000">
      <w:r>
        <w:t>The source bundle passed 35 validation checks with zero reconciliation mismatches. The compact task-latency package passed 170 checks with 0 failures. The release/admission/assignment/completion identities reproduce the trial summaries within 1e-9 s; maximum observed decomposition residual was approximately 2.8e-14 s.</w:t>
      </w:r>
    </w:p>
    <w:p>
      <w:r>
        <w:br w:type="page"/>
      </w:r>
    </w:p>
    <w:p>
      <w:pPr>
        <w:pStyle w:val="Heading1"/>
        <w:keepNext/>
        <w:spacing w:before="240" w:after="100"/>
      </w:pPr>
      <w:r>
        <w:t>5. Related work, novelty, and contribution framing</w:t>
      </w:r>
    </w:p>
    <w:p>
      <w:pPr>
        <w:pStyle w:val="SmallSource"/>
      </w:pPr>
      <w:r>
        <w:t>Literature scope: Primary research papers and author/publisher manuscripts available through August 2026. Recent preprints are explicitly labeled as such.</w:t>
      </w:r>
    </w:p>
    <w:p>
      <w:pPr>
        <w:pStyle w:val="Heading2"/>
        <w:keepNext/>
      </w:pPr>
      <w:r>
        <w:t>5.1 Executive novelty verdict</w:t>
      </w:r>
    </w:p>
    <w:p>
      <w:r>
        <w:rPr>
          <w:b/>
        </w:rPr>
        <w:t xml:space="preserve">The current plan is materially stronger and more generalizable than the earlier epoch-versus-call framing. </w:t>
      </w:r>
      <w:r>
        <w:t>The paper should be evaluated as a systems study of task-service responsiveness under online arrivals, not as a claim about the internal call structure of this simulator.</w:t>
      </w:r>
    </w:p>
    <w:p>
      <w:r>
        <w:rPr>
          <w:b/>
        </w:rPr>
        <w:t xml:space="preserve">The strongest defensible contribution is: </w:t>
      </w:r>
      <w:r>
        <w:t>an allocator-independent empirical characterization of when intentional admission delay is outweighed by reduced post-admission computation and coordination, including a causal hardware-dependent crossover from service penalty to service benefit.</w:t>
      </w:r>
    </w:p>
    <w:tbl>
      <w:tblPr>
        <w:tblW w:type="auto" w:w="0"/>
        <w:jc w:val="center"/>
        <w:tblLook w:firstColumn="1" w:firstRow="1" w:lastColumn="0" w:lastRow="0" w:noHBand="0" w:noVBand="1" w:val="04A0"/>
      </w:tblPr>
      <w:tblGrid>
        <w:gridCol w:w="10224"/>
      </w:tblGrid>
      <w:tr>
        <w:trPr>
          <w:cantSplit/>
        </w:trPr>
        <w:tc>
          <w:tcPr>
            <w:tcW w:type="dxa" w:w="10224"/>
            <w:shd w:fill="E8F4F2"/>
            <w:tcMar>
              <w:top w:w="120" w:type="dxa"/>
              <w:start w:w="150" w:type="dxa"/>
              <w:bottom w:w="120" w:type="dxa"/>
              <w:end w:w="150" w:type="dxa"/>
            </w:tcMar>
            <w:vAlign w:val="center"/>
          </w:tcPr>
          <w:p>
            <w:pPr>
              <w:spacing w:after="30"/>
            </w:pPr>
            <w:r>
              <w:rPr>
                <w:b/>
                <w:color w:val="2C9C91"/>
              </w:rPr>
              <w:t>Recommended novelty statement</w:t>
            </w:r>
          </w:p>
          <w:p>
            <w:pPr>
              <w:pStyle w:val="ExecutiveBox"/>
              <w:spacing w:after="30"/>
            </w:pPr>
            <w:r>
              <w:rPr>
                <w:b/>
              </w:rPr>
              <w:t>To the best of our knowledge, prior work has not evaluated an allocator-independent reallocation-coalescing layer across multiple decentralized MRTA methods under controlled stochastic arrival loads while using online release-to-completion latency as the primary outcome and causally injecting measured embedded allocator execution to identify a hardware-dependent service crossover.</w:t>
            </w:r>
          </w:p>
        </w:tc>
      </w:tr>
    </w:tbl>
    <w:p>
      <w:r>
        <w:rPr>
          <w:b/>
        </w:rPr>
        <w:t xml:space="preserve">This claim is intentionally narrower than “the first batching method” or “the first event-triggered MRTA method.” </w:t>
      </w:r>
      <w:r>
        <w:t>Both would be incorrect. Prior work has already studied event- versus time-triggered dynamic assignment [1], event-triggered task allocation intended to reduce computational load [2], stochastic task bundling [3], batched online optimization [4], selective replanning [5], and event-triggered consensus or communication [9], [10].</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93B63"/>
            <w:vAlign w:val="center"/>
          </w:tcPr>
          <w:p>
            <w:pPr>
              <w:spacing w:after="30"/>
            </w:pPr>
            <w:r>
              <w:rPr>
                <w:b/>
                <w:color w:val="FFFFFF"/>
              </w:rPr>
              <w:t>Dimension</w:t>
            </w:r>
          </w:p>
        </w:tc>
        <w:tc>
          <w:tcPr>
            <w:tcW w:type="dxa" w:w="3408"/>
            <w:shd w:fill="193B63"/>
            <w:vAlign w:val="center"/>
          </w:tcPr>
          <w:p>
            <w:pPr>
              <w:spacing w:after="30"/>
            </w:pPr>
            <w:r>
              <w:rPr>
                <w:b/>
                <w:color w:val="FFFFFF"/>
              </w:rPr>
              <w:t>Assessment</w:t>
            </w:r>
          </w:p>
        </w:tc>
        <w:tc>
          <w:tcPr>
            <w:tcW w:type="dxa" w:w="3408"/>
            <w:shd w:fill="193B63"/>
            <w:vAlign w:val="center"/>
          </w:tcPr>
          <w:p>
            <w:pPr>
              <w:spacing w:after="30"/>
            </w:pPr>
            <w:r>
              <w:rPr>
                <w:b/>
                <w:color w:val="FFFFFF"/>
              </w:rPr>
              <w:t>Reason</w:t>
            </w:r>
          </w:p>
        </w:tc>
      </w:tr>
      <w:tr>
        <w:trPr>
          <w:cantSplit/>
        </w:trPr>
        <w:tc>
          <w:tcPr>
            <w:tcW w:type="dxa" w:w="3408"/>
            <w:tcMar>
              <w:top w:w="80" w:type="dxa"/>
              <w:start w:w="80" w:type="dxa"/>
              <w:bottom w:w="80" w:type="dxa"/>
              <w:end w:w="80" w:type="dxa"/>
            </w:tcMar>
            <w:vAlign w:val="center"/>
          </w:tcPr>
          <w:p>
            <w:pPr>
              <w:pStyle w:val="TableText"/>
              <w:spacing w:after="30"/>
            </w:pPr>
            <w:r>
              <w:t>Algorithmic novelty</w:t>
            </w:r>
          </w:p>
        </w:tc>
        <w:tc>
          <w:tcPr>
            <w:tcW w:type="dxa" w:w="3408"/>
            <w:tcMar>
              <w:top w:w="80" w:type="dxa"/>
              <w:start w:w="80" w:type="dxa"/>
              <w:bottom w:w="80" w:type="dxa"/>
              <w:end w:w="80" w:type="dxa"/>
            </w:tcMar>
            <w:vAlign w:val="center"/>
          </w:tcPr>
          <w:p>
            <w:pPr>
              <w:pStyle w:val="TableText"/>
              <w:spacing w:after="30"/>
            </w:pPr>
            <w:r>
              <w:t>Modest</w:t>
            </w:r>
          </w:p>
        </w:tc>
        <w:tc>
          <w:tcPr>
            <w:tcW w:type="dxa" w:w="3408"/>
            <w:tcMar>
              <w:top w:w="80" w:type="dxa"/>
              <w:start w:w="80" w:type="dxa"/>
              <w:bottom w:w="80" w:type="dxa"/>
              <w:end w:w="80" w:type="dxa"/>
            </w:tcMar>
            <w:vAlign w:val="center"/>
          </w:tcPr>
          <w:p>
            <w:pPr>
              <w:pStyle w:val="TableText"/>
              <w:spacing w:after="30"/>
            </w:pPr>
            <w:r>
              <w:t>The scheduler does not replace the allocator or establish new convergence/optimality results.</w:t>
            </w:r>
          </w:p>
        </w:tc>
      </w:tr>
      <w:tr>
        <w:trPr>
          <w:cantSplit/>
        </w:trPr>
        <w:tc>
          <w:tcPr>
            <w:tcW w:type="dxa" w:w="3408"/>
            <w:tcMar>
              <w:top w:w="80" w:type="dxa"/>
              <w:start w:w="80" w:type="dxa"/>
              <w:bottom w:w="80" w:type="dxa"/>
              <w:end w:w="80" w:type="dxa"/>
            </w:tcMar>
            <w:shd w:fill="F3F5F7"/>
            <w:vAlign w:val="center"/>
          </w:tcPr>
          <w:p>
            <w:pPr>
              <w:pStyle w:val="TableText"/>
              <w:spacing w:after="30"/>
            </w:pPr>
            <w:r>
              <w:t>Systems-method novelty</w:t>
            </w:r>
          </w:p>
        </w:tc>
        <w:tc>
          <w:tcPr>
            <w:tcW w:type="dxa" w:w="3408"/>
            <w:tcMar>
              <w:top w:w="80" w:type="dxa"/>
              <w:start w:w="80" w:type="dxa"/>
              <w:bottom w:w="80" w:type="dxa"/>
              <w:end w:w="80" w:type="dxa"/>
            </w:tcMar>
            <w:shd w:fill="F3F5F7"/>
            <w:vAlign w:val="center"/>
          </w:tcPr>
          <w:p>
            <w:pPr>
              <w:pStyle w:val="TableText"/>
              <w:spacing w:after="30"/>
            </w:pPr>
            <w:r>
              <w:t>Moderate to strong</w:t>
            </w:r>
          </w:p>
        </w:tc>
        <w:tc>
          <w:tcPr>
            <w:tcW w:type="dxa" w:w="3408"/>
            <w:tcMar>
              <w:top w:w="80" w:type="dxa"/>
              <w:start w:w="80" w:type="dxa"/>
              <w:bottom w:w="80" w:type="dxa"/>
              <w:end w:w="80" w:type="dxa"/>
            </w:tcMar>
            <w:shd w:fill="F3F5F7"/>
            <w:vAlign w:val="center"/>
          </w:tcPr>
          <w:p>
            <w:pPr>
              <w:pStyle w:val="TableText"/>
              <w:spacing w:after="30"/>
            </w:pPr>
            <w:r>
              <w:t>The causal per-robot timing model, provider separation, task-service metric hierarchy, and embedded parity checks form a distinctive evaluation method.</w:t>
            </w:r>
          </w:p>
        </w:tc>
      </w:tr>
      <w:tr>
        <w:trPr>
          <w:cantSplit/>
        </w:trPr>
        <w:tc>
          <w:tcPr>
            <w:tcW w:type="dxa" w:w="3408"/>
            <w:tcMar>
              <w:top w:w="80" w:type="dxa"/>
              <w:start w:w="80" w:type="dxa"/>
              <w:bottom w:w="80" w:type="dxa"/>
              <w:end w:w="80" w:type="dxa"/>
            </w:tcMar>
            <w:vAlign w:val="center"/>
          </w:tcPr>
          <w:p>
            <w:pPr>
              <w:pStyle w:val="TableText"/>
              <w:spacing w:after="30"/>
            </w:pPr>
            <w:r>
              <w:t>Experimental novelty</w:t>
            </w:r>
          </w:p>
        </w:tc>
        <w:tc>
          <w:tcPr>
            <w:tcW w:type="dxa" w:w="3408"/>
            <w:tcMar>
              <w:top w:w="80" w:type="dxa"/>
              <w:start w:w="80" w:type="dxa"/>
              <w:bottom w:w="80" w:type="dxa"/>
              <w:end w:w="80" w:type="dxa"/>
            </w:tcMar>
            <w:vAlign w:val="center"/>
          </w:tcPr>
          <w:p>
            <w:pPr>
              <w:pStyle w:val="TableText"/>
              <w:spacing w:after="30"/>
            </w:pPr>
            <w:r>
              <w:t>Strong for a short IPCCC paper</w:t>
            </w:r>
          </w:p>
        </w:tc>
        <w:tc>
          <w:tcPr>
            <w:tcW w:type="dxa" w:w="3408"/>
            <w:tcMar>
              <w:top w:w="80" w:type="dxa"/>
              <w:start w:w="80" w:type="dxa"/>
              <w:bottom w:w="80" w:type="dxa"/>
              <w:end w:w="80" w:type="dxa"/>
            </w:tcMar>
            <w:vAlign w:val="center"/>
          </w:tcPr>
          <w:p>
            <w:pPr>
              <w:pStyle w:val="TableText"/>
              <w:spacing w:after="30"/>
            </w:pPr>
            <w:r>
              <w:t>The study crosses arrival load, allocator family, device speed, and policy while retaining matched stochastic traces.</w:t>
            </w:r>
          </w:p>
        </w:tc>
      </w:tr>
      <w:tr>
        <w:trPr>
          <w:cantSplit/>
        </w:trPr>
        <w:tc>
          <w:tcPr>
            <w:tcW w:type="dxa" w:w="3408"/>
            <w:tcMar>
              <w:top w:w="80" w:type="dxa"/>
              <w:start w:w="80" w:type="dxa"/>
              <w:bottom w:w="80" w:type="dxa"/>
              <w:end w:w="80" w:type="dxa"/>
            </w:tcMar>
            <w:shd w:fill="F3F5F7"/>
            <w:vAlign w:val="center"/>
          </w:tcPr>
          <w:p>
            <w:pPr>
              <w:pStyle w:val="TableText"/>
              <w:spacing w:after="30"/>
            </w:pPr>
            <w:r>
              <w:t>Generalizable insight</w:t>
            </w:r>
          </w:p>
        </w:tc>
        <w:tc>
          <w:tcPr>
            <w:tcW w:type="dxa" w:w="3408"/>
            <w:tcMar>
              <w:top w:w="80" w:type="dxa"/>
              <w:start w:w="80" w:type="dxa"/>
              <w:bottom w:w="80" w:type="dxa"/>
              <w:end w:w="80" w:type="dxa"/>
            </w:tcMar>
            <w:shd w:fill="F3F5F7"/>
            <w:vAlign w:val="center"/>
          </w:tcPr>
          <w:p>
            <w:pPr>
              <w:pStyle w:val="TableText"/>
              <w:spacing w:after="30"/>
            </w:pPr>
            <w:r>
              <w:t>Strong but bounded</w:t>
            </w:r>
          </w:p>
        </w:tc>
        <w:tc>
          <w:tcPr>
            <w:tcW w:type="dxa" w:w="3408"/>
            <w:tcMar>
              <w:top w:w="80" w:type="dxa"/>
              <w:start w:w="80" w:type="dxa"/>
              <w:bottom w:w="80" w:type="dxa"/>
              <w:end w:w="80" w:type="dxa"/>
            </w:tcMar>
            <w:shd w:fill="F3F5F7"/>
            <w:vAlign w:val="center"/>
          </w:tcPr>
          <w:p>
            <w:pPr>
              <w:pStyle w:val="TableText"/>
              <w:spacing w:after="30"/>
            </w:pPr>
            <w:r>
              <w:t>The arrival-pressure/compute-capacity principle is broader than B=4 or RP2040, but it is demonstrated in one mission family and four allocators.</w:t>
            </w:r>
          </w:p>
        </w:tc>
      </w:tr>
      <w:tr>
        <w:trPr>
          <w:cantSplit/>
        </w:trPr>
        <w:tc>
          <w:tcPr>
            <w:tcW w:type="dxa" w:w="3408"/>
            <w:tcMar>
              <w:top w:w="80" w:type="dxa"/>
              <w:start w:w="80" w:type="dxa"/>
              <w:bottom w:w="80" w:type="dxa"/>
              <w:end w:w="80" w:type="dxa"/>
            </w:tcMar>
            <w:vAlign w:val="center"/>
          </w:tcPr>
          <w:p>
            <w:pPr>
              <w:pStyle w:val="TableText"/>
              <w:spacing w:after="30"/>
            </w:pPr>
            <w:r>
              <w:t>Bounded-wait mechanism</w:t>
            </w:r>
          </w:p>
        </w:tc>
        <w:tc>
          <w:tcPr>
            <w:tcW w:type="dxa" w:w="3408"/>
            <w:tcMar>
              <w:top w:w="80" w:type="dxa"/>
              <w:start w:w="80" w:type="dxa"/>
              <w:bottom w:w="80" w:type="dxa"/>
              <w:end w:w="80" w:type="dxa"/>
            </w:tcMar>
            <w:vAlign w:val="center"/>
          </w:tcPr>
          <w:p>
            <w:pPr>
              <w:pStyle w:val="TableText"/>
              <w:spacing w:after="30"/>
            </w:pPr>
            <w:r>
              <w:t>Useful, not fundamentally new</w:t>
            </w:r>
          </w:p>
        </w:tc>
        <w:tc>
          <w:tcPr>
            <w:tcW w:type="dxa" w:w="3408"/>
            <w:tcMar>
              <w:top w:w="80" w:type="dxa"/>
              <w:start w:w="80" w:type="dxa"/>
              <w:bottom w:w="80" w:type="dxa"/>
              <w:end w:w="80" w:type="dxa"/>
            </w:tcMar>
            <w:vAlign w:val="center"/>
          </w:tcPr>
          <w:p>
            <w:pPr>
              <w:pStyle w:val="TableText"/>
              <w:spacing w:after="30"/>
            </w:pPr>
            <w:r>
              <w:t>Count-plus-timeout coalescing has clear systems precedents; the contribution is its MRTA application and measured mitigation.</w:t>
            </w:r>
          </w:p>
        </w:tc>
      </w:tr>
    </w:tbl>
    <w:p>
      <w:pPr>
        <w:pStyle w:val="Heading2"/>
        <w:keepNext/>
      </w:pPr>
      <w:r>
        <w:t>5.2 Correction to the previous framing</w:t>
      </w:r>
    </w:p>
    <w:p>
      <w:r>
        <w:rPr>
          <w:b/>
        </w:rPr>
        <w:t xml:space="preserve">The earlier report treated “fewer allocation epochs can produce more allocator calls” as a central contribution. The current Writer's Report correctly demotes that result. </w:t>
      </w:r>
      <w:r>
        <w:t>The effect is real in the testbed, but the exact chain depends on global admission reset, mandatory-event piggybacking, and post-epoch allocator-call semantics. It is therefore useful as an internal explanation of the sparse-load measurements, not as the broad thesis.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93B63"/>
            <w:vAlign w:val="center"/>
          </w:tcPr>
          <w:p>
            <w:pPr>
              <w:spacing w:after="30"/>
            </w:pPr>
            <w:r>
              <w:rPr>
                <w:b/>
                <w:color w:val="FFFFFF"/>
              </w:rPr>
              <w:t>Element</w:t>
            </w:r>
          </w:p>
        </w:tc>
        <w:tc>
          <w:tcPr>
            <w:tcW w:type="dxa" w:w="3408"/>
            <w:shd w:fill="193B63"/>
            <w:vAlign w:val="center"/>
          </w:tcPr>
          <w:p>
            <w:pPr>
              <w:spacing w:after="30"/>
            </w:pPr>
            <w:r>
              <w:rPr>
                <w:b/>
                <w:color w:val="FFFFFF"/>
              </w:rPr>
              <w:t>Correct role</w:t>
            </w:r>
          </w:p>
        </w:tc>
        <w:tc>
          <w:tcPr>
            <w:tcW w:type="dxa" w:w="3408"/>
            <w:shd w:fill="193B63"/>
            <w:vAlign w:val="center"/>
          </w:tcPr>
          <w:p>
            <w:pPr>
              <w:spacing w:after="30"/>
            </w:pPr>
            <w:r>
              <w:rPr>
                <w:b/>
                <w:color w:val="FFFFFF"/>
              </w:rPr>
              <w:t>Why</w:t>
            </w:r>
          </w:p>
        </w:tc>
      </w:tr>
      <w:tr>
        <w:trPr>
          <w:cantSplit/>
        </w:trPr>
        <w:tc>
          <w:tcPr>
            <w:tcW w:type="dxa" w:w="3408"/>
            <w:tcMar>
              <w:top w:w="80" w:type="dxa"/>
              <w:start w:w="80" w:type="dxa"/>
              <w:bottom w:w="80" w:type="dxa"/>
              <w:end w:w="80" w:type="dxa"/>
            </w:tcMar>
            <w:vAlign w:val="center"/>
          </w:tcPr>
          <w:p>
            <w:pPr>
              <w:pStyle w:val="TableText"/>
              <w:spacing w:after="30"/>
            </w:pPr>
            <w:r>
              <w:t>Previous emphasis</w:t>
            </w:r>
          </w:p>
        </w:tc>
        <w:tc>
          <w:tcPr>
            <w:tcW w:type="dxa" w:w="3408"/>
            <w:tcMar>
              <w:top w:w="80" w:type="dxa"/>
              <w:start w:w="80" w:type="dxa"/>
              <w:bottom w:w="80" w:type="dxa"/>
              <w:end w:w="80" w:type="dxa"/>
            </w:tcMar>
            <w:vAlign w:val="center"/>
          </w:tcPr>
          <w:p>
            <w:pPr>
              <w:pStyle w:val="TableText"/>
              <w:spacing w:after="30"/>
            </w:pPr>
            <w:r>
              <w:t>Epoch reduction does not guarantee call reduction.</w:t>
            </w:r>
          </w:p>
        </w:tc>
        <w:tc>
          <w:tcPr>
            <w:tcW w:type="dxa" w:w="3408"/>
            <w:tcMar>
              <w:top w:w="80" w:type="dxa"/>
              <w:start w:w="80" w:type="dxa"/>
              <w:bottom w:w="80" w:type="dxa"/>
              <w:end w:w="80" w:type="dxa"/>
            </w:tcMar>
            <w:vAlign w:val="center"/>
          </w:tcPr>
          <w:p>
            <w:pPr>
              <w:pStyle w:val="TableText"/>
              <w:spacing w:after="30"/>
            </w:pPr>
            <w:r>
              <w:t>Too architecture-specific to carry the paper; reviewers could reasonably treat it as a simulator artifact.</w:t>
            </w:r>
          </w:p>
        </w:tc>
      </w:tr>
      <w:tr>
        <w:trPr>
          <w:cantSplit/>
        </w:trPr>
        <w:tc>
          <w:tcPr>
            <w:tcW w:type="dxa" w:w="3408"/>
            <w:tcMar>
              <w:top w:w="80" w:type="dxa"/>
              <w:start w:w="80" w:type="dxa"/>
              <w:bottom w:w="80" w:type="dxa"/>
              <w:end w:w="80" w:type="dxa"/>
            </w:tcMar>
            <w:shd w:fill="F3F5F7"/>
            <w:vAlign w:val="center"/>
          </w:tcPr>
          <w:p>
            <w:pPr>
              <w:pStyle w:val="TableText"/>
              <w:spacing w:after="30"/>
            </w:pPr>
            <w:r>
              <w:t>Current primary result</w:t>
            </w:r>
          </w:p>
        </w:tc>
        <w:tc>
          <w:tcPr>
            <w:tcW w:type="dxa" w:w="3408"/>
            <w:tcMar>
              <w:top w:w="80" w:type="dxa"/>
              <w:start w:w="80" w:type="dxa"/>
              <w:bottom w:w="80" w:type="dxa"/>
              <w:end w:w="80" w:type="dxa"/>
            </w:tcMar>
            <w:shd w:fill="F3F5F7"/>
            <w:vAlign w:val="center"/>
          </w:tcPr>
          <w:p>
            <w:pPr>
              <w:pStyle w:val="TableText"/>
              <w:spacing w:after="30"/>
            </w:pPr>
            <w:r>
              <w:t>The service cost of B=4 decreases with online arrival load while compute savings increase.</w:t>
            </w:r>
          </w:p>
        </w:tc>
        <w:tc>
          <w:tcPr>
            <w:tcW w:type="dxa" w:w="3408"/>
            <w:tcMar>
              <w:top w:w="80" w:type="dxa"/>
              <w:start w:w="80" w:type="dxa"/>
              <w:bottom w:w="80" w:type="dxa"/>
              <w:end w:w="80" w:type="dxa"/>
            </w:tcMar>
            <w:shd w:fill="F3F5F7"/>
            <w:vAlign w:val="center"/>
          </w:tcPr>
          <w:p>
            <w:pPr>
              <w:pStyle w:val="TableText"/>
              <w:spacing w:after="30"/>
            </w:pPr>
            <w:r>
              <w:t>Directly measured at the task level and supported by trace-blocked AGX inference.</w:t>
            </w:r>
          </w:p>
        </w:tc>
      </w:tr>
      <w:tr>
        <w:trPr>
          <w:cantSplit/>
        </w:trPr>
        <w:tc>
          <w:tcPr>
            <w:tcW w:type="dxa" w:w="3408"/>
            <w:tcMar>
              <w:top w:w="80" w:type="dxa"/>
              <w:start w:w="80" w:type="dxa"/>
              <w:bottom w:w="80" w:type="dxa"/>
              <w:end w:w="80" w:type="dxa"/>
            </w:tcMar>
            <w:vAlign w:val="center"/>
          </w:tcPr>
          <w:p>
            <w:pPr>
              <w:pStyle w:val="TableText"/>
              <w:spacing w:after="30"/>
            </w:pPr>
            <w:r>
              <w:t>Current hardware result</w:t>
            </w:r>
          </w:p>
        </w:tc>
        <w:tc>
          <w:tcPr>
            <w:tcW w:type="dxa" w:w="3408"/>
            <w:tcMar>
              <w:top w:w="80" w:type="dxa"/>
              <w:start w:w="80" w:type="dxa"/>
              <w:bottom w:w="80" w:type="dxa"/>
              <w:end w:w="80" w:type="dxa"/>
            </w:tcMar>
            <w:vAlign w:val="center"/>
          </w:tcPr>
          <w:p>
            <w:pPr>
              <w:pStyle w:val="TableText"/>
              <w:spacing w:after="30"/>
            </w:pPr>
            <w:r>
              <w:t>The policy changes from service penalty at low/medium load to benefit at high load on RP2040.</w:t>
            </w:r>
          </w:p>
        </w:tc>
        <w:tc>
          <w:tcPr>
            <w:tcW w:type="dxa" w:w="3408"/>
            <w:tcMar>
              <w:top w:w="80" w:type="dxa"/>
              <w:start w:w="80" w:type="dxa"/>
              <w:bottom w:w="80" w:type="dxa"/>
              <w:end w:w="80" w:type="dxa"/>
            </w:tcMar>
            <w:vAlign w:val="center"/>
          </w:tcPr>
          <w:p>
            <w:pPr>
              <w:pStyle w:val="TableText"/>
              <w:spacing w:after="30"/>
            </w:pPr>
            <w:r>
              <w:t>Descriptive but visually consistent across all four unique hardware traces.</w:t>
            </w:r>
          </w:p>
        </w:tc>
      </w:tr>
      <w:tr>
        <w:trPr>
          <w:cantSplit/>
        </w:trPr>
        <w:tc>
          <w:tcPr>
            <w:tcW w:type="dxa" w:w="3408"/>
            <w:tcMar>
              <w:top w:w="80" w:type="dxa"/>
              <w:start w:w="80" w:type="dxa"/>
              <w:bottom w:w="80" w:type="dxa"/>
              <w:end w:w="80" w:type="dxa"/>
            </w:tcMar>
            <w:shd w:fill="F3F5F7"/>
            <w:vAlign w:val="center"/>
          </w:tcPr>
          <w:p>
            <w:pPr>
              <w:pStyle w:val="TableText"/>
              <w:spacing w:after="30"/>
            </w:pPr>
            <w:r>
              <w:t>Current mechanism</w:t>
            </w:r>
          </w:p>
        </w:tc>
        <w:tc>
          <w:tcPr>
            <w:tcW w:type="dxa" w:w="3408"/>
            <w:tcMar>
              <w:top w:w="80" w:type="dxa"/>
              <w:start w:w="80" w:type="dxa"/>
              <w:bottom w:w="80" w:type="dxa"/>
              <w:end w:w="80" w:type="dxa"/>
            </w:tcMar>
            <w:shd w:fill="F3F5F7"/>
            <w:vAlign w:val="center"/>
          </w:tcPr>
          <w:p>
            <w:pPr>
              <w:pStyle w:val="TableText"/>
              <w:spacing w:after="30"/>
            </w:pPr>
            <w:r>
              <w:t>Intentional release-to-admission wait can be repaid by lower admission-to-assignment and assignment-to-completion time.</w:t>
            </w:r>
          </w:p>
        </w:tc>
        <w:tc>
          <w:tcPr>
            <w:tcW w:type="dxa" w:w="3408"/>
            <w:tcMar>
              <w:top w:w="80" w:type="dxa"/>
              <w:start w:w="80" w:type="dxa"/>
              <w:bottom w:w="80" w:type="dxa"/>
              <w:end w:w="80" w:type="dxa"/>
            </w:tcMar>
            <w:shd w:fill="F3F5F7"/>
            <w:vAlign w:val="center"/>
          </w:tcPr>
          <w:p>
            <w:pPr>
              <w:pStyle w:val="TableText"/>
              <w:spacing w:after="30"/>
            </w:pPr>
            <w:r>
              <w:t>Explains the crossover without pretending that saved processor work equals saved mission time.</w:t>
            </w:r>
          </w:p>
        </w:tc>
      </w:tr>
      <w:tr>
        <w:trPr>
          <w:cantSplit/>
        </w:trPr>
        <w:tc>
          <w:tcPr>
            <w:tcW w:type="dxa" w:w="3408"/>
            <w:tcMar>
              <w:top w:w="80" w:type="dxa"/>
              <w:start w:w="80" w:type="dxa"/>
              <w:bottom w:w="80" w:type="dxa"/>
              <w:end w:w="80" w:type="dxa"/>
            </w:tcMar>
            <w:vAlign w:val="center"/>
          </w:tcPr>
          <w:p>
            <w:pPr>
              <w:pStyle w:val="TableText"/>
              <w:spacing w:after="30"/>
            </w:pPr>
            <w:r>
              <w:t>Current design implication</w:t>
            </w:r>
          </w:p>
        </w:tc>
        <w:tc>
          <w:tcPr>
            <w:tcW w:type="dxa" w:w="3408"/>
            <w:tcMar>
              <w:top w:w="80" w:type="dxa"/>
              <w:start w:w="80" w:type="dxa"/>
              <w:bottom w:w="80" w:type="dxa"/>
              <w:end w:w="80" w:type="dxa"/>
            </w:tcMar>
            <w:vAlign w:val="center"/>
          </w:tcPr>
          <w:p>
            <w:pPr>
              <w:pStyle w:val="TableText"/>
              <w:spacing w:after="30"/>
            </w:pPr>
            <w:r>
              <w:t>Coalescing strength should respond to arrival density and measured compute pressure.</w:t>
            </w:r>
          </w:p>
        </w:tc>
        <w:tc>
          <w:tcPr>
            <w:tcW w:type="dxa" w:w="3408"/>
            <w:tcMar>
              <w:top w:w="80" w:type="dxa"/>
              <w:start w:w="80" w:type="dxa"/>
              <w:bottom w:w="80" w:type="dxa"/>
              <w:end w:w="80" w:type="dxa"/>
            </w:tcMar>
            <w:vAlign w:val="center"/>
          </w:tcPr>
          <w:p>
            <w:pPr>
              <w:pStyle w:val="TableText"/>
              <w:spacing w:after="30"/>
            </w:pPr>
            <w:r>
              <w:t>Generalizable systems principle and natural future adaptive-policy direction.</w:t>
            </w:r>
          </w:p>
        </w:tc>
      </w:tr>
    </w:tbl>
    <w:p>
      <w:pPr>
        <w:pStyle w:val="Heading2"/>
        <w:keepNext/>
      </w:pPr>
      <w:r>
        <w:t>5.3 Current project contribution as the literature must see it</w:t>
      </w:r>
    </w:p>
    <w:p>
      <w:r>
        <w:rPr>
          <w:b/>
        </w:rPr>
        <w:t xml:space="preserve">The paper studies a control layer above the allocator. </w:t>
      </w:r>
      <w:r>
        <w:t>Online tasks enter a pending queue. Eager admits immediately; count policies wait for B tasks; the bounded policy admits at the first of B=4, a 5-s pending-age limit, a mandatory event, or the final partial flush. Admission starts causal per-robot allocation and can change both decision timing and downstream routes.</w:t>
      </w:r>
    </w:p>
    <w:p>
      <w:r>
        <w:rPr>
          <w:b/>
        </w:rPr>
        <w:t xml:space="preserve">The primary service population is the 42 online tasks, not the eight initial tasks. </w:t>
      </w:r>
      <w:r>
        <w:t>Each trial is summarized by median online release-to-completion latency, with Q95 as a tail check. Processor work is the provider-specific sum of valid allocator durations and is not interpreted as mission wall delay.</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93B63"/>
            <w:vAlign w:val="center"/>
          </w:tcPr>
          <w:p>
            <w:pPr>
              <w:spacing w:after="30"/>
            </w:pPr>
            <w:r>
              <w:rPr>
                <w:b/>
                <w:color w:val="FFFFFF"/>
              </w:rPr>
              <w:t>Evidence from current plan</w:t>
            </w:r>
          </w:p>
        </w:tc>
        <w:tc>
          <w:tcPr>
            <w:tcW w:type="dxa" w:w="3408"/>
            <w:shd w:fill="193B63"/>
            <w:vAlign w:val="center"/>
          </w:tcPr>
          <w:p>
            <w:pPr>
              <w:spacing w:after="30"/>
            </w:pPr>
            <w:r>
              <w:rPr>
                <w:b/>
                <w:color w:val="FFFFFF"/>
              </w:rPr>
              <w:t>Observed result</w:t>
            </w:r>
          </w:p>
        </w:tc>
        <w:tc>
          <w:tcPr>
            <w:tcW w:type="dxa" w:w="3408"/>
            <w:shd w:fill="193B63"/>
            <w:vAlign w:val="center"/>
          </w:tcPr>
          <w:p>
            <w:pPr>
              <w:spacing w:after="30"/>
            </w:pPr>
            <w:r>
              <w:rPr>
                <w:b/>
                <w:color w:val="FFFFFF"/>
              </w:rPr>
              <w:t>Paper interpretation</w:t>
            </w:r>
          </w:p>
        </w:tc>
      </w:tr>
      <w:tr>
        <w:trPr>
          <w:cantSplit/>
        </w:trPr>
        <w:tc>
          <w:tcPr>
            <w:tcW w:type="dxa" w:w="3408"/>
            <w:tcMar>
              <w:top w:w="80" w:type="dxa"/>
              <w:start w:w="80" w:type="dxa"/>
              <w:bottom w:w="80" w:type="dxa"/>
              <w:end w:w="80" w:type="dxa"/>
            </w:tcMar>
            <w:vAlign w:val="center"/>
          </w:tcPr>
          <w:p>
            <w:pPr>
              <w:pStyle w:val="TableText"/>
              <w:spacing w:after="30"/>
            </w:pPr>
            <w:r>
              <w:t>AGX, low load</w:t>
            </w:r>
          </w:p>
        </w:tc>
        <w:tc>
          <w:tcPr>
            <w:tcW w:type="dxa" w:w="3408"/>
            <w:tcMar>
              <w:top w:w="80" w:type="dxa"/>
              <w:start w:w="80" w:type="dxa"/>
              <w:bottom w:w="80" w:type="dxa"/>
              <w:end w:w="80" w:type="dxa"/>
            </w:tcMar>
            <w:vAlign w:val="center"/>
          </w:tcPr>
          <w:p>
            <w:pPr>
              <w:pStyle w:val="TableText"/>
              <w:spacing w:after="30"/>
            </w:pPr>
            <w:r>
              <w:t>B=4 increases median online service latency by 3.04–3.61 s across allocators; AGX work also increases.</w:t>
            </w:r>
          </w:p>
        </w:tc>
        <w:tc>
          <w:tcPr>
            <w:tcW w:type="dxa" w:w="3408"/>
            <w:tcMar>
              <w:top w:w="80" w:type="dxa"/>
              <w:start w:w="80" w:type="dxa"/>
              <w:bottom w:w="80" w:type="dxa"/>
              <w:end w:w="80" w:type="dxa"/>
            </w:tcMar>
            <w:vAlign w:val="center"/>
          </w:tcPr>
          <w:p>
            <w:pPr>
              <w:pStyle w:val="TableText"/>
              <w:spacing w:after="30"/>
            </w:pPr>
            <w:r>
              <w:t>Waiting dominates; coalescing should be weak or bounded.</w:t>
            </w:r>
          </w:p>
        </w:tc>
      </w:tr>
      <w:tr>
        <w:trPr>
          <w:cantSplit/>
        </w:trPr>
        <w:tc>
          <w:tcPr>
            <w:tcW w:type="dxa" w:w="3408"/>
            <w:tcMar>
              <w:top w:w="80" w:type="dxa"/>
              <w:start w:w="80" w:type="dxa"/>
              <w:bottom w:w="80" w:type="dxa"/>
              <w:end w:w="80" w:type="dxa"/>
            </w:tcMar>
            <w:shd w:fill="F3F5F7"/>
            <w:vAlign w:val="center"/>
          </w:tcPr>
          <w:p>
            <w:pPr>
              <w:pStyle w:val="TableText"/>
              <w:spacing w:after="30"/>
            </w:pPr>
            <w:r>
              <w:t>AGX, medium load</w:t>
            </w:r>
          </w:p>
        </w:tc>
        <w:tc>
          <w:tcPr>
            <w:tcW w:type="dxa" w:w="3408"/>
            <w:tcMar>
              <w:top w:w="80" w:type="dxa"/>
              <w:start w:w="80" w:type="dxa"/>
              <w:bottom w:w="80" w:type="dxa"/>
              <w:end w:w="80" w:type="dxa"/>
            </w:tcMar>
            <w:shd w:fill="F3F5F7"/>
            <w:vAlign w:val="center"/>
          </w:tcPr>
          <w:p>
            <w:pPr>
              <w:pStyle w:val="TableText"/>
              <w:spacing w:after="30"/>
            </w:pPr>
            <w:r>
              <w:t>Median penalty falls to 0.48–1.67 s while work savings reach 16.3–25.2%.</w:t>
            </w:r>
          </w:p>
        </w:tc>
        <w:tc>
          <w:tcPr>
            <w:tcW w:type="dxa" w:w="3408"/>
            <w:tcMar>
              <w:top w:w="80" w:type="dxa"/>
              <w:start w:w="80" w:type="dxa"/>
              <w:bottom w:w="80" w:type="dxa"/>
              <w:end w:w="80" w:type="dxa"/>
            </w:tcMar>
            <w:shd w:fill="F3F5F7"/>
            <w:vAlign w:val="center"/>
          </w:tcPr>
          <w:p>
            <w:pPr>
              <w:pStyle w:val="TableText"/>
              <w:spacing w:after="30"/>
            </w:pPr>
            <w:r>
              <w:t>Transition regime; application latency budget matters.</w:t>
            </w:r>
          </w:p>
        </w:tc>
      </w:tr>
      <w:tr>
        <w:trPr>
          <w:cantSplit/>
        </w:trPr>
        <w:tc>
          <w:tcPr>
            <w:tcW w:type="dxa" w:w="3408"/>
            <w:tcMar>
              <w:top w:w="80" w:type="dxa"/>
              <w:start w:w="80" w:type="dxa"/>
              <w:bottom w:w="80" w:type="dxa"/>
              <w:end w:w="80" w:type="dxa"/>
            </w:tcMar>
            <w:vAlign w:val="center"/>
          </w:tcPr>
          <w:p>
            <w:pPr>
              <w:pStyle w:val="TableText"/>
              <w:spacing w:after="30"/>
            </w:pPr>
            <w:r>
              <w:t>AGX, high load</w:t>
            </w:r>
          </w:p>
        </w:tc>
        <w:tc>
          <w:tcPr>
            <w:tcW w:type="dxa" w:w="3408"/>
            <w:tcMar>
              <w:top w:w="80" w:type="dxa"/>
              <w:start w:w="80" w:type="dxa"/>
              <w:bottom w:w="80" w:type="dxa"/>
              <w:end w:w="80" w:type="dxa"/>
            </w:tcMar>
            <w:vAlign w:val="center"/>
          </w:tcPr>
          <w:p>
            <w:pPr>
              <w:pStyle w:val="TableText"/>
              <w:spacing w:after="30"/>
            </w:pPr>
            <w:r>
              <w:t>Work savings reach 13.2–41.3%; no median service contrast is detected.</w:t>
            </w:r>
          </w:p>
        </w:tc>
        <w:tc>
          <w:tcPr>
            <w:tcW w:type="dxa" w:w="3408"/>
            <w:tcMar>
              <w:top w:w="80" w:type="dxa"/>
              <w:start w:w="80" w:type="dxa"/>
              <w:bottom w:w="80" w:type="dxa"/>
              <w:end w:w="80" w:type="dxa"/>
            </w:tcMar>
            <w:vAlign w:val="center"/>
          </w:tcPr>
          <w:p>
            <w:pPr>
              <w:pStyle w:val="TableText"/>
              <w:spacing w:after="30"/>
            </w:pPr>
            <w:r>
              <w:t>Dense arrivals produce useful compute savings without a detected typical-service cost.</w:t>
            </w:r>
          </w:p>
        </w:tc>
      </w:tr>
      <w:tr>
        <w:trPr>
          <w:cantSplit/>
        </w:trPr>
        <w:tc>
          <w:tcPr>
            <w:tcW w:type="dxa" w:w="3408"/>
            <w:tcMar>
              <w:top w:w="80" w:type="dxa"/>
              <w:start w:w="80" w:type="dxa"/>
              <w:bottom w:w="80" w:type="dxa"/>
              <w:end w:w="80" w:type="dxa"/>
            </w:tcMar>
            <w:shd w:fill="F3F5F7"/>
            <w:vAlign w:val="center"/>
          </w:tcPr>
          <w:p>
            <w:pPr>
              <w:pStyle w:val="TableText"/>
              <w:spacing w:after="30"/>
            </w:pPr>
            <w:r>
              <w:t>RP2040, trace average</w:t>
            </w:r>
          </w:p>
        </w:tc>
        <w:tc>
          <w:tcPr>
            <w:tcW w:type="dxa" w:w="3408"/>
            <w:tcMar>
              <w:top w:w="80" w:type="dxa"/>
              <w:start w:w="80" w:type="dxa"/>
              <w:bottom w:w="80" w:type="dxa"/>
              <w:end w:w="80" w:type="dxa"/>
            </w:tcMar>
            <w:shd w:fill="F3F5F7"/>
            <w:vAlign w:val="center"/>
          </w:tcPr>
          <w:p>
            <w:pPr>
              <w:pStyle w:val="TableText"/>
              <w:spacing w:after="30"/>
            </w:pPr>
            <w:r>
              <w:t>All four traces are slower at low/medium load and faster at high load.</w:t>
            </w:r>
          </w:p>
        </w:tc>
        <w:tc>
          <w:tcPr>
            <w:tcW w:type="dxa" w:w="3408"/>
            <w:tcMar>
              <w:top w:w="80" w:type="dxa"/>
              <w:start w:w="80" w:type="dxa"/>
              <w:bottom w:w="80" w:type="dxa"/>
              <w:end w:w="80" w:type="dxa"/>
            </w:tcMar>
            <w:shd w:fill="F3F5F7"/>
            <w:vAlign w:val="center"/>
          </w:tcPr>
          <w:p>
            <w:pPr>
              <w:pStyle w:val="TableText"/>
              <w:spacing w:after="30"/>
            </w:pPr>
            <w:r>
              <w:t>Hardware capability changes the sign of the operational effect.</w:t>
            </w:r>
          </w:p>
        </w:tc>
      </w:tr>
      <w:tr>
        <w:trPr>
          <w:cantSplit/>
        </w:trPr>
        <w:tc>
          <w:tcPr>
            <w:tcW w:type="dxa" w:w="3408"/>
            <w:tcMar>
              <w:top w:w="80" w:type="dxa"/>
              <w:start w:w="80" w:type="dxa"/>
              <w:bottom w:w="80" w:type="dxa"/>
              <w:end w:w="80" w:type="dxa"/>
            </w:tcMar>
            <w:vAlign w:val="center"/>
          </w:tcPr>
          <w:p>
            <w:pPr>
              <w:pStyle w:val="TableText"/>
              <w:spacing w:after="30"/>
            </w:pPr>
            <w:r>
              <w:t>RP2040, allocator detail</w:t>
            </w:r>
          </w:p>
        </w:tc>
        <w:tc>
          <w:tcPr>
            <w:tcW w:type="dxa" w:w="3408"/>
            <w:tcMar>
              <w:top w:w="80" w:type="dxa"/>
              <w:start w:w="80" w:type="dxa"/>
              <w:bottom w:w="80" w:type="dxa"/>
              <w:end w:w="80" w:type="dxa"/>
            </w:tcMar>
            <w:vAlign w:val="center"/>
          </w:tcPr>
          <w:p>
            <w:pPr>
              <w:pStyle w:val="TableText"/>
              <w:spacing w:after="30"/>
            </w:pPr>
            <w:r>
              <w:t>HIPC and PI show coherent median/tail gains; CBAA is small; ACBBA median improves but Q95 and mission behavior are mixed.</w:t>
            </w:r>
          </w:p>
        </w:tc>
        <w:tc>
          <w:tcPr>
            <w:tcW w:type="dxa" w:w="3408"/>
            <w:tcMar>
              <w:top w:w="80" w:type="dxa"/>
              <w:start w:w="80" w:type="dxa"/>
              <w:bottom w:w="80" w:type="dxa"/>
              <w:end w:w="80" w:type="dxa"/>
            </w:tcMar>
            <w:vAlign w:val="center"/>
          </w:tcPr>
          <w:p>
            <w:pPr>
              <w:pStyle w:val="TableText"/>
              <w:spacing w:after="30"/>
            </w:pPr>
            <w:r>
              <w:t>Compute pressure and allocator behavior jointly determine benefit.</w:t>
            </w:r>
          </w:p>
        </w:tc>
      </w:tr>
      <w:tr>
        <w:trPr>
          <w:cantSplit/>
        </w:trPr>
        <w:tc>
          <w:tcPr>
            <w:tcW w:type="dxa" w:w="3408"/>
            <w:tcMar>
              <w:top w:w="80" w:type="dxa"/>
              <w:start w:w="80" w:type="dxa"/>
              <w:bottom w:w="80" w:type="dxa"/>
              <w:end w:w="80" w:type="dxa"/>
            </w:tcMar>
            <w:shd w:fill="F3F5F7"/>
            <w:vAlign w:val="center"/>
          </w:tcPr>
          <w:p>
            <w:pPr>
              <w:pStyle w:val="TableText"/>
              <w:spacing w:after="30"/>
            </w:pPr>
            <w:r>
              <w:t>Bounded B=4/W=5</w:t>
            </w:r>
          </w:p>
        </w:tc>
        <w:tc>
          <w:tcPr>
            <w:tcW w:type="dxa" w:w="3408"/>
            <w:tcMar>
              <w:top w:w="80" w:type="dxa"/>
              <w:start w:w="80" w:type="dxa"/>
              <w:bottom w:w="80" w:type="dxa"/>
              <w:end w:w="80" w:type="dxa"/>
            </w:tcMar>
            <w:shd w:fill="F3F5F7"/>
            <w:vAlign w:val="center"/>
          </w:tcPr>
          <w:p>
            <w:pPr>
              <w:pStyle w:val="TableText"/>
              <w:spacing w:after="30"/>
            </w:pPr>
            <w:r>
              <w:t>Reduces the low-load B=4 median penalty by 1.17–1.58 s but does not restore Eager latency.</w:t>
            </w:r>
          </w:p>
        </w:tc>
        <w:tc>
          <w:tcPr>
            <w:tcW w:type="dxa" w:w="3408"/>
            <w:tcMar>
              <w:top w:w="80" w:type="dxa"/>
              <w:start w:w="80" w:type="dxa"/>
              <w:bottom w:w="80" w:type="dxa"/>
              <w:end w:w="80" w:type="dxa"/>
            </w:tcMar>
            <w:shd w:fill="F3F5F7"/>
            <w:vAlign w:val="center"/>
          </w:tcPr>
          <w:p>
            <w:pPr>
              <w:pStyle w:val="TableText"/>
              <w:spacing w:after="30"/>
            </w:pPr>
            <w:r>
              <w:t>Mitigation rather than universal solution.</w:t>
            </w:r>
          </w:p>
        </w:tc>
      </w:tr>
    </w:tbl>
    <w:p>
      <w:pPr>
        <w:pStyle w:val="Heading2"/>
        <w:keepNext/>
      </w:pPr>
      <w:r>
        <w:t>5.4 Literature landscape and closest prior work</w:t>
      </w:r>
    </w:p>
    <w:p>
      <w:r>
        <w:rPr>
          <w:b/>
        </w:rPr>
        <w:t xml:space="preserve">The closest literature divides into five distinct questions. </w:t>
      </w:r>
      <w:r>
        <w:t>The current paper overlaps each category, but its novelty lies in connecting them through the same causal service experiment.</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93B63"/>
            <w:vAlign w:val="center"/>
          </w:tcPr>
          <w:p>
            <w:pPr>
              <w:spacing w:after="30"/>
            </w:pPr>
            <w:r>
              <w:rPr>
                <w:b/>
                <w:color w:val="FFFFFF"/>
              </w:rPr>
              <w:t>Literature question</w:t>
            </w:r>
          </w:p>
        </w:tc>
        <w:tc>
          <w:tcPr>
            <w:tcW w:type="dxa" w:w="3408"/>
            <w:shd w:fill="193B63"/>
            <w:vAlign w:val="center"/>
          </w:tcPr>
          <w:p>
            <w:pPr>
              <w:spacing w:after="30"/>
            </w:pPr>
            <w:r>
              <w:rPr>
                <w:b/>
                <w:color w:val="FFFFFF"/>
              </w:rPr>
              <w:t>What prior work controls</w:t>
            </w:r>
          </w:p>
        </w:tc>
        <w:tc>
          <w:tcPr>
            <w:tcW w:type="dxa" w:w="3408"/>
            <w:shd w:fill="193B63"/>
            <w:vAlign w:val="center"/>
          </w:tcPr>
          <w:p>
            <w:pPr>
              <w:spacing w:after="30"/>
            </w:pPr>
            <w:r>
              <w:rPr>
                <w:b/>
                <w:color w:val="FFFFFF"/>
              </w:rPr>
              <w:t>Representative sources</w:t>
            </w:r>
          </w:p>
        </w:tc>
      </w:tr>
      <w:tr>
        <w:trPr>
          <w:cantSplit/>
        </w:trPr>
        <w:tc>
          <w:tcPr>
            <w:tcW w:type="dxa" w:w="3408"/>
            <w:tcMar>
              <w:top w:w="80" w:type="dxa"/>
              <w:start w:w="80" w:type="dxa"/>
              <w:bottom w:w="80" w:type="dxa"/>
              <w:end w:w="80" w:type="dxa"/>
            </w:tcMar>
            <w:vAlign w:val="center"/>
          </w:tcPr>
          <w:p>
            <w:pPr>
              <w:pStyle w:val="TableText"/>
              <w:spacing w:after="30"/>
            </w:pPr>
            <w:r>
              <w:t>When should dynamic assignment run?</w:t>
            </w:r>
          </w:p>
        </w:tc>
        <w:tc>
          <w:tcPr>
            <w:tcW w:type="dxa" w:w="3408"/>
            <w:tcMar>
              <w:top w:w="80" w:type="dxa"/>
              <w:start w:w="80" w:type="dxa"/>
              <w:bottom w:w="80" w:type="dxa"/>
              <w:end w:w="80" w:type="dxa"/>
            </w:tcMar>
            <w:vAlign w:val="center"/>
          </w:tcPr>
          <w:p>
            <w:pPr>
              <w:pStyle w:val="TableText"/>
              <w:spacing w:after="30"/>
            </w:pPr>
            <w:r>
              <w:t>Event-triggered, time-triggered, or state-triggered reassignment.</w:t>
            </w:r>
          </w:p>
        </w:tc>
        <w:tc>
          <w:tcPr>
            <w:tcW w:type="dxa" w:w="3408"/>
            <w:tcMar>
              <w:top w:w="80" w:type="dxa"/>
              <w:start w:w="80" w:type="dxa"/>
              <w:bottom w:w="80" w:type="dxa"/>
              <w:end w:w="80" w:type="dxa"/>
            </w:tcMar>
            <w:vAlign w:val="center"/>
          </w:tcPr>
          <w:p>
            <w:pPr>
              <w:pStyle w:val="TableText"/>
              <w:spacing w:after="30"/>
            </w:pPr>
            <w:r>
              <w:t>Bai et al. [1]; Hu et al. [2].</w:t>
            </w:r>
          </w:p>
        </w:tc>
      </w:tr>
      <w:tr>
        <w:trPr>
          <w:cantSplit/>
        </w:trPr>
        <w:tc>
          <w:tcPr>
            <w:tcW w:type="dxa" w:w="3408"/>
            <w:tcMar>
              <w:top w:w="80" w:type="dxa"/>
              <w:start w:w="80" w:type="dxa"/>
              <w:bottom w:w="80" w:type="dxa"/>
              <w:end w:w="80" w:type="dxa"/>
            </w:tcMar>
            <w:shd w:fill="F3F5F7"/>
            <w:vAlign w:val="center"/>
          </w:tcPr>
          <w:p>
            <w:pPr>
              <w:pStyle w:val="TableText"/>
              <w:spacing w:after="30"/>
            </w:pPr>
            <w:r>
              <w:t>Should tasks wait or be grouped?</w:t>
            </w:r>
          </w:p>
        </w:tc>
        <w:tc>
          <w:tcPr>
            <w:tcW w:type="dxa" w:w="3408"/>
            <w:tcMar>
              <w:top w:w="80" w:type="dxa"/>
              <w:start w:w="80" w:type="dxa"/>
              <w:bottom w:w="80" w:type="dxa"/>
              <w:end w:w="80" w:type="dxa"/>
            </w:tcMar>
            <w:shd w:fill="F3F5F7"/>
            <w:vAlign w:val="center"/>
          </w:tcPr>
          <w:p>
            <w:pPr>
              <w:pStyle w:val="TableText"/>
              <w:spacing w:after="30"/>
            </w:pPr>
            <w:r>
              <w:t>Execution bundling, route batching, or batched solver invocation.</w:t>
            </w:r>
          </w:p>
        </w:tc>
        <w:tc>
          <w:tcPr>
            <w:tcW w:type="dxa" w:w="3408"/>
            <w:tcMar>
              <w:top w:w="80" w:type="dxa"/>
              <w:start w:w="80" w:type="dxa"/>
              <w:bottom w:w="80" w:type="dxa"/>
              <w:end w:w="80" w:type="dxa"/>
            </w:tcMar>
            <w:shd w:fill="F3F5F7"/>
            <w:vAlign w:val="center"/>
          </w:tcPr>
          <w:p>
            <w:pPr>
              <w:pStyle w:val="TableText"/>
              <w:spacing w:after="30"/>
            </w:pPr>
            <w:r>
              <w:t>Nam and Shell [3]; Tuck et al. [4]; Botros et al. [12].</w:t>
            </w:r>
          </w:p>
        </w:tc>
      </w:tr>
      <w:tr>
        <w:trPr>
          <w:cantSplit/>
        </w:trPr>
        <w:tc>
          <w:tcPr>
            <w:tcW w:type="dxa" w:w="3408"/>
            <w:tcMar>
              <w:top w:w="80" w:type="dxa"/>
              <w:start w:w="80" w:type="dxa"/>
              <w:bottom w:w="80" w:type="dxa"/>
              <w:end w:w="80" w:type="dxa"/>
            </w:tcMar>
            <w:vAlign w:val="center"/>
          </w:tcPr>
          <w:p>
            <w:pPr>
              <w:pStyle w:val="TableText"/>
              <w:spacing w:after="30"/>
            </w:pPr>
            <w:r>
              <w:t>How much of an old plan should be recomputed?</w:t>
            </w:r>
          </w:p>
        </w:tc>
        <w:tc>
          <w:tcPr>
            <w:tcW w:type="dxa" w:w="3408"/>
            <w:tcMar>
              <w:top w:w="80" w:type="dxa"/>
              <w:start w:w="80" w:type="dxa"/>
              <w:bottom w:w="80" w:type="dxa"/>
              <w:end w:w="80" w:type="dxa"/>
            </w:tcMar>
            <w:vAlign w:val="center"/>
          </w:tcPr>
          <w:p>
            <w:pPr>
              <w:pStyle w:val="TableText"/>
              <w:spacing w:after="30"/>
            </w:pPr>
            <w:r>
              <w:t>Partial replanning, plan repair, or bounded reoptimization.</w:t>
            </w:r>
          </w:p>
        </w:tc>
        <w:tc>
          <w:tcPr>
            <w:tcW w:type="dxa" w:w="3408"/>
            <w:tcMar>
              <w:top w:w="80" w:type="dxa"/>
              <w:start w:w="80" w:type="dxa"/>
              <w:bottom w:w="80" w:type="dxa"/>
              <w:end w:w="80" w:type="dxa"/>
            </w:tcMar>
            <w:vAlign w:val="center"/>
          </w:tcPr>
          <w:p>
            <w:pPr>
              <w:pStyle w:val="TableText"/>
              <w:spacing w:after="30"/>
            </w:pPr>
            <w:r>
              <w:t>Buckman et al. [5]; Thorne and Lopez [6].</w:t>
            </w:r>
          </w:p>
        </w:tc>
      </w:tr>
      <w:tr>
        <w:trPr>
          <w:cantSplit/>
        </w:trPr>
        <w:tc>
          <w:tcPr>
            <w:tcW w:type="dxa" w:w="3408"/>
            <w:tcMar>
              <w:top w:w="80" w:type="dxa"/>
              <w:start w:w="80" w:type="dxa"/>
              <w:bottom w:w="80" w:type="dxa"/>
              <w:end w:w="80" w:type="dxa"/>
            </w:tcMar>
            <w:shd w:fill="F3F5F7"/>
            <w:vAlign w:val="center"/>
          </w:tcPr>
          <w:p>
            <w:pPr>
              <w:pStyle w:val="TableText"/>
              <w:spacing w:after="30"/>
            </w:pPr>
            <w:r>
              <w:t>When should distributed agents communicate or negotiate?</w:t>
            </w:r>
          </w:p>
        </w:tc>
        <w:tc>
          <w:tcPr>
            <w:tcW w:type="dxa" w:w="3408"/>
            <w:tcMar>
              <w:top w:w="80" w:type="dxa"/>
              <w:start w:w="80" w:type="dxa"/>
              <w:bottom w:w="80" w:type="dxa"/>
              <w:end w:w="80" w:type="dxa"/>
            </w:tcMar>
            <w:shd w:fill="F3F5F7"/>
            <w:vAlign w:val="center"/>
          </w:tcPr>
          <w:p>
            <w:pPr>
              <w:pStyle w:val="TableText"/>
              <w:spacing w:after="30"/>
            </w:pPr>
            <w:r>
              <w:t>Event-triggered consensus and message suppression.</w:t>
            </w:r>
          </w:p>
        </w:tc>
        <w:tc>
          <w:tcPr>
            <w:tcW w:type="dxa" w:w="3408"/>
            <w:tcMar>
              <w:top w:w="80" w:type="dxa"/>
              <w:start w:w="80" w:type="dxa"/>
              <w:bottom w:w="80" w:type="dxa"/>
              <w:end w:w="80" w:type="dxa"/>
            </w:tcMar>
            <w:shd w:fill="F3F5F7"/>
            <w:vAlign w:val="center"/>
          </w:tcPr>
          <w:p>
            <w:pPr>
              <w:pStyle w:val="TableText"/>
              <w:spacing w:after="30"/>
            </w:pPr>
            <w:r>
              <w:t>Aznar et al. [9]; Sao et al. [10]; Li et al. [11].</w:t>
            </w:r>
          </w:p>
        </w:tc>
      </w:tr>
      <w:tr>
        <w:trPr>
          <w:cantSplit/>
        </w:trPr>
        <w:tc>
          <w:tcPr>
            <w:tcW w:type="dxa" w:w="3408"/>
            <w:tcMar>
              <w:top w:w="80" w:type="dxa"/>
              <w:start w:w="80" w:type="dxa"/>
              <w:bottom w:w="80" w:type="dxa"/>
              <w:end w:w="80" w:type="dxa"/>
            </w:tcMar>
            <w:vAlign w:val="center"/>
          </w:tcPr>
          <w:p>
            <w:pPr>
              <w:pStyle w:val="TableText"/>
              <w:spacing w:after="30"/>
            </w:pPr>
            <w:r>
              <w:t>How should physical-AI requests be batched under compute pressure?</w:t>
            </w:r>
          </w:p>
        </w:tc>
        <w:tc>
          <w:tcPr>
            <w:tcW w:type="dxa" w:w="3408"/>
            <w:tcMar>
              <w:top w:w="80" w:type="dxa"/>
              <w:start w:w="80" w:type="dxa"/>
              <w:bottom w:w="80" w:type="dxa"/>
              <w:end w:w="80" w:type="dxa"/>
            </w:tcMar>
            <w:vAlign w:val="center"/>
          </w:tcPr>
          <w:p>
            <w:pPr>
              <w:pStyle w:val="TableText"/>
              <w:spacing w:after="30"/>
            </w:pPr>
            <w:r>
              <w:t>Interrupt coalescing and closed-loop robot policy serving.</w:t>
            </w:r>
          </w:p>
        </w:tc>
        <w:tc>
          <w:tcPr>
            <w:tcW w:type="dxa" w:w="3408"/>
            <w:tcMar>
              <w:top w:w="80" w:type="dxa"/>
              <w:start w:w="80" w:type="dxa"/>
              <w:bottom w:w="80" w:type="dxa"/>
              <w:end w:w="80" w:type="dxa"/>
            </w:tcMar>
            <w:vAlign w:val="center"/>
          </w:tcPr>
          <w:p>
            <w:pPr>
              <w:pStyle w:val="TableText"/>
              <w:spacing w:after="30"/>
            </w:pPr>
            <w:r>
              <w:t>Tai et al. [13]; Bansal et al. [14].</w:t>
            </w:r>
          </w:p>
        </w:tc>
      </w:tr>
    </w:tbl>
    <w:p>
      <w:pPr>
        <w:pStyle w:val="Heading3"/>
        <w:keepNext/>
      </w:pPr>
      <w:r>
        <w:t>5.4.1 Dynamic trigger timing: the closest conceptual precedent</w:t>
      </w:r>
    </w:p>
    <w:p>
      <w:r>
        <w:rPr>
          <w:b/>
        </w:rPr>
        <w:t xml:space="preserve">Bai, Cao, and Yan [1] are the clearest precedent for asking when dynamic assignment should be updated. </w:t>
      </w:r>
      <w:r>
        <w:t>They compare event-triggered reassignment after newly generated targets with time-triggered reassignment at fixed intervals, under multiple target-arrival rates, and report travel-time advantages for event-triggered methods. This work prevents any claim that choosing real-time assignment instants is new.</w:t>
      </w:r>
    </w:p>
    <w:p>
      <w:r>
        <w:rPr>
          <w:b/>
        </w:rPr>
        <w:t xml:space="preserve">Difference from the current study. </w:t>
      </w:r>
      <w:r>
        <w:t>Bai et al. optimize vehicle travel and compare event versus periodic reassignment. The current paper instead introduces intentional admission coalescing between arrivals and decentralized allocation, uses task release-to-completion as the primary outcome, and asks when reduced allocator work repays that intentional wait. It also introduces hardware speed as a causal experimental factor.</w:t>
      </w:r>
    </w:p>
    <w:p>
      <w:r>
        <w:rPr>
          <w:b/>
        </w:rPr>
        <w:t xml:space="preserve">Use in the IPCCC paper. </w:t>
      </w:r>
      <w:r>
        <w:t>Cite [1] in the opening Related Work paragraph to acknowledge dynamic trigger scheduling. Then state that prior trigger studies did not characterize a service-latency/hardware crossover across multiple decentralized allocators.</w:t>
      </w:r>
    </w:p>
    <w:p>
      <w:r>
        <w:rPr>
          <w:b/>
        </w:rPr>
        <w:t xml:space="preserve">Hu, Li, and Qu [2] are an even closer recent title-level neighbor. </w:t>
      </w:r>
      <w:r>
        <w:t>Their 2025 Robotics and Autonomous Systems paper proposes event-triggered dynamic task allocation for multi-UAV tracking and explicitly motivates the trigger as a way to reduce real-time computational load. The available abstract establishes overlap in event-triggered task allocation and computation, but the full method is application-specific to moving-target tracking.</w:t>
      </w:r>
    </w:p>
    <w:p>
      <w:r>
        <w:rPr>
          <w:b/>
        </w:rPr>
        <w:t xml:space="preserve">Difference. </w:t>
      </w:r>
      <w:r>
        <w:t>The current paper does not trigger from tracking-error or target-motion conditions. It manipulates the admission cadence of stochastically arriving tasks, separates intentional wait from post-admission service, compares four allocator families, and directly times AGX and RP2040 execution.</w:t>
      </w:r>
    </w:p>
    <w:p>
      <w:pPr>
        <w:pStyle w:val="Heading3"/>
        <w:keepNext/>
      </w:pPr>
      <w:r>
        <w:t>5.4.2 Task bundling, solver batching, and stochastic service</w:t>
      </w:r>
    </w:p>
    <w:p>
      <w:r>
        <w:rPr>
          <w:b/>
        </w:rPr>
        <w:t xml:space="preserve">Nam and Shell [3] show that sequentially arriving stochastic tasks can be accumulated into execution bundles to trade task completion time against per-task route or service efficiency. </w:t>
      </w:r>
      <w:r>
        <w:t>Their robots wait because tasks are synergistic when executed together. The current project must therefore avoid claiming that waiting for multiple robot tasks is novel and should avoid the phrase “task bundling.”</w:t>
      </w:r>
    </w:p>
    <w:p>
      <w:r>
        <w:rPr>
          <w:b/>
        </w:rPr>
        <w:t xml:space="preserve">Critical distinction. </w:t>
      </w:r>
      <w:r>
        <w:t>The present tasks are not merged into a physical execution bundle. They remain independent tasks; only their admission into decentralized allocation is delayed. The benefit is reduced post-admission allocation/coordination burden, not route synergy by construction.</w:t>
      </w:r>
    </w:p>
    <w:p>
      <w:r>
        <w:rPr>
          <w:b/>
        </w:rPr>
        <w:t xml:space="preserve">Tuck et al. [4] process dynamic task streams with incremental SMT solving and explicitly evaluate batched online task inputs and solver runtime. </w:t>
      </w:r>
      <w:r>
        <w:t>This is the strongest precedent for “accumulate online tasks, then solve.” Their setting is a centralized, deadline- and capacity-constrained formal optimization problem. The current paper differs by applying one admission policy to four decentralized allocators, allowing downstream decisions and paths to diverge, and measuring causal service latency on embedded hardware.</w:t>
      </w:r>
    </w:p>
    <w:p>
      <w:r>
        <w:rPr>
          <w:b/>
        </w:rPr>
        <w:t xml:space="preserve">Botros et al. [12] are highly relevant to the modern metric framing. </w:t>
      </w:r>
      <w:r>
        <w:t>They study stochastic dynamic vehicle routing across load regimes and optimize mean and 95th-percentile task wait times, emphasizing that moderate-load quality of service differs from classical heavy-load stability. This does not duplicate the coalescing mechanism, but it strongly supports two choices in the current plan: online task service rather than whole-mission makespan as the primary outcome, and Q95 as a required tail check.</w:t>
      </w:r>
    </w:p>
    <w:p>
      <w:pPr>
        <w:pStyle w:val="Heading3"/>
        <w:keepNext/>
      </w:pPr>
      <w:r>
        <w:t>5.4.3 Computation-aware partial replanning</w:t>
      </w:r>
    </w:p>
    <w:p>
      <w:r>
        <w:rPr>
          <w:b/>
        </w:rPr>
        <w:t xml:space="preserve">Buckman, How, and Choi [5] reduce dynamic CBBA cost by controlling how much of the previous allocation is reset when new tasks appear. </w:t>
      </w:r>
      <w:r>
        <w:t>CBBA with Partial Replanning trades convergence time and communication burden against coordination quality. The controlled variable is replanning depth inside one allocator.</w:t>
      </w:r>
    </w:p>
    <w:p>
      <w:r>
        <w:rPr>
          <w:b/>
        </w:rPr>
        <w:t xml:space="preserve">The current paper controls a different layer. </w:t>
      </w:r>
      <w:r>
        <w:t>It decides when released tasks become visible to an otherwise unchanged allocator. The two ideas are complementary: one controls invocation cadence, while the other controls the amount of state reconsidered per invocation.</w:t>
      </w:r>
    </w:p>
    <w:p>
      <w:r>
        <w:rPr>
          <w:b/>
        </w:rPr>
        <w:t xml:space="preserve">Thorne and Lopez [6] similarly avoid expensive full reoptimization by using partial reassignment and invoking complete MRTA/MAPF optimization only when a makespan-quality bound is exceeded. </w:t>
      </w:r>
      <w:r>
        <w:t>Their result establishes the broad need to prevent computationally expensive eager replanning. The present paper contributes a different empirical question: can a generic admission delay improve actual online task service once hardware time is included?</w:t>
      </w:r>
    </w:p>
    <w:p>
      <w:r>
        <w:rPr>
          <w:b/>
        </w:rPr>
        <w:t xml:space="preserve">SCoBA [7] and the online fleet architecture of Forte et al. [8] provide broader context. </w:t>
      </w:r>
      <w:r>
        <w:t>They show that allocation can be interleaved with execution and that computational overhead matters in dynamic multi-robot operation. They are not direct coalescing precedents, but they help prevent the paper from implying that causal online execution is new by itself.</w:t>
      </w:r>
    </w:p>
    <w:p>
      <w:pPr>
        <w:pStyle w:val="Heading3"/>
        <w:keepNext/>
      </w:pPr>
      <w:r>
        <w:t>5.4.4 Event-triggered consensus and communication</w:t>
      </w:r>
    </w:p>
    <w:p>
      <w:r>
        <w:rPr>
          <w:b/>
        </w:rPr>
        <w:t xml:space="preserve">Aznar, Pujol, and Díez [9] adapt the frequency of CBBA-style consensus communication to significant events and environmental conflict. </w:t>
      </w:r>
      <w:r>
        <w:t>Their central resource is network negotiation, and their reported gains are communication efficiency and resilience. Sao et al. [10] likewise suppress CBBA broadcasts unless allocation state changes, reducing transmissions while preserving CBBA solution quality.</w:t>
      </w:r>
    </w:p>
    <w:p>
      <w:r>
        <w:rPr>
          <w:b/>
        </w:rPr>
        <w:t xml:space="preserve">Difference. </w:t>
      </w:r>
      <w:r>
        <w:t>The current scheduler acts before negotiation by deciding when new tasks enter the allocation process. It can intentionally change task service, assignments, and paths. Its primary resource metric is allocator processor work rather than message count.</w:t>
      </w:r>
    </w:p>
    <w:p>
      <w:r>
        <w:rPr>
          <w:b/>
        </w:rPr>
        <w:t xml:space="preserve">Li et al. [11] add event-triggered warm-start rescheduling with bounded trigger frequency for faults, priority arrivals, and energy deviations. </w:t>
      </w:r>
      <w:r>
        <w:t>The distinction from the current W=5 policy must be explicit: a minimum inter-trigger interval prevents rescheduling too frequently, whereas the present timeout is a maximum pending-task age that prevents waiting too long.</w:t>
      </w:r>
    </w:p>
    <w:p>
      <w:pPr>
        <w:pStyle w:val="Heading3"/>
        <w:keepNext/>
      </w:pPr>
      <w:r>
        <w:t>5.4.5 Systems batching and robot-serving literature</w:t>
      </w:r>
    </w:p>
    <w:p>
      <w:r>
        <w:rPr>
          <w:b/>
        </w:rPr>
        <w:t xml:space="preserve">Tai et al. [13] provide the cleanest systems analogy. </w:t>
      </w:r>
      <w:r>
        <w:t>Interrupt coalescing delays completion notification to amortize CPU overhead, creating a direct throughput/latency tradeoff. Their calibrated-interrupt work also shows why static coalescing can fail across heterogeneous or latency-sensitive workloads. This literature supports the current engineering principle that policy strength should respond to load and semantic urgency.</w:t>
      </w:r>
    </w:p>
    <w:p>
      <w:r>
        <w:rPr>
          <w:b/>
        </w:rPr>
        <w:t xml:space="preserve">Bansal et al. [14], posted in July 2026, are especially important because they move batching into closed-loop robotics. </w:t>
      </w:r>
      <w:r>
        <w:t>Their Armory system batches robot-policy inference on a remote GPU and shows that batching efficiency, starvation, and responsiveness depend on robot/task heterogeneity. This narrows the broad claim: the current paper is not the first to show that robot batching must be closed-loop and workload-aware.</w:t>
      </w:r>
    </w:p>
    <w:p>
      <w:r>
        <w:rPr>
          <w:b/>
        </w:rPr>
        <w:t xml:space="preserve">Distinct contribution after considering Armory. </w:t>
      </w:r>
      <w:r>
        <w:t>Armory schedules centralized GPU inference requests from multiple robots. The current work schedules admission of online mission tasks into decentralized MRTA running on per-robot embedded processors, evaluates task release-to-physical-completion, and shows that the sign of the service effect changes with device speed and allocator complexity.</w:t>
      </w:r>
    </w:p>
    <w:p>
      <w:pPr>
        <w:pStyle w:val="Heading2"/>
        <w:keepNext/>
      </w:pPr>
      <w:r>
        <w:t>5.5 Direct novelty comparison matrix</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blHeader w:val="true"/>
          <w:cantSplit/>
        </w:trPr>
        <w:tc>
          <w:tcPr>
            <w:tcW w:type="dxa" w:w="1461"/>
            <w:shd w:fill="193B63"/>
            <w:vAlign w:val="center"/>
          </w:tcPr>
          <w:p>
            <w:pPr>
              <w:spacing w:after="30"/>
            </w:pPr>
            <w:r>
              <w:rPr>
                <w:b/>
                <w:color w:val="FFFFFF"/>
                <w:sz w:val="14"/>
              </w:rPr>
              <w:t>Work</w:t>
            </w:r>
          </w:p>
        </w:tc>
        <w:tc>
          <w:tcPr>
            <w:tcW w:type="dxa" w:w="1461"/>
            <w:shd w:fill="193B63"/>
            <w:vAlign w:val="center"/>
          </w:tcPr>
          <w:p>
            <w:pPr>
              <w:spacing w:after="30"/>
            </w:pPr>
            <w:r>
              <w:rPr>
                <w:b/>
                <w:color w:val="FFFFFF"/>
                <w:sz w:val="14"/>
              </w:rPr>
              <w:t>Online stochastic arrivals</w:t>
            </w:r>
          </w:p>
        </w:tc>
        <w:tc>
          <w:tcPr>
            <w:tcW w:type="dxa" w:w="1461"/>
            <w:shd w:fill="193B63"/>
            <w:vAlign w:val="center"/>
          </w:tcPr>
          <w:p>
            <w:pPr>
              <w:spacing w:after="30"/>
            </w:pPr>
            <w:r>
              <w:rPr>
                <w:b/>
                <w:color w:val="FFFFFF"/>
                <w:sz w:val="14"/>
              </w:rPr>
              <w:t>Intentional waiting / batching</w:t>
            </w:r>
          </w:p>
        </w:tc>
        <w:tc>
          <w:tcPr>
            <w:tcW w:type="dxa" w:w="1461"/>
            <w:shd w:fill="193B63"/>
            <w:vAlign w:val="center"/>
          </w:tcPr>
          <w:p>
            <w:pPr>
              <w:spacing w:after="30"/>
            </w:pPr>
            <w:r>
              <w:rPr>
                <w:b/>
                <w:color w:val="FFFFFF"/>
                <w:sz w:val="14"/>
              </w:rPr>
              <w:t>Primary outcome</w:t>
            </w:r>
          </w:p>
        </w:tc>
        <w:tc>
          <w:tcPr>
            <w:tcW w:type="dxa" w:w="1461"/>
            <w:shd w:fill="193B63"/>
            <w:vAlign w:val="center"/>
          </w:tcPr>
          <w:p>
            <w:pPr>
              <w:spacing w:after="30"/>
            </w:pPr>
            <w:r>
              <w:rPr>
                <w:b/>
                <w:color w:val="FFFFFF"/>
                <w:sz w:val="14"/>
              </w:rPr>
              <w:t>Real embedded timing</w:t>
            </w:r>
          </w:p>
        </w:tc>
        <w:tc>
          <w:tcPr>
            <w:tcW w:type="dxa" w:w="1461"/>
            <w:shd w:fill="193B63"/>
            <w:vAlign w:val="center"/>
          </w:tcPr>
          <w:p>
            <w:pPr>
              <w:spacing w:after="30"/>
            </w:pPr>
            <w:r>
              <w:rPr>
                <w:b/>
                <w:color w:val="FFFFFF"/>
                <w:sz w:val="14"/>
              </w:rPr>
              <w:t>Multiple decentralized allocators</w:t>
            </w:r>
          </w:p>
        </w:tc>
        <w:tc>
          <w:tcPr>
            <w:tcW w:type="dxa" w:w="1461"/>
            <w:shd w:fill="193B63"/>
            <w:vAlign w:val="center"/>
          </w:tcPr>
          <w:p>
            <w:pPr>
              <w:spacing w:after="30"/>
            </w:pPr>
            <w:r>
              <w:rPr>
                <w:b/>
                <w:color w:val="FFFFFF"/>
                <w:sz w:val="14"/>
              </w:rPr>
              <w:t>Key boundary from this paper</w:t>
            </w:r>
          </w:p>
        </w:tc>
      </w:tr>
      <w:tr>
        <w:trPr>
          <w:cantSplit/>
        </w:trPr>
        <w:tc>
          <w:tcPr>
            <w:tcW w:type="dxa" w:w="1461"/>
            <w:tcMar>
              <w:top w:w="60" w:type="dxa"/>
              <w:start w:w="55" w:type="dxa"/>
              <w:bottom w:w="60" w:type="dxa"/>
              <w:end w:w="55" w:type="dxa"/>
            </w:tcMar>
            <w:vAlign w:val="center"/>
          </w:tcPr>
          <w:p>
            <w:pPr>
              <w:pStyle w:val="TableText"/>
              <w:spacing w:after="30"/>
            </w:pPr>
            <w:r>
              <w:rPr>
                <w:sz w:val="14"/>
              </w:rPr>
              <w:t>Bai et al. [1]</w:t>
            </w:r>
          </w:p>
        </w:tc>
        <w:tc>
          <w:tcPr>
            <w:tcW w:type="dxa" w:w="1461"/>
            <w:tcMar>
              <w:top w:w="60" w:type="dxa"/>
              <w:start w:w="55" w:type="dxa"/>
              <w:bottom w:w="60" w:type="dxa"/>
              <w:end w:w="55" w:type="dxa"/>
            </w:tcMar>
            <w:vAlign w:val="center"/>
          </w:tcPr>
          <w:p>
            <w:pPr>
              <w:pStyle w:val="TableText"/>
              <w:spacing w:after="30"/>
            </w:pPr>
            <w:r>
              <w:rPr>
                <w:sz w:val="14"/>
              </w:rPr>
              <w:t>Yes</w:t>
            </w:r>
          </w:p>
        </w:tc>
        <w:tc>
          <w:tcPr>
            <w:tcW w:type="dxa" w:w="1461"/>
            <w:tcMar>
              <w:top w:w="60" w:type="dxa"/>
              <w:start w:w="55" w:type="dxa"/>
              <w:bottom w:w="60" w:type="dxa"/>
              <w:end w:w="55" w:type="dxa"/>
            </w:tcMar>
            <w:vAlign w:val="center"/>
          </w:tcPr>
          <w:p>
            <w:pPr>
              <w:pStyle w:val="TableText"/>
              <w:spacing w:after="30"/>
            </w:pPr>
            <w:r>
              <w:rPr>
                <w:sz w:val="14"/>
              </w:rPr>
              <w:t>Event vs fixed-time reassignment</w:t>
            </w:r>
          </w:p>
        </w:tc>
        <w:tc>
          <w:tcPr>
            <w:tcW w:type="dxa" w:w="1461"/>
            <w:tcMar>
              <w:top w:w="60" w:type="dxa"/>
              <w:start w:w="55" w:type="dxa"/>
              <w:bottom w:w="60" w:type="dxa"/>
              <w:end w:w="55" w:type="dxa"/>
            </w:tcMar>
            <w:vAlign w:val="center"/>
          </w:tcPr>
          <w:p>
            <w:pPr>
              <w:pStyle w:val="TableText"/>
              <w:spacing w:after="30"/>
            </w:pPr>
            <w:r>
              <w:rPr>
                <w:sz w:val="14"/>
              </w:rPr>
              <w:t>Total vehicle travel</w:t>
            </w:r>
          </w:p>
        </w:tc>
        <w:tc>
          <w:tcPr>
            <w:tcW w:type="dxa" w:w="1461"/>
            <w:tcMar>
              <w:top w:w="60" w:type="dxa"/>
              <w:start w:w="55" w:type="dxa"/>
              <w:bottom w:w="60" w:type="dxa"/>
              <w:end w:w="55" w:type="dxa"/>
            </w:tcMar>
            <w:vAlign w:val="center"/>
          </w:tcPr>
          <w:p>
            <w:pPr>
              <w:pStyle w:val="TableText"/>
              <w:spacing w:after="30"/>
            </w:pPr>
            <w:r>
              <w:rPr>
                <w:sz w:val="14"/>
              </w:rPr>
              <w:t>No</w:t>
            </w:r>
          </w:p>
        </w:tc>
        <w:tc>
          <w:tcPr>
            <w:tcW w:type="dxa" w:w="1461"/>
            <w:tcMar>
              <w:top w:w="60" w:type="dxa"/>
              <w:start w:w="55" w:type="dxa"/>
              <w:bottom w:w="60" w:type="dxa"/>
              <w:end w:w="55" w:type="dxa"/>
            </w:tcMar>
            <w:vAlign w:val="center"/>
          </w:tcPr>
          <w:p>
            <w:pPr>
              <w:pStyle w:val="TableText"/>
              <w:spacing w:after="30"/>
            </w:pPr>
            <w:r>
              <w:rPr>
                <w:sz w:val="14"/>
              </w:rPr>
              <w:t>No</w:t>
            </w:r>
          </w:p>
        </w:tc>
        <w:tc>
          <w:tcPr>
            <w:tcW w:type="dxa" w:w="1461"/>
            <w:tcMar>
              <w:top w:w="60" w:type="dxa"/>
              <w:start w:w="55" w:type="dxa"/>
              <w:bottom w:w="60" w:type="dxa"/>
              <w:end w:w="55" w:type="dxa"/>
            </w:tcMar>
            <w:vAlign w:val="center"/>
          </w:tcPr>
          <w:p>
            <w:pPr>
              <w:pStyle w:val="TableText"/>
              <w:spacing w:after="30"/>
            </w:pPr>
            <w:r>
              <w:rPr>
                <w:sz w:val="14"/>
              </w:rPr>
              <w:t>Does not study causal task-service latency or device-dependent crossover.</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Hu et al. [2]</w:t>
            </w:r>
          </w:p>
        </w:tc>
        <w:tc>
          <w:tcPr>
            <w:tcW w:type="dxa" w:w="1461"/>
            <w:tcMar>
              <w:top w:w="60" w:type="dxa"/>
              <w:start w:w="55" w:type="dxa"/>
              <w:bottom w:w="60" w:type="dxa"/>
              <w:end w:w="55" w:type="dxa"/>
            </w:tcMar>
            <w:shd w:fill="F3F5F7"/>
            <w:vAlign w:val="center"/>
          </w:tcPr>
          <w:p>
            <w:pPr>
              <w:pStyle w:val="TableText"/>
              <w:spacing w:after="30"/>
            </w:pPr>
            <w:r>
              <w:rPr>
                <w:sz w:val="14"/>
              </w:rPr>
              <w:t>Dynamic targets</w:t>
            </w:r>
          </w:p>
        </w:tc>
        <w:tc>
          <w:tcPr>
            <w:tcW w:type="dxa" w:w="1461"/>
            <w:tcMar>
              <w:top w:w="60" w:type="dxa"/>
              <w:start w:w="55" w:type="dxa"/>
              <w:bottom w:w="60" w:type="dxa"/>
              <w:end w:w="55" w:type="dxa"/>
            </w:tcMar>
            <w:shd w:fill="F3F5F7"/>
            <w:vAlign w:val="center"/>
          </w:tcPr>
          <w:p>
            <w:pPr>
              <w:pStyle w:val="TableText"/>
              <w:spacing w:after="30"/>
            </w:pPr>
            <w:r>
              <w:rPr>
                <w:sz w:val="14"/>
              </w:rPr>
              <w:t>Event-triggered update</w:t>
            </w:r>
          </w:p>
        </w:tc>
        <w:tc>
          <w:tcPr>
            <w:tcW w:type="dxa" w:w="1461"/>
            <w:tcMar>
              <w:top w:w="60" w:type="dxa"/>
              <w:start w:w="55" w:type="dxa"/>
              <w:bottom w:w="60" w:type="dxa"/>
              <w:end w:w="55" w:type="dxa"/>
            </w:tcMar>
            <w:shd w:fill="F3F5F7"/>
            <w:vAlign w:val="center"/>
          </w:tcPr>
          <w:p>
            <w:pPr>
              <w:pStyle w:val="TableText"/>
              <w:spacing w:after="30"/>
            </w:pPr>
            <w:r>
              <w:rPr>
                <w:sz w:val="14"/>
              </w:rPr>
              <w:t>Tracking/allocation performance</w:t>
            </w:r>
          </w:p>
        </w:tc>
        <w:tc>
          <w:tcPr>
            <w:tcW w:type="dxa" w:w="1461"/>
            <w:tcMar>
              <w:top w:w="60" w:type="dxa"/>
              <w:start w:w="55" w:type="dxa"/>
              <w:bottom w:w="60" w:type="dxa"/>
              <w:end w:w="55" w:type="dxa"/>
            </w:tcMar>
            <w:shd w:fill="F3F5F7"/>
            <w:vAlign w:val="center"/>
          </w:tcPr>
          <w:p>
            <w:pPr>
              <w:pStyle w:val="TableText"/>
              <w:spacing w:after="30"/>
            </w:pPr>
            <w:r>
              <w:rPr>
                <w:sz w:val="14"/>
              </w:rPr>
              <w:t>Not established in accessible source</w:t>
            </w:r>
          </w:p>
        </w:tc>
        <w:tc>
          <w:tcPr>
            <w:tcW w:type="dxa" w:w="1461"/>
            <w:tcMar>
              <w:top w:w="60" w:type="dxa"/>
              <w:start w:w="55" w:type="dxa"/>
              <w:bottom w:w="60" w:type="dxa"/>
              <w:end w:w="55" w:type="dxa"/>
            </w:tcMar>
            <w:shd w:fill="F3F5F7"/>
            <w:vAlign w:val="center"/>
          </w:tcPr>
          <w:p>
            <w:pPr>
              <w:pStyle w:val="TableText"/>
              <w:spacing w:after="30"/>
            </w:pPr>
            <w:r>
              <w:rPr>
                <w:sz w:val="14"/>
              </w:rPr>
              <w:t>No</w:t>
            </w:r>
          </w:p>
        </w:tc>
        <w:tc>
          <w:tcPr>
            <w:tcW w:type="dxa" w:w="1461"/>
            <w:tcMar>
              <w:top w:w="60" w:type="dxa"/>
              <w:start w:w="55" w:type="dxa"/>
              <w:bottom w:w="60" w:type="dxa"/>
              <w:end w:w="55" w:type="dxa"/>
            </w:tcMar>
            <w:shd w:fill="F3F5F7"/>
            <w:vAlign w:val="center"/>
          </w:tcPr>
          <w:p>
            <w:pPr>
              <w:pStyle w:val="TableText"/>
              <w:spacing w:after="30"/>
            </w:pPr>
            <w:r>
              <w:rPr>
                <w:sz w:val="14"/>
              </w:rPr>
              <w:t>Application-specific event trigger; not count/age admission across loads.</w:t>
            </w:r>
          </w:p>
        </w:tc>
      </w:tr>
      <w:tr>
        <w:trPr>
          <w:cantSplit/>
        </w:trPr>
        <w:tc>
          <w:tcPr>
            <w:tcW w:type="dxa" w:w="1461"/>
            <w:tcMar>
              <w:top w:w="60" w:type="dxa"/>
              <w:start w:w="55" w:type="dxa"/>
              <w:bottom w:w="60" w:type="dxa"/>
              <w:end w:w="55" w:type="dxa"/>
            </w:tcMar>
            <w:vAlign w:val="center"/>
          </w:tcPr>
          <w:p>
            <w:pPr>
              <w:pStyle w:val="TableText"/>
              <w:spacing w:after="30"/>
            </w:pPr>
            <w:r>
              <w:rPr>
                <w:sz w:val="14"/>
              </w:rPr>
              <w:t>Nam &amp; Shell [3]</w:t>
            </w:r>
          </w:p>
        </w:tc>
        <w:tc>
          <w:tcPr>
            <w:tcW w:type="dxa" w:w="1461"/>
            <w:tcMar>
              <w:top w:w="60" w:type="dxa"/>
              <w:start w:w="55" w:type="dxa"/>
              <w:bottom w:w="60" w:type="dxa"/>
              <w:end w:w="55" w:type="dxa"/>
            </w:tcMar>
            <w:vAlign w:val="center"/>
          </w:tcPr>
          <w:p>
            <w:pPr>
              <w:pStyle w:val="TableText"/>
              <w:spacing w:after="30"/>
            </w:pPr>
            <w:r>
              <w:rPr>
                <w:sz w:val="14"/>
              </w:rPr>
              <w:t>Yes</w:t>
            </w:r>
          </w:p>
        </w:tc>
        <w:tc>
          <w:tcPr>
            <w:tcW w:type="dxa" w:w="1461"/>
            <w:tcMar>
              <w:top w:w="60" w:type="dxa"/>
              <w:start w:w="55" w:type="dxa"/>
              <w:bottom w:w="60" w:type="dxa"/>
              <w:end w:w="55" w:type="dxa"/>
            </w:tcMar>
            <w:vAlign w:val="center"/>
          </w:tcPr>
          <w:p>
            <w:pPr>
              <w:pStyle w:val="TableText"/>
              <w:spacing w:after="30"/>
            </w:pPr>
            <w:r>
              <w:rPr>
                <w:sz w:val="14"/>
              </w:rPr>
              <w:t>Execution bundles</w:t>
            </w:r>
          </w:p>
        </w:tc>
        <w:tc>
          <w:tcPr>
            <w:tcW w:type="dxa" w:w="1461"/>
            <w:tcMar>
              <w:top w:w="60" w:type="dxa"/>
              <w:start w:w="55" w:type="dxa"/>
              <w:bottom w:w="60" w:type="dxa"/>
              <w:end w:w="55" w:type="dxa"/>
            </w:tcMar>
            <w:vAlign w:val="center"/>
          </w:tcPr>
          <w:p>
            <w:pPr>
              <w:pStyle w:val="TableText"/>
              <w:spacing w:after="30"/>
            </w:pPr>
            <w:r>
              <w:rPr>
                <w:sz w:val="14"/>
              </w:rPr>
              <w:t>Task completion vs execution cost</w:t>
            </w:r>
          </w:p>
        </w:tc>
        <w:tc>
          <w:tcPr>
            <w:tcW w:type="dxa" w:w="1461"/>
            <w:tcMar>
              <w:top w:w="60" w:type="dxa"/>
              <w:start w:w="55" w:type="dxa"/>
              <w:bottom w:w="60" w:type="dxa"/>
              <w:end w:w="55" w:type="dxa"/>
            </w:tcMar>
            <w:vAlign w:val="center"/>
          </w:tcPr>
          <w:p>
            <w:pPr>
              <w:pStyle w:val="TableText"/>
              <w:spacing w:after="30"/>
            </w:pPr>
            <w:r>
              <w:rPr>
                <w:sz w:val="14"/>
              </w:rPr>
              <w:t>No</w:t>
            </w:r>
          </w:p>
        </w:tc>
        <w:tc>
          <w:tcPr>
            <w:tcW w:type="dxa" w:w="1461"/>
            <w:tcMar>
              <w:top w:w="60" w:type="dxa"/>
              <w:start w:w="55" w:type="dxa"/>
              <w:bottom w:w="60" w:type="dxa"/>
              <w:end w:w="55" w:type="dxa"/>
            </w:tcMar>
            <w:vAlign w:val="center"/>
          </w:tcPr>
          <w:p>
            <w:pPr>
              <w:pStyle w:val="TableText"/>
              <w:spacing w:after="30"/>
            </w:pPr>
            <w:r>
              <w:rPr>
                <w:sz w:val="14"/>
              </w:rPr>
              <w:t>Policy family, not allocator family</w:t>
            </w:r>
          </w:p>
        </w:tc>
        <w:tc>
          <w:tcPr>
            <w:tcW w:type="dxa" w:w="1461"/>
            <w:tcMar>
              <w:top w:w="60" w:type="dxa"/>
              <w:start w:w="55" w:type="dxa"/>
              <w:bottom w:w="60" w:type="dxa"/>
              <w:end w:w="55" w:type="dxa"/>
            </w:tcMar>
            <w:vAlign w:val="center"/>
          </w:tcPr>
          <w:p>
            <w:pPr>
              <w:pStyle w:val="TableText"/>
              <w:spacing w:after="30"/>
            </w:pPr>
            <w:r>
              <w:rPr>
                <w:sz w:val="14"/>
              </w:rPr>
              <w:t>Bundles physical service rather than allocator admission.</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Tuck et al. [4]</w:t>
            </w:r>
          </w:p>
        </w:tc>
        <w:tc>
          <w:tcPr>
            <w:tcW w:type="dxa" w:w="1461"/>
            <w:tcMar>
              <w:top w:w="60" w:type="dxa"/>
              <w:start w:w="55" w:type="dxa"/>
              <w:bottom w:w="60" w:type="dxa"/>
              <w:end w:w="55" w:type="dxa"/>
            </w:tcMar>
            <w:shd w:fill="F3F5F7"/>
            <w:vAlign w:val="center"/>
          </w:tcPr>
          <w:p>
            <w:pPr>
              <w:pStyle w:val="TableText"/>
              <w:spacing w:after="30"/>
            </w:pPr>
            <w:r>
              <w:rPr>
                <w:sz w:val="14"/>
              </w:rPr>
              <w:t>Yes</w:t>
            </w:r>
          </w:p>
        </w:tc>
        <w:tc>
          <w:tcPr>
            <w:tcW w:type="dxa" w:w="1461"/>
            <w:tcMar>
              <w:top w:w="60" w:type="dxa"/>
              <w:start w:w="55" w:type="dxa"/>
              <w:bottom w:w="60" w:type="dxa"/>
              <w:end w:w="55" w:type="dxa"/>
            </w:tcMar>
            <w:shd w:fill="F3F5F7"/>
            <w:vAlign w:val="center"/>
          </w:tcPr>
          <w:p>
            <w:pPr>
              <w:pStyle w:val="TableText"/>
              <w:spacing w:after="30"/>
            </w:pPr>
            <w:r>
              <w:rPr>
                <w:sz w:val="14"/>
              </w:rPr>
              <w:t>Task batches to SMT solver</w:t>
            </w:r>
          </w:p>
        </w:tc>
        <w:tc>
          <w:tcPr>
            <w:tcW w:type="dxa" w:w="1461"/>
            <w:tcMar>
              <w:top w:w="60" w:type="dxa"/>
              <w:start w:w="55" w:type="dxa"/>
              <w:bottom w:w="60" w:type="dxa"/>
              <w:end w:w="55" w:type="dxa"/>
            </w:tcMar>
            <w:shd w:fill="F3F5F7"/>
            <w:vAlign w:val="center"/>
          </w:tcPr>
          <w:p>
            <w:pPr>
              <w:pStyle w:val="TableText"/>
              <w:spacing w:after="30"/>
            </w:pPr>
            <w:r>
              <w:rPr>
                <w:sz w:val="14"/>
              </w:rPr>
              <w:t>Feasibility and solver runtime</w:t>
            </w:r>
          </w:p>
        </w:tc>
        <w:tc>
          <w:tcPr>
            <w:tcW w:type="dxa" w:w="1461"/>
            <w:tcMar>
              <w:top w:w="60" w:type="dxa"/>
              <w:start w:w="55" w:type="dxa"/>
              <w:bottom w:w="60" w:type="dxa"/>
              <w:end w:w="55" w:type="dxa"/>
            </w:tcMar>
            <w:shd w:fill="F3F5F7"/>
            <w:vAlign w:val="center"/>
          </w:tcPr>
          <w:p>
            <w:pPr>
              <w:pStyle w:val="TableText"/>
              <w:spacing w:after="30"/>
            </w:pPr>
            <w:r>
              <w:rPr>
                <w:sz w:val="14"/>
              </w:rPr>
              <w:t>No</w:t>
            </w:r>
          </w:p>
        </w:tc>
        <w:tc>
          <w:tcPr>
            <w:tcW w:type="dxa" w:w="1461"/>
            <w:tcMar>
              <w:top w:w="60" w:type="dxa"/>
              <w:start w:w="55" w:type="dxa"/>
              <w:bottom w:w="60" w:type="dxa"/>
              <w:end w:w="55" w:type="dxa"/>
            </w:tcMar>
            <w:shd w:fill="F3F5F7"/>
            <w:vAlign w:val="center"/>
          </w:tcPr>
          <w:p>
            <w:pPr>
              <w:pStyle w:val="TableText"/>
              <w:spacing w:after="30"/>
            </w:pPr>
            <w:r>
              <w:rPr>
                <w:sz w:val="14"/>
              </w:rPr>
              <w:t>No</w:t>
            </w:r>
          </w:p>
        </w:tc>
        <w:tc>
          <w:tcPr>
            <w:tcW w:type="dxa" w:w="1461"/>
            <w:tcMar>
              <w:top w:w="60" w:type="dxa"/>
              <w:start w:w="55" w:type="dxa"/>
              <w:bottom w:w="60" w:type="dxa"/>
              <w:end w:w="55" w:type="dxa"/>
            </w:tcMar>
            <w:shd w:fill="F3F5F7"/>
            <w:vAlign w:val="center"/>
          </w:tcPr>
          <w:p>
            <w:pPr>
              <w:pStyle w:val="TableText"/>
              <w:spacing w:after="30"/>
            </w:pPr>
            <w:r>
              <w:rPr>
                <w:sz w:val="14"/>
              </w:rPr>
              <w:t>Central formal solver; one batch/solve relation differs from decentralized service chain.</w:t>
            </w:r>
          </w:p>
        </w:tc>
      </w:tr>
      <w:tr>
        <w:trPr>
          <w:cantSplit/>
        </w:trPr>
        <w:tc>
          <w:tcPr>
            <w:tcW w:type="dxa" w:w="1461"/>
            <w:tcMar>
              <w:top w:w="60" w:type="dxa"/>
              <w:start w:w="55" w:type="dxa"/>
              <w:bottom w:w="60" w:type="dxa"/>
              <w:end w:w="55" w:type="dxa"/>
            </w:tcMar>
            <w:vAlign w:val="center"/>
          </w:tcPr>
          <w:p>
            <w:pPr>
              <w:pStyle w:val="TableText"/>
              <w:spacing w:after="30"/>
            </w:pPr>
            <w:r>
              <w:rPr>
                <w:sz w:val="14"/>
              </w:rPr>
              <w:t>Buckman et al. [5]</w:t>
            </w:r>
          </w:p>
        </w:tc>
        <w:tc>
          <w:tcPr>
            <w:tcW w:type="dxa" w:w="1461"/>
            <w:tcMar>
              <w:top w:w="60" w:type="dxa"/>
              <w:start w:w="55" w:type="dxa"/>
              <w:bottom w:w="60" w:type="dxa"/>
              <w:end w:w="55" w:type="dxa"/>
            </w:tcMar>
            <w:vAlign w:val="center"/>
          </w:tcPr>
          <w:p>
            <w:pPr>
              <w:pStyle w:val="TableText"/>
              <w:spacing w:after="30"/>
            </w:pPr>
            <w:r>
              <w:rPr>
                <w:sz w:val="14"/>
              </w:rPr>
              <w:t>Yes</w:t>
            </w:r>
          </w:p>
        </w:tc>
        <w:tc>
          <w:tcPr>
            <w:tcW w:type="dxa" w:w="1461"/>
            <w:tcMar>
              <w:top w:w="60" w:type="dxa"/>
              <w:start w:w="55" w:type="dxa"/>
              <w:bottom w:w="60" w:type="dxa"/>
              <w:end w:w="55" w:type="dxa"/>
            </w:tcMar>
            <w:vAlign w:val="center"/>
          </w:tcPr>
          <w:p>
            <w:pPr>
              <w:pStyle w:val="TableText"/>
              <w:spacing w:after="30"/>
            </w:pPr>
            <w:r>
              <w:rPr>
                <w:sz w:val="14"/>
              </w:rPr>
              <w:t>No; partial state reset</w:t>
            </w:r>
          </w:p>
        </w:tc>
        <w:tc>
          <w:tcPr>
            <w:tcW w:type="dxa" w:w="1461"/>
            <w:tcMar>
              <w:top w:w="60" w:type="dxa"/>
              <w:start w:w="55" w:type="dxa"/>
              <w:bottom w:w="60" w:type="dxa"/>
              <w:end w:w="55" w:type="dxa"/>
            </w:tcMar>
            <w:vAlign w:val="center"/>
          </w:tcPr>
          <w:p>
            <w:pPr>
              <w:pStyle w:val="TableText"/>
              <w:spacing w:after="30"/>
            </w:pPr>
            <w:r>
              <w:rPr>
                <w:sz w:val="14"/>
              </w:rPr>
              <w:t>Convergence/runtime and solution quality</w:t>
            </w:r>
          </w:p>
        </w:tc>
        <w:tc>
          <w:tcPr>
            <w:tcW w:type="dxa" w:w="1461"/>
            <w:tcMar>
              <w:top w:w="60" w:type="dxa"/>
              <w:start w:w="55" w:type="dxa"/>
              <w:bottom w:w="60" w:type="dxa"/>
              <w:end w:w="55" w:type="dxa"/>
            </w:tcMar>
            <w:vAlign w:val="center"/>
          </w:tcPr>
          <w:p>
            <w:pPr>
              <w:pStyle w:val="TableText"/>
              <w:spacing w:after="30"/>
            </w:pPr>
            <w:r>
              <w:rPr>
                <w:sz w:val="14"/>
              </w:rPr>
              <w:t>No</w:t>
            </w:r>
          </w:p>
        </w:tc>
        <w:tc>
          <w:tcPr>
            <w:tcW w:type="dxa" w:w="1461"/>
            <w:tcMar>
              <w:top w:w="60" w:type="dxa"/>
              <w:start w:w="55" w:type="dxa"/>
              <w:bottom w:w="60" w:type="dxa"/>
              <w:end w:w="55" w:type="dxa"/>
            </w:tcMar>
            <w:vAlign w:val="center"/>
          </w:tcPr>
          <w:p>
            <w:pPr>
              <w:pStyle w:val="TableText"/>
              <w:spacing w:after="30"/>
            </w:pPr>
            <w:r>
              <w:rPr>
                <w:sz w:val="14"/>
              </w:rPr>
              <w:t>CBBA only</w:t>
            </w:r>
          </w:p>
        </w:tc>
        <w:tc>
          <w:tcPr>
            <w:tcW w:type="dxa" w:w="1461"/>
            <w:tcMar>
              <w:top w:w="60" w:type="dxa"/>
              <w:start w:w="55" w:type="dxa"/>
              <w:bottom w:w="60" w:type="dxa"/>
              <w:end w:w="55" w:type="dxa"/>
            </w:tcMar>
            <w:vAlign w:val="center"/>
          </w:tcPr>
          <w:p>
            <w:pPr>
              <w:pStyle w:val="TableText"/>
              <w:spacing w:after="30"/>
            </w:pPr>
            <w:r>
              <w:rPr>
                <w:sz w:val="14"/>
              </w:rPr>
              <w:t>Controls how much to replan, not when to admit.</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Thorne &amp; Lopez [6]</w:t>
            </w:r>
          </w:p>
        </w:tc>
        <w:tc>
          <w:tcPr>
            <w:tcW w:type="dxa" w:w="1461"/>
            <w:tcMar>
              <w:top w:w="60" w:type="dxa"/>
              <w:start w:w="55" w:type="dxa"/>
              <w:bottom w:w="60" w:type="dxa"/>
              <w:end w:w="55" w:type="dxa"/>
            </w:tcMar>
            <w:shd w:fill="F3F5F7"/>
            <w:vAlign w:val="center"/>
          </w:tcPr>
          <w:p>
            <w:pPr>
              <w:pStyle w:val="TableText"/>
              <w:spacing w:after="30"/>
            </w:pPr>
            <w:r>
              <w:rPr>
                <w:sz w:val="14"/>
              </w:rPr>
              <w:t>Yes</w:t>
            </w:r>
          </w:p>
        </w:tc>
        <w:tc>
          <w:tcPr>
            <w:tcW w:type="dxa" w:w="1461"/>
            <w:tcMar>
              <w:top w:w="60" w:type="dxa"/>
              <w:start w:w="55" w:type="dxa"/>
              <w:bottom w:w="60" w:type="dxa"/>
              <w:end w:w="55" w:type="dxa"/>
            </w:tcMar>
            <w:shd w:fill="F3F5F7"/>
            <w:vAlign w:val="center"/>
          </w:tcPr>
          <w:p>
            <w:pPr>
              <w:pStyle w:val="TableText"/>
              <w:spacing w:after="30"/>
            </w:pPr>
            <w:r>
              <w:rPr>
                <w:sz w:val="14"/>
              </w:rPr>
              <w:t>Selective full reoptimization</w:t>
            </w:r>
          </w:p>
        </w:tc>
        <w:tc>
          <w:tcPr>
            <w:tcW w:type="dxa" w:w="1461"/>
            <w:tcMar>
              <w:top w:w="60" w:type="dxa"/>
              <w:start w:w="55" w:type="dxa"/>
              <w:bottom w:w="60" w:type="dxa"/>
              <w:end w:w="55" w:type="dxa"/>
            </w:tcMar>
            <w:shd w:fill="F3F5F7"/>
            <w:vAlign w:val="center"/>
          </w:tcPr>
          <w:p>
            <w:pPr>
              <w:pStyle w:val="TableText"/>
              <w:spacing w:after="30"/>
            </w:pPr>
            <w:r>
              <w:rPr>
                <w:sz w:val="14"/>
              </w:rPr>
              <w:t>Makespan quality and computation time</w:t>
            </w:r>
          </w:p>
        </w:tc>
        <w:tc>
          <w:tcPr>
            <w:tcW w:type="dxa" w:w="1461"/>
            <w:tcMar>
              <w:top w:w="60" w:type="dxa"/>
              <w:start w:w="55" w:type="dxa"/>
              <w:bottom w:w="60" w:type="dxa"/>
              <w:end w:w="55" w:type="dxa"/>
            </w:tcMar>
            <w:shd w:fill="F3F5F7"/>
            <w:vAlign w:val="center"/>
          </w:tcPr>
          <w:p>
            <w:pPr>
              <w:pStyle w:val="TableText"/>
              <w:spacing w:after="30"/>
            </w:pPr>
            <w:r>
              <w:rPr>
                <w:sz w:val="14"/>
              </w:rPr>
              <w:t>No</w:t>
            </w:r>
          </w:p>
        </w:tc>
        <w:tc>
          <w:tcPr>
            <w:tcW w:type="dxa" w:w="1461"/>
            <w:tcMar>
              <w:top w:w="60" w:type="dxa"/>
              <w:start w:w="55" w:type="dxa"/>
              <w:bottom w:w="60" w:type="dxa"/>
              <w:end w:w="55" w:type="dxa"/>
            </w:tcMar>
            <w:shd w:fill="F3F5F7"/>
            <w:vAlign w:val="center"/>
          </w:tcPr>
          <w:p>
            <w:pPr>
              <w:pStyle w:val="TableText"/>
              <w:spacing w:after="30"/>
            </w:pPr>
            <w:r>
              <w:rPr>
                <w:sz w:val="14"/>
              </w:rPr>
              <w:t>One framework</w:t>
            </w:r>
          </w:p>
        </w:tc>
        <w:tc>
          <w:tcPr>
            <w:tcW w:type="dxa" w:w="1461"/>
            <w:tcMar>
              <w:top w:w="60" w:type="dxa"/>
              <w:start w:w="55" w:type="dxa"/>
              <w:bottom w:w="60" w:type="dxa"/>
              <w:end w:w="55" w:type="dxa"/>
            </w:tcMar>
            <w:shd w:fill="F3F5F7"/>
            <w:vAlign w:val="center"/>
          </w:tcPr>
          <w:p>
            <w:pPr>
              <w:pStyle w:val="TableText"/>
              <w:spacing w:after="30"/>
            </w:pPr>
            <w:r>
              <w:rPr>
                <w:sz w:val="14"/>
              </w:rPr>
              <w:t>Quality-triggered replanning rather than count/age coalescing.</w:t>
            </w:r>
          </w:p>
        </w:tc>
      </w:tr>
      <w:tr>
        <w:trPr>
          <w:cantSplit/>
        </w:trPr>
        <w:tc>
          <w:tcPr>
            <w:tcW w:type="dxa" w:w="1461"/>
            <w:tcMar>
              <w:top w:w="60" w:type="dxa"/>
              <w:start w:w="55" w:type="dxa"/>
              <w:bottom w:w="60" w:type="dxa"/>
              <w:end w:w="55" w:type="dxa"/>
            </w:tcMar>
            <w:vAlign w:val="center"/>
          </w:tcPr>
          <w:p>
            <w:pPr>
              <w:pStyle w:val="TableText"/>
              <w:spacing w:after="30"/>
            </w:pPr>
            <w:r>
              <w:rPr>
                <w:sz w:val="14"/>
              </w:rPr>
              <w:t>Aznar et al. [9]</w:t>
            </w:r>
          </w:p>
        </w:tc>
        <w:tc>
          <w:tcPr>
            <w:tcW w:type="dxa" w:w="1461"/>
            <w:tcMar>
              <w:top w:w="60" w:type="dxa"/>
              <w:start w:w="55" w:type="dxa"/>
              <w:bottom w:w="60" w:type="dxa"/>
              <w:end w:w="55" w:type="dxa"/>
            </w:tcMar>
            <w:vAlign w:val="center"/>
          </w:tcPr>
          <w:p>
            <w:pPr>
              <w:pStyle w:val="TableText"/>
              <w:spacing w:after="30"/>
            </w:pPr>
            <w:r>
              <w:rPr>
                <w:sz w:val="14"/>
              </w:rPr>
              <w:t>Dynamic environment</w:t>
            </w:r>
          </w:p>
        </w:tc>
        <w:tc>
          <w:tcPr>
            <w:tcW w:type="dxa" w:w="1461"/>
            <w:tcMar>
              <w:top w:w="60" w:type="dxa"/>
              <w:start w:w="55" w:type="dxa"/>
              <w:bottom w:w="60" w:type="dxa"/>
              <w:end w:w="55" w:type="dxa"/>
            </w:tcMar>
            <w:vAlign w:val="center"/>
          </w:tcPr>
          <w:p>
            <w:pPr>
              <w:pStyle w:val="TableText"/>
              <w:spacing w:after="30"/>
            </w:pPr>
            <w:r>
              <w:rPr>
                <w:sz w:val="14"/>
              </w:rPr>
              <w:t>Event-triggered consensus</w:t>
            </w:r>
          </w:p>
        </w:tc>
        <w:tc>
          <w:tcPr>
            <w:tcW w:type="dxa" w:w="1461"/>
            <w:tcMar>
              <w:top w:w="60" w:type="dxa"/>
              <w:start w:w="55" w:type="dxa"/>
              <w:bottom w:w="60" w:type="dxa"/>
              <w:end w:w="55" w:type="dxa"/>
            </w:tcMar>
            <w:vAlign w:val="center"/>
          </w:tcPr>
          <w:p>
            <w:pPr>
              <w:pStyle w:val="TableText"/>
              <w:spacing w:after="30"/>
            </w:pPr>
            <w:r>
              <w:rPr>
                <w:sz w:val="14"/>
              </w:rPr>
              <w:t>Tasks completed and messages</w:t>
            </w:r>
          </w:p>
        </w:tc>
        <w:tc>
          <w:tcPr>
            <w:tcW w:type="dxa" w:w="1461"/>
            <w:tcMar>
              <w:top w:w="60" w:type="dxa"/>
              <w:start w:w="55" w:type="dxa"/>
              <w:bottom w:w="60" w:type="dxa"/>
              <w:end w:w="55" w:type="dxa"/>
            </w:tcMar>
            <w:vAlign w:val="center"/>
          </w:tcPr>
          <w:p>
            <w:pPr>
              <w:pStyle w:val="TableText"/>
              <w:spacing w:after="30"/>
            </w:pPr>
            <w:r>
              <w:rPr>
                <w:sz w:val="14"/>
              </w:rPr>
              <w:t>No physical validation</w:t>
            </w:r>
          </w:p>
        </w:tc>
        <w:tc>
          <w:tcPr>
            <w:tcW w:type="dxa" w:w="1461"/>
            <w:tcMar>
              <w:top w:w="60" w:type="dxa"/>
              <w:start w:w="55" w:type="dxa"/>
              <w:bottom w:w="60" w:type="dxa"/>
              <w:end w:w="55" w:type="dxa"/>
            </w:tcMar>
            <w:vAlign w:val="center"/>
          </w:tcPr>
          <w:p>
            <w:pPr>
              <w:pStyle w:val="TableText"/>
              <w:spacing w:after="30"/>
            </w:pPr>
            <w:r>
              <w:rPr>
                <w:sz w:val="14"/>
              </w:rPr>
              <w:t>CBBA-based</w:t>
            </w:r>
          </w:p>
        </w:tc>
        <w:tc>
          <w:tcPr>
            <w:tcW w:type="dxa" w:w="1461"/>
            <w:tcMar>
              <w:top w:w="60" w:type="dxa"/>
              <w:start w:w="55" w:type="dxa"/>
              <w:bottom w:w="60" w:type="dxa"/>
              <w:end w:w="55" w:type="dxa"/>
            </w:tcMar>
            <w:vAlign w:val="center"/>
          </w:tcPr>
          <w:p>
            <w:pPr>
              <w:pStyle w:val="TableText"/>
              <w:spacing w:after="30"/>
            </w:pPr>
            <w:r>
              <w:rPr>
                <w:sz w:val="14"/>
              </w:rPr>
              <w:t>Controls communication pace, not online-task admission.</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Sao et al. [10]</w:t>
            </w:r>
          </w:p>
        </w:tc>
        <w:tc>
          <w:tcPr>
            <w:tcW w:type="dxa" w:w="1461"/>
            <w:tcMar>
              <w:top w:w="60" w:type="dxa"/>
              <w:start w:w="55" w:type="dxa"/>
              <w:bottom w:w="60" w:type="dxa"/>
              <w:end w:w="55" w:type="dxa"/>
            </w:tcMar>
            <w:shd w:fill="F3F5F7"/>
            <w:vAlign w:val="center"/>
          </w:tcPr>
          <w:p>
            <w:pPr>
              <w:pStyle w:val="TableText"/>
              <w:spacing w:after="30"/>
            </w:pPr>
            <w:r>
              <w:rPr>
                <w:sz w:val="14"/>
              </w:rPr>
              <w:t>Not central</w:t>
            </w:r>
          </w:p>
        </w:tc>
        <w:tc>
          <w:tcPr>
            <w:tcW w:type="dxa" w:w="1461"/>
            <w:tcMar>
              <w:top w:w="60" w:type="dxa"/>
              <w:start w:w="55" w:type="dxa"/>
              <w:bottom w:w="60" w:type="dxa"/>
              <w:end w:w="55" w:type="dxa"/>
            </w:tcMar>
            <w:shd w:fill="F3F5F7"/>
            <w:vAlign w:val="center"/>
          </w:tcPr>
          <w:p>
            <w:pPr>
              <w:pStyle w:val="TableText"/>
              <w:spacing w:after="30"/>
            </w:pPr>
            <w:r>
              <w:rPr>
                <w:sz w:val="14"/>
              </w:rPr>
              <w:t>Event-driven broadcast</w:t>
            </w:r>
          </w:p>
        </w:tc>
        <w:tc>
          <w:tcPr>
            <w:tcW w:type="dxa" w:w="1461"/>
            <w:tcMar>
              <w:top w:w="60" w:type="dxa"/>
              <w:start w:w="55" w:type="dxa"/>
              <w:bottom w:w="60" w:type="dxa"/>
              <w:end w:w="55" w:type="dxa"/>
            </w:tcMar>
            <w:shd w:fill="F3F5F7"/>
            <w:vAlign w:val="center"/>
          </w:tcPr>
          <w:p>
            <w:pPr>
              <w:pStyle w:val="TableText"/>
              <w:spacing w:after="30"/>
            </w:pPr>
            <w:r>
              <w:rPr>
                <w:sz w:val="14"/>
              </w:rPr>
              <w:t>Messages with preserved CBBA quality</w:t>
            </w:r>
          </w:p>
        </w:tc>
        <w:tc>
          <w:tcPr>
            <w:tcW w:type="dxa" w:w="1461"/>
            <w:tcMar>
              <w:top w:w="60" w:type="dxa"/>
              <w:start w:w="55" w:type="dxa"/>
              <w:bottom w:w="60" w:type="dxa"/>
              <w:end w:w="55" w:type="dxa"/>
            </w:tcMar>
            <w:shd w:fill="F3F5F7"/>
            <w:vAlign w:val="center"/>
          </w:tcPr>
          <w:p>
            <w:pPr>
              <w:pStyle w:val="TableText"/>
              <w:spacing w:after="30"/>
            </w:pPr>
            <w:r>
              <w:rPr>
                <w:sz w:val="14"/>
              </w:rPr>
              <w:t>No</w:t>
            </w:r>
          </w:p>
        </w:tc>
        <w:tc>
          <w:tcPr>
            <w:tcW w:type="dxa" w:w="1461"/>
            <w:tcMar>
              <w:top w:w="60" w:type="dxa"/>
              <w:start w:w="55" w:type="dxa"/>
              <w:bottom w:w="60" w:type="dxa"/>
              <w:end w:w="55" w:type="dxa"/>
            </w:tcMar>
            <w:shd w:fill="F3F5F7"/>
            <w:vAlign w:val="center"/>
          </w:tcPr>
          <w:p>
            <w:pPr>
              <w:pStyle w:val="TableText"/>
              <w:spacing w:after="30"/>
            </w:pPr>
            <w:r>
              <w:rPr>
                <w:sz w:val="14"/>
              </w:rPr>
              <w:t>CBBA only</w:t>
            </w:r>
          </w:p>
        </w:tc>
        <w:tc>
          <w:tcPr>
            <w:tcW w:type="dxa" w:w="1461"/>
            <w:tcMar>
              <w:top w:w="60" w:type="dxa"/>
              <w:start w:w="55" w:type="dxa"/>
              <w:bottom w:w="60" w:type="dxa"/>
              <w:end w:w="55" w:type="dxa"/>
            </w:tcMar>
            <w:shd w:fill="F3F5F7"/>
            <w:vAlign w:val="center"/>
          </w:tcPr>
          <w:p>
            <w:pPr>
              <w:pStyle w:val="TableText"/>
              <w:spacing w:after="30"/>
            </w:pPr>
            <w:r>
              <w:rPr>
                <w:sz w:val="14"/>
              </w:rPr>
              <w:t>Communication suppression, not task-service coalescing.</w:t>
            </w:r>
          </w:p>
        </w:tc>
      </w:tr>
      <w:tr>
        <w:trPr>
          <w:cantSplit/>
        </w:trPr>
        <w:tc>
          <w:tcPr>
            <w:tcW w:type="dxa" w:w="1461"/>
            <w:tcMar>
              <w:top w:w="60" w:type="dxa"/>
              <w:start w:w="55" w:type="dxa"/>
              <w:bottom w:w="60" w:type="dxa"/>
              <w:end w:w="55" w:type="dxa"/>
            </w:tcMar>
            <w:vAlign w:val="center"/>
          </w:tcPr>
          <w:p>
            <w:pPr>
              <w:pStyle w:val="TableText"/>
              <w:spacing w:after="30"/>
            </w:pPr>
            <w:r>
              <w:rPr>
                <w:sz w:val="14"/>
              </w:rPr>
              <w:t>Botros et al. [12]</w:t>
            </w:r>
          </w:p>
        </w:tc>
        <w:tc>
          <w:tcPr>
            <w:tcW w:type="dxa" w:w="1461"/>
            <w:tcMar>
              <w:top w:w="60" w:type="dxa"/>
              <w:start w:w="55" w:type="dxa"/>
              <w:bottom w:w="60" w:type="dxa"/>
              <w:end w:w="55" w:type="dxa"/>
            </w:tcMar>
            <w:vAlign w:val="center"/>
          </w:tcPr>
          <w:p>
            <w:pPr>
              <w:pStyle w:val="TableText"/>
              <w:spacing w:after="30"/>
            </w:pPr>
            <w:r>
              <w:rPr>
                <w:sz w:val="14"/>
              </w:rPr>
              <w:t>Yes</w:t>
            </w:r>
          </w:p>
        </w:tc>
        <w:tc>
          <w:tcPr>
            <w:tcW w:type="dxa" w:w="1461"/>
            <w:tcMar>
              <w:top w:w="60" w:type="dxa"/>
              <w:start w:w="55" w:type="dxa"/>
              <w:bottom w:w="60" w:type="dxa"/>
              <w:end w:w="55" w:type="dxa"/>
            </w:tcMar>
            <w:vAlign w:val="center"/>
          </w:tcPr>
          <w:p>
            <w:pPr>
              <w:pStyle w:val="TableText"/>
              <w:spacing w:after="30"/>
            </w:pPr>
            <w:r>
              <w:rPr>
                <w:sz w:val="14"/>
              </w:rPr>
              <w:t>Route-batch service policies</w:t>
            </w:r>
          </w:p>
        </w:tc>
        <w:tc>
          <w:tcPr>
            <w:tcW w:type="dxa" w:w="1461"/>
            <w:tcMar>
              <w:top w:w="60" w:type="dxa"/>
              <w:start w:w="55" w:type="dxa"/>
              <w:bottom w:w="60" w:type="dxa"/>
              <w:end w:w="55" w:type="dxa"/>
            </w:tcMar>
            <w:vAlign w:val="center"/>
          </w:tcPr>
          <w:p>
            <w:pPr>
              <w:pStyle w:val="TableText"/>
              <w:spacing w:after="30"/>
            </w:pPr>
            <w:r>
              <w:rPr>
                <w:sz w:val="14"/>
              </w:rPr>
              <w:t>Mean and Q95 wait time</w:t>
            </w:r>
          </w:p>
        </w:tc>
        <w:tc>
          <w:tcPr>
            <w:tcW w:type="dxa" w:w="1461"/>
            <w:tcMar>
              <w:top w:w="60" w:type="dxa"/>
              <w:start w:w="55" w:type="dxa"/>
              <w:bottom w:w="60" w:type="dxa"/>
              <w:end w:w="55" w:type="dxa"/>
            </w:tcMar>
            <w:vAlign w:val="center"/>
          </w:tcPr>
          <w:p>
            <w:pPr>
              <w:pStyle w:val="TableText"/>
              <w:spacing w:after="30"/>
            </w:pPr>
            <w:r>
              <w:rPr>
                <w:sz w:val="14"/>
              </w:rPr>
              <w:t>No</w:t>
            </w:r>
          </w:p>
        </w:tc>
        <w:tc>
          <w:tcPr>
            <w:tcW w:type="dxa" w:w="1461"/>
            <w:tcMar>
              <w:top w:w="60" w:type="dxa"/>
              <w:start w:w="55" w:type="dxa"/>
              <w:bottom w:w="60" w:type="dxa"/>
              <w:end w:w="55" w:type="dxa"/>
            </w:tcMar>
            <w:vAlign w:val="center"/>
          </w:tcPr>
          <w:p>
            <w:pPr>
              <w:pStyle w:val="TableText"/>
              <w:spacing w:after="30"/>
            </w:pPr>
            <w:r>
              <w:rPr>
                <w:sz w:val="14"/>
              </w:rPr>
              <w:t>DVRP policies</w:t>
            </w:r>
          </w:p>
        </w:tc>
        <w:tc>
          <w:tcPr>
            <w:tcW w:type="dxa" w:w="1461"/>
            <w:tcMar>
              <w:top w:w="60" w:type="dxa"/>
              <w:start w:w="55" w:type="dxa"/>
              <w:bottom w:w="60" w:type="dxa"/>
              <w:end w:w="55" w:type="dxa"/>
            </w:tcMar>
            <w:vAlign w:val="center"/>
          </w:tcPr>
          <w:p>
            <w:pPr>
              <w:pStyle w:val="TableText"/>
              <w:spacing w:after="30"/>
            </w:pPr>
            <w:r>
              <w:rPr>
                <w:sz w:val="14"/>
              </w:rPr>
              <w:t>Strong metric/load precedent; no allocator compute/hardware factor.</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Tai et al. [13]</w:t>
            </w:r>
          </w:p>
        </w:tc>
        <w:tc>
          <w:tcPr>
            <w:tcW w:type="dxa" w:w="1461"/>
            <w:tcMar>
              <w:top w:w="60" w:type="dxa"/>
              <w:start w:w="55" w:type="dxa"/>
              <w:bottom w:w="60" w:type="dxa"/>
              <w:end w:w="55" w:type="dxa"/>
            </w:tcMar>
            <w:shd w:fill="F3F5F7"/>
            <w:vAlign w:val="center"/>
          </w:tcPr>
          <w:p>
            <w:pPr>
              <w:pStyle w:val="TableText"/>
              <w:spacing w:after="30"/>
            </w:pPr>
            <w:r>
              <w:rPr>
                <w:sz w:val="14"/>
              </w:rPr>
              <w:t>I/O requests</w:t>
            </w:r>
          </w:p>
        </w:tc>
        <w:tc>
          <w:tcPr>
            <w:tcW w:type="dxa" w:w="1461"/>
            <w:tcMar>
              <w:top w:w="60" w:type="dxa"/>
              <w:start w:w="55" w:type="dxa"/>
              <w:bottom w:w="60" w:type="dxa"/>
              <w:end w:w="55" w:type="dxa"/>
            </w:tcMar>
            <w:shd w:fill="F3F5F7"/>
            <w:vAlign w:val="center"/>
          </w:tcPr>
          <w:p>
            <w:pPr>
              <w:pStyle w:val="TableText"/>
              <w:spacing w:after="30"/>
            </w:pPr>
            <w:r>
              <w:rPr>
                <w:sz w:val="14"/>
              </w:rPr>
              <w:t>Count/time coalescing</w:t>
            </w:r>
          </w:p>
        </w:tc>
        <w:tc>
          <w:tcPr>
            <w:tcW w:type="dxa" w:w="1461"/>
            <w:tcMar>
              <w:top w:w="60" w:type="dxa"/>
              <w:start w:w="55" w:type="dxa"/>
              <w:bottom w:w="60" w:type="dxa"/>
              <w:end w:w="55" w:type="dxa"/>
            </w:tcMar>
            <w:shd w:fill="F3F5F7"/>
            <w:vAlign w:val="center"/>
          </w:tcPr>
          <w:p>
            <w:pPr>
              <w:pStyle w:val="TableText"/>
              <w:spacing w:after="30"/>
            </w:pPr>
            <w:r>
              <w:rPr>
                <w:sz w:val="14"/>
              </w:rPr>
              <w:t>Latency, CPU, throughput</w:t>
            </w:r>
          </w:p>
        </w:tc>
        <w:tc>
          <w:tcPr>
            <w:tcW w:type="dxa" w:w="1461"/>
            <w:tcMar>
              <w:top w:w="60" w:type="dxa"/>
              <w:start w:w="55" w:type="dxa"/>
              <w:bottom w:w="60" w:type="dxa"/>
              <w:end w:w="55" w:type="dxa"/>
            </w:tcMar>
            <w:shd w:fill="F3F5F7"/>
            <w:vAlign w:val="center"/>
          </w:tcPr>
          <w:p>
            <w:pPr>
              <w:pStyle w:val="TableText"/>
              <w:spacing w:after="30"/>
            </w:pPr>
            <w:r>
              <w:rPr>
                <w:sz w:val="14"/>
              </w:rPr>
              <w:t>Real storage hardware</w:t>
            </w:r>
          </w:p>
        </w:tc>
        <w:tc>
          <w:tcPr>
            <w:tcW w:type="dxa" w:w="1461"/>
            <w:tcMar>
              <w:top w:w="60" w:type="dxa"/>
              <w:start w:w="55" w:type="dxa"/>
              <w:bottom w:w="60" w:type="dxa"/>
              <w:end w:w="55" w:type="dxa"/>
            </w:tcMar>
            <w:shd w:fill="F3F5F7"/>
            <w:vAlign w:val="center"/>
          </w:tcPr>
          <w:p>
            <w:pPr>
              <w:pStyle w:val="TableText"/>
              <w:spacing w:after="30"/>
            </w:pPr>
            <w:r>
              <w:rPr>
                <w:sz w:val="14"/>
              </w:rPr>
              <w:t>N/A</w:t>
            </w:r>
          </w:p>
        </w:tc>
        <w:tc>
          <w:tcPr>
            <w:tcW w:type="dxa" w:w="1461"/>
            <w:tcMar>
              <w:top w:w="60" w:type="dxa"/>
              <w:start w:w="55" w:type="dxa"/>
              <w:bottom w:w="60" w:type="dxa"/>
              <w:end w:w="55" w:type="dxa"/>
            </w:tcMar>
            <w:shd w:fill="F3F5F7"/>
            <w:vAlign w:val="center"/>
          </w:tcPr>
          <w:p>
            <w:pPr>
              <w:pStyle w:val="TableText"/>
              <w:spacing w:after="30"/>
            </w:pPr>
            <w:r>
              <w:rPr>
                <w:sz w:val="14"/>
              </w:rPr>
              <w:t>Systems analogue; not decentralized robotics.</w:t>
            </w:r>
          </w:p>
        </w:tc>
      </w:tr>
      <w:tr>
        <w:trPr>
          <w:cantSplit/>
        </w:trPr>
        <w:tc>
          <w:tcPr>
            <w:tcW w:type="dxa" w:w="1461"/>
            <w:tcMar>
              <w:top w:w="60" w:type="dxa"/>
              <w:start w:w="55" w:type="dxa"/>
              <w:bottom w:w="60" w:type="dxa"/>
              <w:end w:w="55" w:type="dxa"/>
            </w:tcMar>
            <w:vAlign w:val="center"/>
          </w:tcPr>
          <w:p>
            <w:pPr>
              <w:pStyle w:val="TableText"/>
              <w:spacing w:after="30"/>
            </w:pPr>
            <w:r>
              <w:rPr>
                <w:sz w:val="14"/>
              </w:rPr>
              <w:t>Bansal et al. [14]</w:t>
            </w:r>
          </w:p>
        </w:tc>
        <w:tc>
          <w:tcPr>
            <w:tcW w:type="dxa" w:w="1461"/>
            <w:tcMar>
              <w:top w:w="60" w:type="dxa"/>
              <w:start w:w="55" w:type="dxa"/>
              <w:bottom w:w="60" w:type="dxa"/>
              <w:end w:w="55" w:type="dxa"/>
            </w:tcMar>
            <w:vAlign w:val="center"/>
          </w:tcPr>
          <w:p>
            <w:pPr>
              <w:pStyle w:val="TableText"/>
              <w:spacing w:after="30"/>
            </w:pPr>
            <w:r>
              <w:rPr>
                <w:sz w:val="14"/>
              </w:rPr>
              <w:t>Robot inference requests</w:t>
            </w:r>
          </w:p>
        </w:tc>
        <w:tc>
          <w:tcPr>
            <w:tcW w:type="dxa" w:w="1461"/>
            <w:tcMar>
              <w:top w:w="60" w:type="dxa"/>
              <w:start w:w="55" w:type="dxa"/>
              <w:bottom w:w="60" w:type="dxa"/>
              <w:end w:w="55" w:type="dxa"/>
            </w:tcMar>
            <w:vAlign w:val="center"/>
          </w:tcPr>
          <w:p>
            <w:pPr>
              <w:pStyle w:val="TableText"/>
              <w:spacing w:after="30"/>
            </w:pPr>
            <w:r>
              <w:rPr>
                <w:sz w:val="14"/>
              </w:rPr>
              <w:t>Dynamic GPU batching</w:t>
            </w:r>
          </w:p>
        </w:tc>
        <w:tc>
          <w:tcPr>
            <w:tcW w:type="dxa" w:w="1461"/>
            <w:tcMar>
              <w:top w:w="60" w:type="dxa"/>
              <w:start w:w="55" w:type="dxa"/>
              <w:bottom w:w="60" w:type="dxa"/>
              <w:end w:w="55" w:type="dxa"/>
            </w:tcMar>
            <w:vAlign w:val="center"/>
          </w:tcPr>
          <w:p>
            <w:pPr>
              <w:pStyle w:val="TableText"/>
              <w:spacing w:after="30"/>
            </w:pPr>
            <w:r>
              <w:rPr>
                <w:sz w:val="14"/>
              </w:rPr>
              <w:t>Robot starvation and throughput</w:t>
            </w:r>
          </w:p>
        </w:tc>
        <w:tc>
          <w:tcPr>
            <w:tcW w:type="dxa" w:w="1461"/>
            <w:tcMar>
              <w:top w:w="60" w:type="dxa"/>
              <w:start w:w="55" w:type="dxa"/>
              <w:bottom w:w="60" w:type="dxa"/>
              <w:end w:w="55" w:type="dxa"/>
            </w:tcMar>
            <w:vAlign w:val="center"/>
          </w:tcPr>
          <w:p>
            <w:pPr>
              <w:pStyle w:val="TableText"/>
              <w:spacing w:after="30"/>
            </w:pPr>
            <w:r>
              <w:rPr>
                <w:sz w:val="14"/>
              </w:rPr>
              <w:t>Real GPU + 10 robots</w:t>
            </w:r>
          </w:p>
        </w:tc>
        <w:tc>
          <w:tcPr>
            <w:tcW w:type="dxa" w:w="1461"/>
            <w:tcMar>
              <w:top w:w="60" w:type="dxa"/>
              <w:start w:w="55" w:type="dxa"/>
              <w:bottom w:w="60" w:type="dxa"/>
              <w:end w:w="55" w:type="dxa"/>
            </w:tcMar>
            <w:vAlign w:val="center"/>
          </w:tcPr>
          <w:p>
            <w:pPr>
              <w:pStyle w:val="TableText"/>
              <w:spacing w:after="30"/>
            </w:pPr>
            <w:r>
              <w:rPr>
                <w:sz w:val="14"/>
              </w:rPr>
              <w:t>Central serving system</w:t>
            </w:r>
          </w:p>
        </w:tc>
        <w:tc>
          <w:tcPr>
            <w:tcW w:type="dxa" w:w="1461"/>
            <w:tcMar>
              <w:top w:w="60" w:type="dxa"/>
              <w:start w:w="55" w:type="dxa"/>
              <w:bottom w:w="60" w:type="dxa"/>
              <w:end w:w="55" w:type="dxa"/>
            </w:tcMar>
            <w:vAlign w:val="center"/>
          </w:tcPr>
          <w:p>
            <w:pPr>
              <w:pStyle w:val="TableText"/>
              <w:spacing w:after="30"/>
            </w:pPr>
            <w:r>
              <w:rPr>
                <w:sz w:val="14"/>
              </w:rPr>
              <w:t>Closed-loop robotics analogue; not MRTA or per-robot embedded allocation.</w:t>
            </w:r>
          </w:p>
        </w:tc>
      </w:tr>
      <w:tr>
        <w:trPr>
          <w:cantSplit/>
        </w:trPr>
        <w:tc>
          <w:tcPr>
            <w:tcW w:type="dxa" w:w="1461"/>
            <w:tcMar>
              <w:top w:w="60" w:type="dxa"/>
              <w:start w:w="55" w:type="dxa"/>
              <w:bottom w:w="60" w:type="dxa"/>
              <w:end w:w="55" w:type="dxa"/>
            </w:tcMar>
            <w:shd w:fill="F3F5F7"/>
            <w:vAlign w:val="center"/>
          </w:tcPr>
          <w:p>
            <w:pPr>
              <w:pStyle w:val="TableText"/>
              <w:spacing w:after="30"/>
            </w:pPr>
            <w:r>
              <w:rPr>
                <w:sz w:val="14"/>
              </w:rPr>
              <w:t>Current study</w:t>
            </w:r>
          </w:p>
        </w:tc>
        <w:tc>
          <w:tcPr>
            <w:tcW w:type="dxa" w:w="1461"/>
            <w:tcMar>
              <w:top w:w="60" w:type="dxa"/>
              <w:start w:w="55" w:type="dxa"/>
              <w:bottom w:w="60" w:type="dxa"/>
              <w:end w:w="55" w:type="dxa"/>
            </w:tcMar>
            <w:shd w:fill="F3F5F7"/>
            <w:vAlign w:val="center"/>
          </w:tcPr>
          <w:p>
            <w:pPr>
              <w:pStyle w:val="TableText"/>
              <w:spacing w:after="30"/>
            </w:pPr>
            <w:r>
              <w:rPr>
                <w:sz w:val="14"/>
              </w:rPr>
              <w:t>Yes, three rates</w:t>
            </w:r>
          </w:p>
        </w:tc>
        <w:tc>
          <w:tcPr>
            <w:tcW w:type="dxa" w:w="1461"/>
            <w:tcMar>
              <w:top w:w="60" w:type="dxa"/>
              <w:start w:w="55" w:type="dxa"/>
              <w:bottom w:w="60" w:type="dxa"/>
              <w:end w:w="55" w:type="dxa"/>
            </w:tcMar>
            <w:shd w:fill="F3F5F7"/>
            <w:vAlign w:val="center"/>
          </w:tcPr>
          <w:p>
            <w:pPr>
              <w:pStyle w:val="TableText"/>
              <w:spacing w:after="30"/>
            </w:pPr>
            <w:r>
              <w:rPr>
                <w:sz w:val="14"/>
              </w:rPr>
              <w:t>B=2/4/8 and B=4/W=5</w:t>
            </w:r>
          </w:p>
        </w:tc>
        <w:tc>
          <w:tcPr>
            <w:tcW w:type="dxa" w:w="1461"/>
            <w:tcMar>
              <w:top w:w="60" w:type="dxa"/>
              <w:start w:w="55" w:type="dxa"/>
              <w:bottom w:w="60" w:type="dxa"/>
              <w:end w:w="55" w:type="dxa"/>
            </w:tcMar>
            <w:shd w:fill="F3F5F7"/>
            <w:vAlign w:val="center"/>
          </w:tcPr>
          <w:p>
            <w:pPr>
              <w:pStyle w:val="TableText"/>
              <w:spacing w:after="30"/>
            </w:pPr>
            <w:r>
              <w:rPr>
                <w:sz w:val="14"/>
              </w:rPr>
              <w:t>Online release-to-completion median and Q95</w:t>
            </w:r>
          </w:p>
        </w:tc>
        <w:tc>
          <w:tcPr>
            <w:tcW w:type="dxa" w:w="1461"/>
            <w:tcMar>
              <w:top w:w="60" w:type="dxa"/>
              <w:start w:w="55" w:type="dxa"/>
              <w:bottom w:w="60" w:type="dxa"/>
              <w:end w:w="55" w:type="dxa"/>
            </w:tcMar>
            <w:shd w:fill="F3F5F7"/>
            <w:vAlign w:val="center"/>
          </w:tcPr>
          <w:p>
            <w:pPr>
              <w:pStyle w:val="TableText"/>
              <w:spacing w:after="30"/>
            </w:pPr>
            <w:r>
              <w:rPr>
                <w:sz w:val="14"/>
              </w:rPr>
              <w:t>AGX and parity-checked RP2040</w:t>
            </w:r>
          </w:p>
        </w:tc>
        <w:tc>
          <w:tcPr>
            <w:tcW w:type="dxa" w:w="1461"/>
            <w:tcMar>
              <w:top w:w="60" w:type="dxa"/>
              <w:start w:w="55" w:type="dxa"/>
              <w:bottom w:w="60" w:type="dxa"/>
              <w:end w:w="55" w:type="dxa"/>
            </w:tcMar>
            <w:shd w:fill="F3F5F7"/>
            <w:vAlign w:val="center"/>
          </w:tcPr>
          <w:p>
            <w:pPr>
              <w:pStyle w:val="TableText"/>
              <w:spacing w:after="30"/>
            </w:pPr>
            <w:r>
              <w:rPr>
                <w:sz w:val="14"/>
              </w:rPr>
              <w:t>CBAA, ACBBA, HIPC, PI</w:t>
            </w:r>
          </w:p>
        </w:tc>
        <w:tc>
          <w:tcPr>
            <w:tcW w:type="dxa" w:w="1461"/>
            <w:tcMar>
              <w:top w:w="60" w:type="dxa"/>
              <w:start w:w="55" w:type="dxa"/>
              <w:bottom w:w="60" w:type="dxa"/>
              <w:end w:w="55" w:type="dxa"/>
            </w:tcMar>
            <w:shd w:fill="F3F5F7"/>
            <w:vAlign w:val="center"/>
          </w:tcPr>
          <w:p>
            <w:pPr>
              <w:pStyle w:val="TableText"/>
              <w:spacing w:after="30"/>
            </w:pPr>
            <w:r>
              <w:rPr>
                <w:sz w:val="14"/>
              </w:rPr>
              <w:t>Causal load/device crossover and allocator-dependent service effect.</w:t>
            </w:r>
          </w:p>
        </w:tc>
      </w:tr>
    </w:tbl>
    <w:p>
      <w:pPr>
        <w:pStyle w:val="Heading2"/>
        <w:keepNext/>
      </w:pPr>
      <w:r>
        <w:t>5.6 What is and is not novel</w:t>
      </w:r>
    </w:p>
    <w:p>
      <w:pPr>
        <w:pStyle w:val="Heading3"/>
        <w:keepNext/>
      </w:pPr>
      <w:r>
        <w:t>5.6.1 Claims the paper should not make</w:t>
      </w:r>
    </w:p>
    <w:p>
      <w:pPr>
        <w:pStyle w:val="ListBullet"/>
      </w:pPr>
      <w:r>
        <w:t>The first online or dynamic MRTA study.</w:t>
      </w:r>
    </w:p>
    <w:p>
      <w:pPr>
        <w:pStyle w:val="ListBullet"/>
      </w:pPr>
      <w:r>
        <w:t>The first event-triggered or delayed task reassignment method.</w:t>
      </w:r>
    </w:p>
    <w:p>
      <w:pPr>
        <w:pStyle w:val="ListBullet"/>
      </w:pPr>
      <w:r>
        <w:t>The first work to batch or bundle sequential robot tasks.</w:t>
      </w:r>
    </w:p>
    <w:p>
      <w:pPr>
        <w:pStyle w:val="ListBullet"/>
      </w:pPr>
      <w:r>
        <w:t>The first computation-aware replanning method.</w:t>
      </w:r>
    </w:p>
    <w:p>
      <w:pPr>
        <w:pStyle w:val="ListBullet"/>
      </w:pPr>
      <w:r>
        <w:t>The first count-plus-timeout coalescing mechanism.</w:t>
      </w:r>
    </w:p>
    <w:p>
      <w:pPr>
        <w:pStyle w:val="ListBullet"/>
      </w:pPr>
      <w:r>
        <w:t>The first robotics system to show a batching/latency tradeoff.</w:t>
      </w:r>
    </w:p>
    <w:p>
      <w:pPr>
        <w:pStyle w:val="ListBullet"/>
      </w:pPr>
      <w:r>
        <w:t>The first work to show that arrival load changes task-service behavior.</w:t>
      </w:r>
    </w:p>
    <w:p>
      <w:pPr>
        <w:pStyle w:val="ListBullet"/>
      </w:pPr>
      <w:r>
        <w:t>The first hardware evaluation of robot allocation computation.</w:t>
      </w:r>
    </w:p>
    <w:p>
      <w:pPr>
        <w:pStyle w:val="Heading3"/>
        <w:keepNext/>
      </w:pPr>
      <w:r>
        <w:t>5.6.2 Credible contribution set</w:t>
      </w:r>
    </w:p>
    <w:p>
      <w:r>
        <w:rPr>
          <w:b/>
          <w:color w:val="193B63"/>
        </w:rPr>
        <w:t xml:space="preserve">Load-dependent service regime: </w:t>
      </w:r>
      <w:r>
        <w:t>A matched, cross-allocator demonstration that the typical online task-service penalty decreases with arrival load while compute savings increase.</w:t>
      </w:r>
    </w:p>
    <w:p>
      <w:r>
        <w:rPr>
          <w:b/>
          <w:color w:val="193B63"/>
        </w:rPr>
        <w:t xml:space="preserve">Hardware-dependent crossover: </w:t>
      </w:r>
      <w:r>
        <w:t>The same admission policy remains a penalty on fast hardware but can become a service benefit on constrained hardware when post-admission work dominates.</w:t>
      </w:r>
    </w:p>
    <w:p>
      <w:r>
        <w:rPr>
          <w:b/>
          <w:color w:val="193B63"/>
        </w:rPr>
        <w:t xml:space="preserve">Allocator-dependent magnitude: </w:t>
      </w:r>
      <w:r>
        <w:t>A common scheduler produces markedly different hardware gains because allocator complexity and route consequences differ.</w:t>
      </w:r>
    </w:p>
    <w:p>
      <w:r>
        <w:rPr>
          <w:b/>
          <w:color w:val="193B63"/>
        </w:rPr>
        <w:t xml:space="preserve">Causal task-service evaluation: </w:t>
      </w:r>
      <w:r>
        <w:t>Measured call durations delay per-robot decision commit, so computation affects the same release-to-completion metric used for operational performance.</w:t>
      </w:r>
    </w:p>
    <w:p>
      <w:r>
        <w:rPr>
          <w:b/>
          <w:color w:val="193B63"/>
        </w:rPr>
        <w:t xml:space="preserve">Latency decomposition: </w:t>
      </w:r>
      <w:r>
        <w:t>The paper separates intentional admission waiting from post-admission assignment and service recovery, showing how a delayed policy can still finish online tasks sooner.</w:t>
      </w:r>
    </w:p>
    <w:p>
      <w:r>
        <w:rPr>
          <w:b/>
          <w:color w:val="193B63"/>
        </w:rPr>
        <w:t xml:space="preserve">Bounded-wait mitigation: </w:t>
      </w:r>
      <w:r>
        <w:t>A practical design point that reduces sparse-load harm while retaining dense-load behavior, without claiming universal optimality.</w:t>
      </w:r>
    </w:p>
    <w:p>
      <w:pPr>
        <w:pStyle w:val="Heading3"/>
        <w:keepNext/>
      </w:pPr>
      <w:r>
        <w:t>5.6.3 Recommended contribution wording</w:t>
      </w:r>
    </w:p>
    <w:tbl>
      <w:tblPr>
        <w:tblW w:type="auto" w:w="0"/>
        <w:jc w:val="center"/>
        <w:tblLook w:firstColumn="1" w:firstRow="1" w:lastColumn="0" w:lastRow="0" w:noHBand="0" w:noVBand="1" w:val="04A0"/>
      </w:tblPr>
      <w:tblGrid>
        <w:gridCol w:w="10224"/>
      </w:tblGrid>
      <w:tr>
        <w:trPr>
          <w:cantSplit/>
        </w:trPr>
        <w:tc>
          <w:tcPr>
            <w:tcW w:type="dxa" w:w="10224"/>
            <w:shd w:fill="EAF0F7"/>
            <w:tcMar>
              <w:top w:w="120" w:type="dxa"/>
              <w:start w:w="150" w:type="dxa"/>
              <w:bottom w:w="120" w:type="dxa"/>
              <w:end w:w="150" w:type="dxa"/>
            </w:tcMar>
            <w:vAlign w:val="center"/>
          </w:tcPr>
          <w:p>
            <w:pPr>
              <w:spacing w:after="30"/>
            </w:pPr>
            <w:r>
              <w:rPr>
                <w:b/>
              </w:rPr>
              <w:t xml:space="preserve">Contribution 1 — load-aware service characterization. </w:t>
            </w:r>
            <w:r>
              <w:t>We characterize how count-based reallocation coalescing changes online task release-to-completion latency and allocator work across sparse, moderate, and dense arrival regimes for four decentralized allocators.</w:t>
            </w:r>
          </w:p>
          <w:p>
            <w:pPr>
              <w:pStyle w:val="ExecutiveBox"/>
              <w:spacing w:after="30"/>
            </w:pPr>
            <w:r>
              <w:rPr>
                <w:b/>
              </w:rPr>
              <w:t xml:space="preserve">Contribution 2 — hardware-aware causal evaluation. </w:t>
            </w:r>
            <w:r>
              <w:t>We causally inject provider-specific AGX and parity-checked RP2040 allocator durations and identify a hardware-dependent crossover in which saved post-admission work can exceed intentional admission waiting.</w:t>
            </w:r>
          </w:p>
          <w:p>
            <w:pPr>
              <w:pStyle w:val="ExecutiveBox"/>
              <w:spacing w:after="30"/>
            </w:pPr>
            <w:r>
              <w:rPr>
                <w:b/>
              </w:rPr>
              <w:t xml:space="preserve">Contribution 3 — practical policy guidance. </w:t>
            </w:r>
            <w:r>
              <w:t>We show that the operating point is allocator dependent and that a bounded-wait policy mitigates sparse-arrival harm, motivating adaptation based on arrival density and measured compute pressure.</w:t>
            </w:r>
          </w:p>
        </w:tc>
      </w:tr>
    </w:tbl>
    <w:p>
      <w:pPr>
        <w:pStyle w:val="Heading2"/>
        <w:keepNext/>
      </w:pPr>
      <w:r>
        <w:t>5.7 How prior work should shape the Results and Discussion framing</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93B63"/>
            <w:vAlign w:val="center"/>
          </w:tcPr>
          <w:p>
            <w:pPr>
              <w:spacing w:after="30"/>
            </w:pPr>
            <w:r>
              <w:rPr>
                <w:b/>
                <w:color w:val="FFFFFF"/>
              </w:rPr>
              <w:t>Current result</w:t>
            </w:r>
          </w:p>
        </w:tc>
        <w:tc>
          <w:tcPr>
            <w:tcW w:type="dxa" w:w="3408"/>
            <w:shd w:fill="193B63"/>
            <w:vAlign w:val="center"/>
          </w:tcPr>
          <w:p>
            <w:pPr>
              <w:spacing w:after="30"/>
            </w:pPr>
            <w:r>
              <w:rPr>
                <w:b/>
                <w:color w:val="FFFFFF"/>
              </w:rPr>
              <w:t>What related work already establishes</w:t>
            </w:r>
          </w:p>
        </w:tc>
        <w:tc>
          <w:tcPr>
            <w:tcW w:type="dxa" w:w="3408"/>
            <w:shd w:fill="193B63"/>
            <w:vAlign w:val="center"/>
          </w:tcPr>
          <w:p>
            <w:pPr>
              <w:spacing w:after="30"/>
            </w:pPr>
            <w:r>
              <w:rPr>
                <w:b/>
                <w:color w:val="FFFFFF"/>
              </w:rPr>
              <w:t>Correct framing in this paper</w:t>
            </w:r>
          </w:p>
        </w:tc>
      </w:tr>
      <w:tr>
        <w:trPr>
          <w:cantSplit/>
        </w:trPr>
        <w:tc>
          <w:tcPr>
            <w:tcW w:type="dxa" w:w="3408"/>
            <w:tcMar>
              <w:top w:w="80" w:type="dxa"/>
              <w:start w:w="80" w:type="dxa"/>
              <w:bottom w:w="80" w:type="dxa"/>
              <w:end w:w="80" w:type="dxa"/>
            </w:tcMar>
            <w:vAlign w:val="center"/>
          </w:tcPr>
          <w:p>
            <w:pPr>
              <w:pStyle w:val="TableText"/>
              <w:spacing w:after="30"/>
            </w:pPr>
            <w:r>
              <w:t>AGX load-dependent result</w:t>
            </w:r>
          </w:p>
        </w:tc>
        <w:tc>
          <w:tcPr>
            <w:tcW w:type="dxa" w:w="3408"/>
            <w:tcMar>
              <w:top w:w="80" w:type="dxa"/>
              <w:start w:w="80" w:type="dxa"/>
              <w:bottom w:w="80" w:type="dxa"/>
              <w:end w:w="80" w:type="dxa"/>
            </w:tcMar>
            <w:vAlign w:val="center"/>
          </w:tcPr>
          <w:p>
            <w:pPr>
              <w:pStyle w:val="TableText"/>
              <w:spacing w:after="30"/>
            </w:pPr>
            <w:r>
              <w:t>Bai [1], Nam/Shell [3], Botros [12], and Tai [13] all make workload dependence expected in broad terms.</w:t>
            </w:r>
          </w:p>
        </w:tc>
        <w:tc>
          <w:tcPr>
            <w:tcW w:type="dxa" w:w="3408"/>
            <w:tcMar>
              <w:top w:w="80" w:type="dxa"/>
              <w:start w:w="80" w:type="dxa"/>
              <w:bottom w:w="80" w:type="dxa"/>
              <w:end w:w="80" w:type="dxa"/>
            </w:tcMar>
            <w:vAlign w:val="center"/>
          </w:tcPr>
          <w:p>
            <w:pPr>
              <w:pStyle w:val="TableText"/>
              <w:spacing w:after="30"/>
            </w:pPr>
            <w:r>
              <w:t>Do not claim “load matters” as the novelty. Claim that the measured service/work operating regime is established for decentralized MRTA and quantified across allocator families.</w:t>
            </w:r>
          </w:p>
        </w:tc>
      </w:tr>
      <w:tr>
        <w:trPr>
          <w:cantSplit/>
        </w:trPr>
        <w:tc>
          <w:tcPr>
            <w:tcW w:type="dxa" w:w="3408"/>
            <w:tcMar>
              <w:top w:w="80" w:type="dxa"/>
              <w:start w:w="80" w:type="dxa"/>
              <w:bottom w:w="80" w:type="dxa"/>
              <w:end w:w="80" w:type="dxa"/>
            </w:tcMar>
            <w:shd w:fill="F3F5F7"/>
            <w:vAlign w:val="center"/>
          </w:tcPr>
          <w:p>
            <w:pPr>
              <w:pStyle w:val="TableText"/>
              <w:spacing w:after="30"/>
            </w:pPr>
            <w:r>
              <w:t>RP2040 crossover</w:t>
            </w:r>
          </w:p>
        </w:tc>
        <w:tc>
          <w:tcPr>
            <w:tcW w:type="dxa" w:w="3408"/>
            <w:tcMar>
              <w:top w:w="80" w:type="dxa"/>
              <w:start w:w="80" w:type="dxa"/>
              <w:bottom w:w="80" w:type="dxa"/>
              <w:end w:w="80" w:type="dxa"/>
            </w:tcMar>
            <w:shd w:fill="F3F5F7"/>
            <w:vAlign w:val="center"/>
          </w:tcPr>
          <w:p>
            <w:pPr>
              <w:pStyle w:val="TableText"/>
              <w:spacing w:after="30"/>
            </w:pPr>
            <w:r>
              <w:t>Tai [13] and Bansal [14] show that batching can change closed-loop latency when compute is constrained.</w:t>
            </w:r>
          </w:p>
        </w:tc>
        <w:tc>
          <w:tcPr>
            <w:tcW w:type="dxa" w:w="3408"/>
            <w:tcMar>
              <w:top w:w="80" w:type="dxa"/>
              <w:start w:w="80" w:type="dxa"/>
              <w:bottom w:w="80" w:type="dxa"/>
              <w:end w:w="80" w:type="dxa"/>
            </w:tcMar>
            <w:shd w:fill="F3F5F7"/>
            <w:vAlign w:val="center"/>
          </w:tcPr>
          <w:p>
            <w:pPr>
              <w:pStyle w:val="TableText"/>
              <w:spacing w:after="30"/>
            </w:pPr>
            <w:r>
              <w:t>Frame the novelty as the MRTA-specific causal crossover on embedded processors, not as the first batching crossover in any system.</w:t>
            </w:r>
          </w:p>
        </w:tc>
      </w:tr>
      <w:tr>
        <w:trPr>
          <w:cantSplit/>
        </w:trPr>
        <w:tc>
          <w:tcPr>
            <w:tcW w:type="dxa" w:w="3408"/>
            <w:tcMar>
              <w:top w:w="80" w:type="dxa"/>
              <w:start w:w="80" w:type="dxa"/>
              <w:bottom w:w="80" w:type="dxa"/>
              <w:end w:w="80" w:type="dxa"/>
            </w:tcMar>
            <w:vAlign w:val="center"/>
          </w:tcPr>
          <w:p>
            <w:pPr>
              <w:pStyle w:val="TableText"/>
              <w:spacing w:after="30"/>
            </w:pPr>
            <w:r>
              <w:t>Allocator heterogeneity</w:t>
            </w:r>
          </w:p>
        </w:tc>
        <w:tc>
          <w:tcPr>
            <w:tcW w:type="dxa" w:w="3408"/>
            <w:tcMar>
              <w:top w:w="80" w:type="dxa"/>
              <w:start w:w="80" w:type="dxa"/>
              <w:bottom w:w="80" w:type="dxa"/>
              <w:end w:w="80" w:type="dxa"/>
            </w:tcMar>
            <w:vAlign w:val="center"/>
          </w:tcPr>
          <w:p>
            <w:pPr>
              <w:pStyle w:val="TableText"/>
              <w:spacing w:after="30"/>
            </w:pPr>
            <w:r>
              <w:t>Buckman [5] and Thorne/Lopez [6] show that internal replanning structure changes computational behavior.</w:t>
            </w:r>
          </w:p>
        </w:tc>
        <w:tc>
          <w:tcPr>
            <w:tcW w:type="dxa" w:w="3408"/>
            <w:tcMar>
              <w:top w:w="80" w:type="dxa"/>
              <w:start w:w="80" w:type="dxa"/>
              <w:bottom w:w="80" w:type="dxa"/>
              <w:end w:w="80" w:type="dxa"/>
            </w:tcMar>
            <w:vAlign w:val="center"/>
          </w:tcPr>
          <w:p>
            <w:pPr>
              <w:pStyle w:val="TableText"/>
              <w:spacing w:after="30"/>
            </w:pPr>
            <w:r>
              <w:t>Present HIPC/PI/ACBBA/CBAA differences as evidence that one fixed coalescing strength is not universally appropriate.</w:t>
            </w:r>
          </w:p>
        </w:tc>
      </w:tr>
      <w:tr>
        <w:trPr>
          <w:cantSplit/>
        </w:trPr>
        <w:tc>
          <w:tcPr>
            <w:tcW w:type="dxa" w:w="3408"/>
            <w:tcMar>
              <w:top w:w="80" w:type="dxa"/>
              <w:start w:w="80" w:type="dxa"/>
              <w:bottom w:w="80" w:type="dxa"/>
              <w:end w:w="80" w:type="dxa"/>
            </w:tcMar>
            <w:shd w:fill="F3F5F7"/>
            <w:vAlign w:val="center"/>
          </w:tcPr>
          <w:p>
            <w:pPr>
              <w:pStyle w:val="TableText"/>
              <w:spacing w:after="30"/>
            </w:pPr>
            <w:r>
              <w:t>Bounded W=5</w:t>
            </w:r>
          </w:p>
        </w:tc>
        <w:tc>
          <w:tcPr>
            <w:tcW w:type="dxa" w:w="3408"/>
            <w:tcMar>
              <w:top w:w="80" w:type="dxa"/>
              <w:start w:w="80" w:type="dxa"/>
              <w:bottom w:w="80" w:type="dxa"/>
              <w:end w:w="80" w:type="dxa"/>
            </w:tcMar>
            <w:shd w:fill="F3F5F7"/>
            <w:vAlign w:val="center"/>
          </w:tcPr>
          <w:p>
            <w:pPr>
              <w:pStyle w:val="TableText"/>
              <w:spacing w:after="30"/>
            </w:pPr>
            <w:r>
              <w:t>Timeout coalescing is standard in systems [13], and bounded trigger frequency appears in fleet rescheduling [11].</w:t>
            </w:r>
          </w:p>
        </w:tc>
        <w:tc>
          <w:tcPr>
            <w:tcW w:type="dxa" w:w="3408"/>
            <w:tcMar>
              <w:top w:w="80" w:type="dxa"/>
              <w:start w:w="80" w:type="dxa"/>
              <w:bottom w:w="80" w:type="dxa"/>
              <w:end w:w="80" w:type="dxa"/>
            </w:tcMar>
            <w:shd w:fill="F3F5F7"/>
            <w:vAlign w:val="center"/>
          </w:tcPr>
          <w:p>
            <w:pPr>
              <w:pStyle w:val="TableText"/>
              <w:spacing w:after="30"/>
            </w:pPr>
            <w:r>
              <w:t>Call it a practical mitigation and implementation pattern, not a fundamental algorithmic novelty.</w:t>
            </w:r>
          </w:p>
        </w:tc>
      </w:tr>
      <w:tr>
        <w:trPr>
          <w:cantSplit/>
        </w:trPr>
        <w:tc>
          <w:tcPr>
            <w:tcW w:type="dxa" w:w="3408"/>
            <w:tcMar>
              <w:top w:w="80" w:type="dxa"/>
              <w:start w:w="80" w:type="dxa"/>
              <w:bottom w:w="80" w:type="dxa"/>
              <w:end w:w="80" w:type="dxa"/>
            </w:tcMar>
            <w:vAlign w:val="center"/>
          </w:tcPr>
          <w:p>
            <w:pPr>
              <w:pStyle w:val="TableText"/>
              <w:spacing w:after="30"/>
            </w:pPr>
            <w:r>
              <w:t>Median and Q95</w:t>
            </w:r>
          </w:p>
        </w:tc>
        <w:tc>
          <w:tcPr>
            <w:tcW w:type="dxa" w:w="3408"/>
            <w:tcMar>
              <w:top w:w="80" w:type="dxa"/>
              <w:start w:w="80" w:type="dxa"/>
              <w:bottom w:w="80" w:type="dxa"/>
              <w:end w:w="80" w:type="dxa"/>
            </w:tcMar>
            <w:vAlign w:val="center"/>
          </w:tcPr>
          <w:p>
            <w:pPr>
              <w:pStyle w:val="TableText"/>
              <w:spacing w:after="30"/>
            </w:pPr>
            <w:r>
              <w:t>Botros [12] explicitly separates average and 95th-percentile task wait behavior; Bansal [14] emphasizes starvation and stale actions.</w:t>
            </w:r>
          </w:p>
        </w:tc>
        <w:tc>
          <w:tcPr>
            <w:tcW w:type="dxa" w:w="3408"/>
            <w:tcMar>
              <w:top w:w="80" w:type="dxa"/>
              <w:start w:w="80" w:type="dxa"/>
              <w:bottom w:w="80" w:type="dxa"/>
              <w:end w:w="80" w:type="dxa"/>
            </w:tcMar>
            <w:vAlign w:val="center"/>
          </w:tcPr>
          <w:p>
            <w:pPr>
              <w:pStyle w:val="TableText"/>
              <w:spacing w:after="30"/>
            </w:pPr>
            <w:r>
              <w:t>Keep Q95 in the hardware table and avoid a median-only success story.</w:t>
            </w:r>
          </w:p>
        </w:tc>
      </w:tr>
      <w:tr>
        <w:trPr>
          <w:cantSplit/>
        </w:trPr>
        <w:tc>
          <w:tcPr>
            <w:tcW w:type="dxa" w:w="3408"/>
            <w:tcMar>
              <w:top w:w="80" w:type="dxa"/>
              <w:start w:w="80" w:type="dxa"/>
              <w:bottom w:w="80" w:type="dxa"/>
              <w:end w:w="80" w:type="dxa"/>
            </w:tcMar>
            <w:shd w:fill="F3F5F7"/>
            <w:vAlign w:val="center"/>
          </w:tcPr>
          <w:p>
            <w:pPr>
              <w:pStyle w:val="TableText"/>
              <w:spacing w:after="30"/>
            </w:pPr>
            <w:r>
              <w:t>Task-service primary outcome</w:t>
            </w:r>
          </w:p>
        </w:tc>
        <w:tc>
          <w:tcPr>
            <w:tcW w:type="dxa" w:w="3408"/>
            <w:tcMar>
              <w:top w:w="80" w:type="dxa"/>
              <w:start w:w="80" w:type="dxa"/>
              <w:bottom w:w="80" w:type="dxa"/>
              <w:end w:w="80" w:type="dxa"/>
            </w:tcMar>
            <w:shd w:fill="F3F5F7"/>
            <w:vAlign w:val="center"/>
          </w:tcPr>
          <w:p>
            <w:pPr>
              <w:pStyle w:val="TableText"/>
              <w:spacing w:after="30"/>
            </w:pPr>
            <w:r>
              <w:t>Dynamic routing literature centers quality of service and wait time [12].</w:t>
            </w:r>
          </w:p>
        </w:tc>
        <w:tc>
          <w:tcPr>
            <w:tcW w:type="dxa" w:w="3408"/>
            <w:tcMar>
              <w:top w:w="80" w:type="dxa"/>
              <w:start w:w="80" w:type="dxa"/>
              <w:bottom w:w="80" w:type="dxa"/>
              <w:end w:w="80" w:type="dxa"/>
            </w:tcMar>
            <w:shd w:fill="F3F5F7"/>
            <w:vAlign w:val="center"/>
          </w:tcPr>
          <w:p>
            <w:pPr>
              <w:pStyle w:val="TableText"/>
              <w:spacing w:after="30"/>
            </w:pPr>
            <w:r>
              <w:t>This strongly supports release-to-completion over mission makespan as the primary mission outcome.</w:t>
            </w:r>
          </w:p>
        </w:tc>
      </w:tr>
      <w:tr>
        <w:trPr>
          <w:cantSplit/>
        </w:trPr>
        <w:tc>
          <w:tcPr>
            <w:tcW w:type="dxa" w:w="3408"/>
            <w:tcMar>
              <w:top w:w="80" w:type="dxa"/>
              <w:start w:w="80" w:type="dxa"/>
              <w:bottom w:w="80" w:type="dxa"/>
              <w:end w:w="80" w:type="dxa"/>
            </w:tcMar>
            <w:vAlign w:val="center"/>
          </w:tcPr>
          <w:p>
            <w:pPr>
              <w:pStyle w:val="TableText"/>
              <w:spacing w:after="30"/>
            </w:pPr>
            <w:r>
              <w:t>Epoch/call behavior</w:t>
            </w:r>
          </w:p>
        </w:tc>
        <w:tc>
          <w:tcPr>
            <w:tcW w:type="dxa" w:w="3408"/>
            <w:tcMar>
              <w:top w:w="80" w:type="dxa"/>
              <w:start w:w="80" w:type="dxa"/>
              <w:bottom w:w="80" w:type="dxa"/>
              <w:end w:w="80" w:type="dxa"/>
            </w:tcMar>
            <w:vAlign w:val="center"/>
          </w:tcPr>
          <w:p>
            <w:pPr>
              <w:pStyle w:val="TableText"/>
              <w:spacing w:after="30"/>
            </w:pPr>
            <w:r>
              <w:t>No broad prior-work claim is needed because the exact mechanism is architecture dependent.</w:t>
            </w:r>
          </w:p>
        </w:tc>
        <w:tc>
          <w:tcPr>
            <w:tcW w:type="dxa" w:w="3408"/>
            <w:tcMar>
              <w:top w:w="80" w:type="dxa"/>
              <w:start w:w="80" w:type="dxa"/>
              <w:bottom w:w="80" w:type="dxa"/>
              <w:end w:w="80" w:type="dxa"/>
            </w:tcMar>
            <w:vAlign w:val="center"/>
          </w:tcPr>
          <w:p>
            <w:pPr>
              <w:pStyle w:val="TableText"/>
              <w:spacing w:after="30"/>
            </w:pPr>
            <w:r>
              <w:t>Use one paragraph as testbed-specific support for measured work; do not elevate it into the novelty claim or title.</w:t>
            </w:r>
          </w:p>
        </w:tc>
      </w:tr>
    </w:tbl>
    <w:p>
      <w:pPr>
        <w:pStyle w:val="Heading3"/>
        <w:keepNext/>
      </w:pPr>
      <w:r>
        <w:t>5.7.1 Recommended discussion thesis</w:t>
      </w:r>
    </w:p>
    <w:p>
      <w:r>
        <w:rPr>
          <w:b/>
        </w:rPr>
        <w:t xml:space="preserve">The paper should conclude that reallocation coalescing is a queueing-and-compute control, not a fixed batching heuristic. </w:t>
      </w:r>
      <w:r>
        <w:t>Sparse arrivals provide insufficient overlap to repay the wait. Dense arrivals increase reallocation pressure; if allocator execution is expensive relative to task dynamics, reducing post-admission work can improve service even after intentional waiting. The threshold should therefore be conditioned on both arrival density and measured compute pressure.</w:t>
      </w:r>
    </w:p>
    <w:p>
      <w:pPr>
        <w:pStyle w:val="Heading3"/>
        <w:keepNext/>
      </w:pPr>
      <w:r>
        <w:t>5.7.2 How to discuss the hardware subset</w:t>
      </w:r>
    </w:p>
    <w:p>
      <w:r>
        <w:rPr>
          <w:b/>
        </w:rPr>
        <w:t xml:space="preserve">The four unique RP2040 traces are descriptive evidence, not a confirmatory hardware sample. </w:t>
      </w:r>
      <w:r>
        <w:t>The strongest wording is that every trace-averaged high-load result favors B=4, while algorithm-level medians and tails show that the magnitude and robustness differ. HIPC and PI support the compute-bound explanation; ACBBA demonstrates that route and tail effects can offset saved work.</w:t>
      </w:r>
    </w:p>
    <w:p>
      <w:pPr>
        <w:pStyle w:val="Heading2"/>
        <w:keepNext/>
      </w:pPr>
      <w:r>
        <w:t>5.8 Recommended Introduction and Related Work architecture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93B63"/>
            <w:vAlign w:val="center"/>
          </w:tcPr>
          <w:p>
            <w:pPr>
              <w:spacing w:after="30"/>
            </w:pPr>
            <w:r>
              <w:rPr>
                <w:b/>
                <w:color w:val="FFFFFF"/>
              </w:rPr>
              <w:t>Paper location</w:t>
            </w:r>
          </w:p>
        </w:tc>
        <w:tc>
          <w:tcPr>
            <w:tcW w:type="dxa" w:w="5112"/>
            <w:shd w:fill="193B63"/>
            <w:vAlign w:val="center"/>
          </w:tcPr>
          <w:p>
            <w:pPr>
              <w:spacing w:after="30"/>
            </w:pPr>
            <w:r>
              <w:rPr>
                <w:b/>
                <w:color w:val="FFFFFF"/>
              </w:rPr>
              <w:t>Content discipline</w:t>
            </w:r>
          </w:p>
        </w:tc>
      </w:tr>
      <w:tr>
        <w:trPr>
          <w:cantSplit/>
        </w:trPr>
        <w:tc>
          <w:tcPr>
            <w:tcW w:type="dxa" w:w="5112"/>
            <w:tcMar>
              <w:top w:w="80" w:type="dxa"/>
              <w:start w:w="80" w:type="dxa"/>
              <w:bottom w:w="80" w:type="dxa"/>
              <w:end w:w="80" w:type="dxa"/>
            </w:tcMar>
            <w:vAlign w:val="center"/>
          </w:tcPr>
          <w:p>
            <w:pPr>
              <w:pStyle w:val="TableText"/>
              <w:spacing w:after="30"/>
            </w:pPr>
            <w:r>
              <w:t>Introduction paragraph 1 — operational problem</w:t>
            </w:r>
          </w:p>
        </w:tc>
        <w:tc>
          <w:tcPr>
            <w:tcW w:type="dxa" w:w="5112"/>
            <w:tcMar>
              <w:top w:w="80" w:type="dxa"/>
              <w:start w:w="80" w:type="dxa"/>
              <w:bottom w:w="80" w:type="dxa"/>
              <w:end w:w="80" w:type="dxa"/>
            </w:tcMar>
            <w:vAlign w:val="center"/>
          </w:tcPr>
          <w:p>
            <w:pPr>
              <w:pStyle w:val="TableText"/>
              <w:spacing w:after="30"/>
            </w:pPr>
            <w:r>
              <w:t>Dynamic missions release tasks during execution. Immediate reallocation improves reaction time but repeatedly invokes decentralized planning on processors whose capability may be far below desktop or edge hardware.</w:t>
            </w:r>
          </w:p>
        </w:tc>
      </w:tr>
      <w:tr>
        <w:trPr>
          <w:cantSplit/>
        </w:trPr>
        <w:tc>
          <w:tcPr>
            <w:tcW w:type="dxa" w:w="5112"/>
            <w:tcMar>
              <w:top w:w="80" w:type="dxa"/>
              <w:start w:w="80" w:type="dxa"/>
              <w:bottom w:w="80" w:type="dxa"/>
              <w:end w:w="80" w:type="dxa"/>
            </w:tcMar>
            <w:shd w:fill="F3F5F7"/>
            <w:vAlign w:val="center"/>
          </w:tcPr>
          <w:p>
            <w:pPr>
              <w:pStyle w:val="TableText"/>
              <w:spacing w:after="30"/>
            </w:pPr>
            <w:r>
              <w:t>Introduction paragraph 2 — established solution families</w:t>
            </w:r>
          </w:p>
        </w:tc>
        <w:tc>
          <w:tcPr>
            <w:tcW w:type="dxa" w:w="5112"/>
            <w:tcMar>
              <w:top w:w="80" w:type="dxa"/>
              <w:start w:w="80" w:type="dxa"/>
              <w:bottom w:w="80" w:type="dxa"/>
              <w:end w:w="80" w:type="dxa"/>
            </w:tcMar>
            <w:shd w:fill="F3F5F7"/>
            <w:vAlign w:val="center"/>
          </w:tcPr>
          <w:p>
            <w:pPr>
              <w:pStyle w:val="TableText"/>
              <w:spacing w:after="30"/>
            </w:pPr>
            <w:r>
              <w:t>Prior work uses event/time triggers, batched optimization, task bundling, partial replanning, and event-triggered consensus. These methods control when assignment occurs, which tasks are grouped, how much is recomputed, or when agents communicate.</w:t>
            </w:r>
          </w:p>
        </w:tc>
      </w:tr>
      <w:tr>
        <w:trPr>
          <w:cantSplit/>
        </w:trPr>
        <w:tc>
          <w:tcPr>
            <w:tcW w:type="dxa" w:w="5112"/>
            <w:tcMar>
              <w:top w:w="80" w:type="dxa"/>
              <w:start w:w="80" w:type="dxa"/>
              <w:bottom w:w="80" w:type="dxa"/>
              <w:end w:w="80" w:type="dxa"/>
            </w:tcMar>
            <w:vAlign w:val="center"/>
          </w:tcPr>
          <w:p>
            <w:pPr>
              <w:pStyle w:val="TableText"/>
              <w:spacing w:after="30"/>
            </w:pPr>
            <w:r>
              <w:t>Introduction paragraph 3 — precise gap</w:t>
            </w:r>
          </w:p>
        </w:tc>
        <w:tc>
          <w:tcPr>
            <w:tcW w:type="dxa" w:w="5112"/>
            <w:tcMar>
              <w:top w:w="80" w:type="dxa"/>
              <w:start w:w="80" w:type="dxa"/>
              <w:bottom w:w="80" w:type="dxa"/>
              <w:end w:w="80" w:type="dxa"/>
            </w:tcMar>
            <w:vAlign w:val="center"/>
          </w:tcPr>
          <w:p>
            <w:pPr>
              <w:pStyle w:val="TableText"/>
              <w:spacing w:after="30"/>
            </w:pPr>
            <w:r>
              <w:t>The literature does not clearly establish when an allocator-independent admission delay improves or harms end-to-end online task service once real embedded computation is placed on the causal execution path across multiple decentralized allocators.</w:t>
            </w:r>
          </w:p>
        </w:tc>
      </w:tr>
      <w:tr>
        <w:trPr>
          <w:cantSplit/>
        </w:trPr>
        <w:tc>
          <w:tcPr>
            <w:tcW w:type="dxa" w:w="5112"/>
            <w:tcMar>
              <w:top w:w="80" w:type="dxa"/>
              <w:start w:w="80" w:type="dxa"/>
              <w:bottom w:w="80" w:type="dxa"/>
              <w:end w:w="80" w:type="dxa"/>
            </w:tcMar>
            <w:shd w:fill="F3F5F7"/>
            <w:vAlign w:val="center"/>
          </w:tcPr>
          <w:p>
            <w:pPr>
              <w:pStyle w:val="TableText"/>
              <w:spacing w:after="30"/>
            </w:pPr>
            <w:r>
              <w:t>Introduction paragraph 4 — study and contribution</w:t>
            </w:r>
          </w:p>
        </w:tc>
        <w:tc>
          <w:tcPr>
            <w:tcW w:type="dxa" w:w="5112"/>
            <w:tcMar>
              <w:top w:w="80" w:type="dxa"/>
              <w:start w:w="80" w:type="dxa"/>
              <w:bottom w:w="80" w:type="dxa"/>
              <w:end w:w="80" w:type="dxa"/>
            </w:tcMar>
            <w:shd w:fill="F3F5F7"/>
            <w:vAlign w:val="center"/>
          </w:tcPr>
          <w:p>
            <w:pPr>
              <w:pStyle w:val="TableText"/>
              <w:spacing w:after="30"/>
            </w:pPr>
            <w:r>
              <w:t>Present the 3,000 causal + 3,000 zero-compute matrix, online release-to-completion metric, AGX/RP2040 provider separation, and load/allocator policy design.</w:t>
            </w:r>
          </w:p>
        </w:tc>
      </w:tr>
      <w:tr>
        <w:trPr>
          <w:cantSplit/>
        </w:trPr>
        <w:tc>
          <w:tcPr>
            <w:tcW w:type="dxa" w:w="5112"/>
            <w:tcMar>
              <w:top w:w="80" w:type="dxa"/>
              <w:start w:w="80" w:type="dxa"/>
              <w:bottom w:w="80" w:type="dxa"/>
              <w:end w:w="80" w:type="dxa"/>
            </w:tcMar>
            <w:vAlign w:val="center"/>
          </w:tcPr>
          <w:p>
            <w:pPr>
              <w:pStyle w:val="TableText"/>
              <w:spacing w:after="30"/>
            </w:pPr>
            <w:r>
              <w:t>Related Work paragraph 1</w:t>
            </w:r>
          </w:p>
        </w:tc>
        <w:tc>
          <w:tcPr>
            <w:tcW w:type="dxa" w:w="5112"/>
            <w:tcMar>
              <w:top w:w="80" w:type="dxa"/>
              <w:start w:w="80" w:type="dxa"/>
              <w:bottom w:w="80" w:type="dxa"/>
              <w:end w:w="80" w:type="dxa"/>
            </w:tcMar>
            <w:vAlign w:val="center"/>
          </w:tcPr>
          <w:p>
            <w:pPr>
              <w:pStyle w:val="TableText"/>
              <w:spacing w:after="30"/>
            </w:pPr>
            <w:r>
              <w:t>Dynamic trigger timing and task batching: Bai, Hu, Nam/Shell, Tuck, Botros.</w:t>
            </w:r>
          </w:p>
        </w:tc>
      </w:tr>
      <w:tr>
        <w:trPr>
          <w:cantSplit/>
        </w:trPr>
        <w:tc>
          <w:tcPr>
            <w:tcW w:type="dxa" w:w="5112"/>
            <w:tcMar>
              <w:top w:w="80" w:type="dxa"/>
              <w:start w:w="80" w:type="dxa"/>
              <w:bottom w:w="80" w:type="dxa"/>
              <w:end w:w="80" w:type="dxa"/>
            </w:tcMar>
            <w:shd w:fill="F3F5F7"/>
            <w:vAlign w:val="center"/>
          </w:tcPr>
          <w:p>
            <w:pPr>
              <w:pStyle w:val="TableText"/>
              <w:spacing w:after="30"/>
            </w:pPr>
            <w:r>
              <w:t>Related Work paragraph 2</w:t>
            </w:r>
          </w:p>
        </w:tc>
        <w:tc>
          <w:tcPr>
            <w:tcW w:type="dxa" w:w="5112"/>
            <w:tcMar>
              <w:top w:w="80" w:type="dxa"/>
              <w:start w:w="80" w:type="dxa"/>
              <w:bottom w:w="80" w:type="dxa"/>
              <w:end w:w="80" w:type="dxa"/>
            </w:tcMar>
            <w:shd w:fill="F3F5F7"/>
            <w:vAlign w:val="center"/>
          </w:tcPr>
          <w:p>
            <w:pPr>
              <w:pStyle w:val="TableText"/>
              <w:spacing w:after="30"/>
            </w:pPr>
            <w:r>
              <w:t>Computation-aware replanning: Buckman, Thorne/Lopez, Choudhury, Forte.</w:t>
            </w:r>
          </w:p>
        </w:tc>
      </w:tr>
      <w:tr>
        <w:trPr>
          <w:cantSplit/>
        </w:trPr>
        <w:tc>
          <w:tcPr>
            <w:tcW w:type="dxa" w:w="5112"/>
            <w:tcMar>
              <w:top w:w="80" w:type="dxa"/>
              <w:start w:w="80" w:type="dxa"/>
              <w:bottom w:w="80" w:type="dxa"/>
              <w:end w:w="80" w:type="dxa"/>
            </w:tcMar>
            <w:vAlign w:val="center"/>
          </w:tcPr>
          <w:p>
            <w:pPr>
              <w:pStyle w:val="TableText"/>
              <w:spacing w:after="30"/>
            </w:pPr>
            <w:r>
              <w:t>Related Work paragraph 3</w:t>
            </w:r>
          </w:p>
        </w:tc>
        <w:tc>
          <w:tcPr>
            <w:tcW w:type="dxa" w:w="5112"/>
            <w:tcMar>
              <w:top w:w="80" w:type="dxa"/>
              <w:start w:w="80" w:type="dxa"/>
              <w:bottom w:w="80" w:type="dxa"/>
              <w:end w:w="80" w:type="dxa"/>
            </w:tcMar>
            <w:vAlign w:val="center"/>
          </w:tcPr>
          <w:p>
            <w:pPr>
              <w:pStyle w:val="TableText"/>
              <w:spacing w:after="30"/>
            </w:pPr>
            <w:r>
              <w:t>Event-triggered communication and systems batching: Aznar, Sao, Li, Tai, Bansal; finish with the exact gap statement.</w:t>
            </w:r>
          </w:p>
        </w:tc>
      </w:tr>
    </w:tbl>
    <w:p>
      <w:pPr>
        <w:pStyle w:val="Heading2"/>
        <w:keepNext/>
      </w:pPr>
      <w:r>
        <w:t>5.9 Paper-ready Related Work draft</w:t>
      </w:r>
    </w:p>
    <w:p>
      <w:r>
        <w:rPr>
          <w:b/>
        </w:rPr>
        <w:t xml:space="preserve">Dynamic task-allocation systems must decide both how to revise an assignment and when a revision is warranted. </w:t>
      </w:r>
      <w:r>
        <w:t>Event- and time-triggered vehicle-assignment methods have compared immediate updates after newly generated targets with periodic reassignment, while recent event-triggered multi-UAV allocation has sought to reduce real-time computational load [1], [2]. Other approaches delay or group work more explicitly: sequential stochastic task bundling trades task completion time against execution efficiency, and dynamic SMT formulations process arriving task batches while retaining solver state [3], [4]. These studies establish that online assignment timing and task accumulation are not new. Our work differs by coalescing task admission above unmodified decentralized allocators and evaluating the resulting end-to-end service latency rather than route cost or solver runtime alone.</w:t>
      </w:r>
    </w:p>
    <w:p>
      <w:r>
        <w:rPr>
          <w:b/>
        </w:rPr>
        <w:t xml:space="preserve">Computation-aware online MRTA has also reduced the scope of replanning. </w:t>
      </w:r>
      <w:r>
        <w:t>CBBA Partial Replanning retains part of the previous bundle to reduce convergence time and communication, while TSOTAN performs rapid partial updates and invokes complete reoptimization only when a makespan-quality bound is violated [5], [6]. SCoBA and integrated online fleet architectures likewise demonstrate that assignment and execution can be interleaved under uncertainty and coordination constraints [7], [8]. These methods change the allocator or the amount of state reconsidered. Reallocation coalescing is complementary: it controls when newly released tasks are exposed to whichever allocator is already deployed.</w:t>
      </w:r>
    </w:p>
    <w:p>
      <w:r>
        <w:rPr>
          <w:b/>
        </w:rPr>
        <w:t xml:space="preserve">Event-triggered decentralized methods frequently target communication. </w:t>
      </w:r>
      <w:r>
        <w:t>Adaptive consensus initiates or accelerates negotiation after significant events, and event-driven CBBA suppresses broadcasts when allocation state has not changed [9], [10]. Bounded-frequency rescheduling has also been used for faults, priority arrivals, and energy deviations [11]. Our scheduler instead imposes a count- or age-based admission delay before task negotiation and measures provider-specific processor work, online release-to-completion latency, and causal motion effects.</w:t>
      </w:r>
    </w:p>
    <w:p>
      <w:r>
        <w:rPr>
          <w:b/>
        </w:rPr>
        <w:t xml:space="preserve">The underlying systems tradeoff resembles interrupt and inference-request coalescing. </w:t>
      </w:r>
      <w:r>
        <w:t>Interrupt batching reduces CPU overhead at the cost of completion latency, while recent robot-policy serving work shows that batch efficiency and closed-loop responsiveness depend on workload heterogeneity [13], [14]. We bring this systems question into decentralized MRTA, where the relevant outcome is physical task service and where allocator complexity and embedded device speed can change whether the intentional wait is repaid after admission.</w:t>
      </w:r>
    </w:p>
    <w:p>
      <w:r>
        <w:rPr>
          <w:b/>
        </w:rPr>
        <w:t xml:space="preserve">Gap statement. </w:t>
      </w:r>
      <w:r>
        <w:t>To the best of our knowledge, prior work has not jointly evaluated an allocator-independent admission-coalescing policy across multiple decentralized MRTA methods, controlled stochastic task-arrival loads, causal provider-specific compute timing, and online task release-to-completion latency.</w:t>
      </w:r>
    </w:p>
    <w:p>
      <w:pPr>
        <w:pStyle w:val="Heading2"/>
        <w:keepNext/>
      </w:pPr>
      <w:r>
        <w:t>5.10 Core citation set and placement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cantSplit/>
        </w:trPr>
        <w:tc>
          <w:tcPr>
            <w:tcW w:type="dxa" w:w="2556"/>
            <w:shd w:fill="193B63"/>
            <w:vAlign w:val="center"/>
          </w:tcPr>
          <w:p>
            <w:pPr>
              <w:spacing w:after="30"/>
            </w:pPr>
            <w:r>
              <w:rPr>
                <w:b/>
                <w:color w:val="FFFFFF"/>
              </w:rPr>
              <w:t>Priority</w:t>
            </w:r>
          </w:p>
        </w:tc>
        <w:tc>
          <w:tcPr>
            <w:tcW w:type="dxa" w:w="2556"/>
            <w:shd w:fill="193B63"/>
            <w:vAlign w:val="center"/>
          </w:tcPr>
          <w:p>
            <w:pPr>
              <w:spacing w:after="30"/>
            </w:pPr>
            <w:r>
              <w:rPr>
                <w:b/>
                <w:color w:val="FFFFFF"/>
              </w:rPr>
              <w:t>Source</w:t>
            </w:r>
          </w:p>
        </w:tc>
        <w:tc>
          <w:tcPr>
            <w:tcW w:type="dxa" w:w="2556"/>
            <w:shd w:fill="193B63"/>
            <w:vAlign w:val="center"/>
          </w:tcPr>
          <w:p>
            <w:pPr>
              <w:spacing w:after="30"/>
            </w:pPr>
            <w:r>
              <w:rPr>
                <w:b/>
                <w:color w:val="FFFFFF"/>
              </w:rPr>
              <w:t>Why it matters</w:t>
            </w:r>
          </w:p>
        </w:tc>
        <w:tc>
          <w:tcPr>
            <w:tcW w:type="dxa" w:w="2556"/>
            <w:shd w:fill="193B63"/>
            <w:vAlign w:val="center"/>
          </w:tcPr>
          <w:p>
            <w:pPr>
              <w:spacing w:after="30"/>
            </w:pPr>
            <w:r>
              <w:rPr>
                <w:b/>
                <w:color w:val="FFFFFF"/>
              </w:rPr>
              <w:t>Paper placement</w:t>
            </w:r>
          </w:p>
        </w:tc>
      </w:tr>
      <w:tr>
        <w:trPr>
          <w:cantSplit/>
        </w:trPr>
        <w:tc>
          <w:tcPr>
            <w:tcW w:type="dxa" w:w="2556"/>
            <w:tcMar>
              <w:top w:w="80" w:type="dxa"/>
              <w:start w:w="80" w:type="dxa"/>
              <w:bottom w:w="80" w:type="dxa"/>
              <w:end w:w="80" w:type="dxa"/>
            </w:tcMar>
            <w:vAlign w:val="center"/>
          </w:tcPr>
          <w:p>
            <w:pPr>
              <w:pStyle w:val="TableText"/>
              <w:spacing w:after="30"/>
            </w:pPr>
            <w:r>
              <w:t>Must cite</w:t>
            </w:r>
          </w:p>
        </w:tc>
        <w:tc>
          <w:tcPr>
            <w:tcW w:type="dxa" w:w="2556"/>
            <w:tcMar>
              <w:top w:w="80" w:type="dxa"/>
              <w:start w:w="80" w:type="dxa"/>
              <w:bottom w:w="80" w:type="dxa"/>
              <w:end w:w="80" w:type="dxa"/>
            </w:tcMar>
            <w:vAlign w:val="center"/>
          </w:tcPr>
          <w:p>
            <w:pPr>
              <w:pStyle w:val="TableText"/>
              <w:spacing w:after="30"/>
            </w:pPr>
            <w:r>
              <w:t>Bai et al. [1]</w:t>
            </w:r>
          </w:p>
        </w:tc>
        <w:tc>
          <w:tcPr>
            <w:tcW w:type="dxa" w:w="2556"/>
            <w:tcMar>
              <w:top w:w="80" w:type="dxa"/>
              <w:start w:w="80" w:type="dxa"/>
              <w:bottom w:w="80" w:type="dxa"/>
              <w:end w:w="80" w:type="dxa"/>
            </w:tcMar>
            <w:vAlign w:val="center"/>
          </w:tcPr>
          <w:p>
            <w:pPr>
              <w:pStyle w:val="TableText"/>
              <w:spacing w:after="30"/>
            </w:pPr>
            <w:r>
              <w:t>Closest direct precedent for event- versus time-triggered dynamic assignment.</w:t>
            </w:r>
          </w:p>
        </w:tc>
        <w:tc>
          <w:tcPr>
            <w:tcW w:type="dxa" w:w="2556"/>
            <w:tcMar>
              <w:top w:w="80" w:type="dxa"/>
              <w:start w:w="80" w:type="dxa"/>
              <w:bottom w:w="80" w:type="dxa"/>
              <w:end w:w="80" w:type="dxa"/>
            </w:tcMar>
            <w:vAlign w:val="center"/>
          </w:tcPr>
          <w:p>
            <w:pPr>
              <w:pStyle w:val="TableText"/>
              <w:spacing w:after="30"/>
            </w:pPr>
            <w:r>
              <w:t>Intro/Related Work trigger paragraph.</w:t>
            </w:r>
          </w:p>
        </w:tc>
      </w:tr>
      <w:tr>
        <w:trPr>
          <w:cantSplit/>
        </w:trPr>
        <w:tc>
          <w:tcPr>
            <w:tcW w:type="dxa" w:w="2556"/>
            <w:tcMar>
              <w:top w:w="80" w:type="dxa"/>
              <w:start w:w="80" w:type="dxa"/>
              <w:bottom w:w="80" w:type="dxa"/>
              <w:end w:w="80" w:type="dxa"/>
            </w:tcMar>
            <w:shd w:fill="F3F5F7"/>
            <w:vAlign w:val="center"/>
          </w:tcPr>
          <w:p>
            <w:pPr>
              <w:pStyle w:val="TableText"/>
              <w:spacing w:after="30"/>
            </w:pPr>
            <w:r>
              <w:t>Must cite</w:t>
            </w:r>
          </w:p>
        </w:tc>
        <w:tc>
          <w:tcPr>
            <w:tcW w:type="dxa" w:w="2556"/>
            <w:tcMar>
              <w:top w:w="80" w:type="dxa"/>
              <w:start w:w="80" w:type="dxa"/>
              <w:bottom w:w="80" w:type="dxa"/>
              <w:end w:w="80" w:type="dxa"/>
            </w:tcMar>
            <w:shd w:fill="F3F5F7"/>
            <w:vAlign w:val="center"/>
          </w:tcPr>
          <w:p>
            <w:pPr>
              <w:pStyle w:val="TableText"/>
              <w:spacing w:after="30"/>
            </w:pPr>
            <w:r>
              <w:t>Hu et al. [2]</w:t>
            </w:r>
          </w:p>
        </w:tc>
        <w:tc>
          <w:tcPr>
            <w:tcW w:type="dxa" w:w="2556"/>
            <w:tcMar>
              <w:top w:w="80" w:type="dxa"/>
              <w:start w:w="80" w:type="dxa"/>
              <w:bottom w:w="80" w:type="dxa"/>
              <w:end w:w="80" w:type="dxa"/>
            </w:tcMar>
            <w:shd w:fill="F3F5F7"/>
            <w:vAlign w:val="center"/>
          </w:tcPr>
          <w:p>
            <w:pPr>
              <w:pStyle w:val="TableText"/>
              <w:spacing w:after="30"/>
            </w:pPr>
            <w:r>
              <w:t>Recent event-triggered dynamic task allocation motivated by computational load.</w:t>
            </w:r>
          </w:p>
        </w:tc>
        <w:tc>
          <w:tcPr>
            <w:tcW w:type="dxa" w:w="2556"/>
            <w:tcMar>
              <w:top w:w="80" w:type="dxa"/>
              <w:start w:w="80" w:type="dxa"/>
              <w:bottom w:w="80" w:type="dxa"/>
              <w:end w:w="80" w:type="dxa"/>
            </w:tcMar>
            <w:shd w:fill="F3F5F7"/>
            <w:vAlign w:val="center"/>
          </w:tcPr>
          <w:p>
            <w:pPr>
              <w:pStyle w:val="TableText"/>
              <w:spacing w:after="30"/>
            </w:pPr>
            <w:r>
              <w:t>Related Work; closest 2025 title-level neighbor.</w:t>
            </w:r>
          </w:p>
        </w:tc>
      </w:tr>
      <w:tr>
        <w:trPr>
          <w:cantSplit/>
        </w:trPr>
        <w:tc>
          <w:tcPr>
            <w:tcW w:type="dxa" w:w="2556"/>
            <w:tcMar>
              <w:top w:w="80" w:type="dxa"/>
              <w:start w:w="80" w:type="dxa"/>
              <w:bottom w:w="80" w:type="dxa"/>
              <w:end w:w="80" w:type="dxa"/>
            </w:tcMar>
            <w:vAlign w:val="center"/>
          </w:tcPr>
          <w:p>
            <w:pPr>
              <w:pStyle w:val="TableText"/>
              <w:spacing w:after="30"/>
            </w:pPr>
            <w:r>
              <w:t>Must cite</w:t>
            </w:r>
          </w:p>
        </w:tc>
        <w:tc>
          <w:tcPr>
            <w:tcW w:type="dxa" w:w="2556"/>
            <w:tcMar>
              <w:top w:w="80" w:type="dxa"/>
              <w:start w:w="80" w:type="dxa"/>
              <w:bottom w:w="80" w:type="dxa"/>
              <w:end w:w="80" w:type="dxa"/>
            </w:tcMar>
            <w:vAlign w:val="center"/>
          </w:tcPr>
          <w:p>
            <w:pPr>
              <w:pStyle w:val="TableText"/>
              <w:spacing w:after="30"/>
            </w:pPr>
            <w:r>
              <w:t>Nam and Shell [3]</w:t>
            </w:r>
          </w:p>
        </w:tc>
        <w:tc>
          <w:tcPr>
            <w:tcW w:type="dxa" w:w="2556"/>
            <w:tcMar>
              <w:top w:w="80" w:type="dxa"/>
              <w:start w:w="80" w:type="dxa"/>
              <w:bottom w:w="80" w:type="dxa"/>
              <w:end w:w="80" w:type="dxa"/>
            </w:tcMar>
            <w:vAlign w:val="center"/>
          </w:tcPr>
          <w:p>
            <w:pPr>
              <w:pStyle w:val="TableText"/>
              <w:spacing w:after="30"/>
            </w:pPr>
            <w:r>
              <w:t>Sequential stochastic task bundling and waiting/efficiency tradeoff.</w:t>
            </w:r>
          </w:p>
        </w:tc>
        <w:tc>
          <w:tcPr>
            <w:tcW w:type="dxa" w:w="2556"/>
            <w:tcMar>
              <w:top w:w="80" w:type="dxa"/>
              <w:start w:w="80" w:type="dxa"/>
              <w:bottom w:w="80" w:type="dxa"/>
              <w:end w:w="80" w:type="dxa"/>
            </w:tcMar>
            <w:vAlign w:val="center"/>
          </w:tcPr>
          <w:p>
            <w:pPr>
              <w:pStyle w:val="TableText"/>
              <w:spacing w:after="30"/>
            </w:pPr>
            <w:r>
              <w:t>Clarify that tasks are not execution bundles.</w:t>
            </w:r>
          </w:p>
        </w:tc>
      </w:tr>
      <w:tr>
        <w:trPr>
          <w:cantSplit/>
        </w:trPr>
        <w:tc>
          <w:tcPr>
            <w:tcW w:type="dxa" w:w="2556"/>
            <w:tcMar>
              <w:top w:w="80" w:type="dxa"/>
              <w:start w:w="80" w:type="dxa"/>
              <w:bottom w:w="80" w:type="dxa"/>
              <w:end w:w="80" w:type="dxa"/>
            </w:tcMar>
            <w:shd w:fill="F3F5F7"/>
            <w:vAlign w:val="center"/>
          </w:tcPr>
          <w:p>
            <w:pPr>
              <w:pStyle w:val="TableText"/>
              <w:spacing w:after="30"/>
            </w:pPr>
            <w:r>
              <w:t>Must cite</w:t>
            </w:r>
          </w:p>
        </w:tc>
        <w:tc>
          <w:tcPr>
            <w:tcW w:type="dxa" w:w="2556"/>
            <w:tcMar>
              <w:top w:w="80" w:type="dxa"/>
              <w:start w:w="80" w:type="dxa"/>
              <w:bottom w:w="80" w:type="dxa"/>
              <w:end w:w="80" w:type="dxa"/>
            </w:tcMar>
            <w:shd w:fill="F3F5F7"/>
            <w:vAlign w:val="center"/>
          </w:tcPr>
          <w:p>
            <w:pPr>
              <w:pStyle w:val="TableText"/>
              <w:spacing w:after="30"/>
            </w:pPr>
            <w:r>
              <w:t>Tuck et al. [4]</w:t>
            </w:r>
          </w:p>
        </w:tc>
        <w:tc>
          <w:tcPr>
            <w:tcW w:type="dxa" w:w="2556"/>
            <w:tcMar>
              <w:top w:w="80" w:type="dxa"/>
              <w:start w:w="80" w:type="dxa"/>
              <w:bottom w:w="80" w:type="dxa"/>
              <w:end w:w="80" w:type="dxa"/>
            </w:tcMar>
            <w:shd w:fill="F3F5F7"/>
            <w:vAlign w:val="center"/>
          </w:tcPr>
          <w:p>
            <w:pPr>
              <w:pStyle w:val="TableText"/>
              <w:spacing w:after="30"/>
            </w:pPr>
            <w:r>
              <w:t>Batched online tasks and incremental solver runtime.</w:t>
            </w:r>
          </w:p>
        </w:tc>
        <w:tc>
          <w:tcPr>
            <w:tcW w:type="dxa" w:w="2556"/>
            <w:tcMar>
              <w:top w:w="80" w:type="dxa"/>
              <w:start w:w="80" w:type="dxa"/>
              <w:bottom w:w="80" w:type="dxa"/>
              <w:end w:w="80" w:type="dxa"/>
            </w:tcMar>
            <w:shd w:fill="F3F5F7"/>
            <w:vAlign w:val="center"/>
          </w:tcPr>
          <w:p>
            <w:pPr>
              <w:pStyle w:val="TableText"/>
              <w:spacing w:after="30"/>
            </w:pPr>
            <w:r>
              <w:t>Clarify centralized solve batching vs decentralized admission.</w:t>
            </w:r>
          </w:p>
        </w:tc>
      </w:tr>
      <w:tr>
        <w:trPr>
          <w:cantSplit/>
        </w:trPr>
        <w:tc>
          <w:tcPr>
            <w:tcW w:type="dxa" w:w="2556"/>
            <w:tcMar>
              <w:top w:w="80" w:type="dxa"/>
              <w:start w:w="80" w:type="dxa"/>
              <w:bottom w:w="80" w:type="dxa"/>
              <w:end w:w="80" w:type="dxa"/>
            </w:tcMar>
            <w:vAlign w:val="center"/>
          </w:tcPr>
          <w:p>
            <w:pPr>
              <w:pStyle w:val="TableText"/>
              <w:spacing w:after="30"/>
            </w:pPr>
            <w:r>
              <w:t>Must cite</w:t>
            </w:r>
          </w:p>
        </w:tc>
        <w:tc>
          <w:tcPr>
            <w:tcW w:type="dxa" w:w="2556"/>
            <w:tcMar>
              <w:top w:w="80" w:type="dxa"/>
              <w:start w:w="80" w:type="dxa"/>
              <w:bottom w:w="80" w:type="dxa"/>
              <w:end w:w="80" w:type="dxa"/>
            </w:tcMar>
            <w:vAlign w:val="center"/>
          </w:tcPr>
          <w:p>
            <w:pPr>
              <w:pStyle w:val="TableText"/>
              <w:spacing w:after="30"/>
            </w:pPr>
            <w:r>
              <w:t>Buckman et al. [5]</w:t>
            </w:r>
          </w:p>
        </w:tc>
        <w:tc>
          <w:tcPr>
            <w:tcW w:type="dxa" w:w="2556"/>
            <w:tcMar>
              <w:top w:w="80" w:type="dxa"/>
              <w:start w:w="80" w:type="dxa"/>
              <w:bottom w:w="80" w:type="dxa"/>
              <w:end w:w="80" w:type="dxa"/>
            </w:tcMar>
            <w:vAlign w:val="center"/>
          </w:tcPr>
          <w:p>
            <w:pPr>
              <w:pStyle w:val="TableText"/>
              <w:spacing w:after="30"/>
            </w:pPr>
            <w:r>
              <w:t>Computation-aware partial replanning in decentralized CBBA.</w:t>
            </w:r>
          </w:p>
        </w:tc>
        <w:tc>
          <w:tcPr>
            <w:tcW w:type="dxa" w:w="2556"/>
            <w:tcMar>
              <w:top w:w="80" w:type="dxa"/>
              <w:start w:w="80" w:type="dxa"/>
              <w:bottom w:w="80" w:type="dxa"/>
              <w:end w:w="80" w:type="dxa"/>
            </w:tcMar>
            <w:vAlign w:val="center"/>
          </w:tcPr>
          <w:p>
            <w:pPr>
              <w:pStyle w:val="TableText"/>
              <w:spacing w:after="30"/>
            </w:pPr>
            <w:r>
              <w:t>Differentiate when-to-invoke from how-much-to-recompute.</w:t>
            </w:r>
          </w:p>
        </w:tc>
      </w:tr>
      <w:tr>
        <w:trPr>
          <w:cantSplit/>
        </w:trPr>
        <w:tc>
          <w:tcPr>
            <w:tcW w:type="dxa" w:w="2556"/>
            <w:tcMar>
              <w:top w:w="80" w:type="dxa"/>
              <w:start w:w="80" w:type="dxa"/>
              <w:bottom w:w="80" w:type="dxa"/>
              <w:end w:w="80" w:type="dxa"/>
            </w:tcMar>
            <w:shd w:fill="F3F5F7"/>
            <w:vAlign w:val="center"/>
          </w:tcPr>
          <w:p>
            <w:pPr>
              <w:pStyle w:val="TableText"/>
              <w:spacing w:after="30"/>
            </w:pPr>
            <w:r>
              <w:t>Must cite</w:t>
            </w:r>
          </w:p>
        </w:tc>
        <w:tc>
          <w:tcPr>
            <w:tcW w:type="dxa" w:w="2556"/>
            <w:tcMar>
              <w:top w:w="80" w:type="dxa"/>
              <w:start w:w="80" w:type="dxa"/>
              <w:bottom w:w="80" w:type="dxa"/>
              <w:end w:w="80" w:type="dxa"/>
            </w:tcMar>
            <w:shd w:fill="F3F5F7"/>
            <w:vAlign w:val="center"/>
          </w:tcPr>
          <w:p>
            <w:pPr>
              <w:pStyle w:val="TableText"/>
              <w:spacing w:after="30"/>
            </w:pPr>
            <w:r>
              <w:t>Thorne and Lopez [6]</w:t>
            </w:r>
          </w:p>
        </w:tc>
        <w:tc>
          <w:tcPr>
            <w:tcW w:type="dxa" w:w="2556"/>
            <w:tcMar>
              <w:top w:w="80" w:type="dxa"/>
              <w:start w:w="80" w:type="dxa"/>
              <w:bottom w:w="80" w:type="dxa"/>
              <w:end w:w="80" w:type="dxa"/>
            </w:tcMar>
            <w:shd w:fill="F3F5F7"/>
            <w:vAlign w:val="center"/>
          </w:tcPr>
          <w:p>
            <w:pPr>
              <w:pStyle w:val="TableText"/>
              <w:spacing w:after="30"/>
            </w:pPr>
            <w:r>
              <w:t>Partial/complete reoptimization tradeoff for online MRTA/MAPF.</w:t>
            </w:r>
          </w:p>
        </w:tc>
        <w:tc>
          <w:tcPr>
            <w:tcW w:type="dxa" w:w="2556"/>
            <w:tcMar>
              <w:top w:w="80" w:type="dxa"/>
              <w:start w:w="80" w:type="dxa"/>
              <w:bottom w:w="80" w:type="dxa"/>
              <w:end w:w="80" w:type="dxa"/>
            </w:tcMar>
            <w:shd w:fill="F3F5F7"/>
            <w:vAlign w:val="center"/>
          </w:tcPr>
          <w:p>
            <w:pPr>
              <w:pStyle w:val="TableText"/>
              <w:spacing w:after="30"/>
            </w:pPr>
            <w:r>
              <w:t>Computation-aware online allocation paragraph.</w:t>
            </w:r>
          </w:p>
        </w:tc>
      </w:tr>
      <w:tr>
        <w:trPr>
          <w:cantSplit/>
        </w:trPr>
        <w:tc>
          <w:tcPr>
            <w:tcW w:type="dxa" w:w="2556"/>
            <w:tcMar>
              <w:top w:w="80" w:type="dxa"/>
              <w:start w:w="80" w:type="dxa"/>
              <w:bottom w:w="80" w:type="dxa"/>
              <w:end w:w="80" w:type="dxa"/>
            </w:tcMar>
            <w:vAlign w:val="center"/>
          </w:tcPr>
          <w:p>
            <w:pPr>
              <w:pStyle w:val="TableText"/>
              <w:spacing w:after="30"/>
            </w:pPr>
            <w:r>
              <w:t>Must cite</w:t>
            </w:r>
          </w:p>
        </w:tc>
        <w:tc>
          <w:tcPr>
            <w:tcW w:type="dxa" w:w="2556"/>
            <w:tcMar>
              <w:top w:w="80" w:type="dxa"/>
              <w:start w:w="80" w:type="dxa"/>
              <w:bottom w:w="80" w:type="dxa"/>
              <w:end w:w="80" w:type="dxa"/>
            </w:tcMar>
            <w:vAlign w:val="center"/>
          </w:tcPr>
          <w:p>
            <w:pPr>
              <w:pStyle w:val="TableText"/>
              <w:spacing w:after="30"/>
            </w:pPr>
            <w:r>
              <w:t>Botros et al. [12]</w:t>
            </w:r>
          </w:p>
        </w:tc>
        <w:tc>
          <w:tcPr>
            <w:tcW w:type="dxa" w:w="2556"/>
            <w:tcMar>
              <w:top w:w="80" w:type="dxa"/>
              <w:start w:w="80" w:type="dxa"/>
              <w:bottom w:w="80" w:type="dxa"/>
              <w:end w:w="80" w:type="dxa"/>
            </w:tcMar>
            <w:vAlign w:val="center"/>
          </w:tcPr>
          <w:p>
            <w:pPr>
              <w:pStyle w:val="TableText"/>
              <w:spacing w:after="30"/>
            </w:pPr>
            <w:r>
              <w:t>Load regimes, mean/Q95 waiting-time quality of service.</w:t>
            </w:r>
          </w:p>
        </w:tc>
        <w:tc>
          <w:tcPr>
            <w:tcW w:type="dxa" w:w="2556"/>
            <w:tcMar>
              <w:top w:w="80" w:type="dxa"/>
              <w:start w:w="80" w:type="dxa"/>
              <w:bottom w:w="80" w:type="dxa"/>
              <w:end w:w="80" w:type="dxa"/>
            </w:tcMar>
            <w:vAlign w:val="center"/>
          </w:tcPr>
          <w:p>
            <w:pPr>
              <w:pStyle w:val="TableText"/>
              <w:spacing w:after="30"/>
            </w:pPr>
            <w:r>
              <w:t>Supports primary metric and tail analysis.</w:t>
            </w:r>
          </w:p>
        </w:tc>
      </w:tr>
      <w:tr>
        <w:trPr>
          <w:cantSplit/>
        </w:trPr>
        <w:tc>
          <w:tcPr>
            <w:tcW w:type="dxa" w:w="2556"/>
            <w:tcMar>
              <w:top w:w="80" w:type="dxa"/>
              <w:start w:w="80" w:type="dxa"/>
              <w:bottom w:w="80" w:type="dxa"/>
              <w:end w:w="80" w:type="dxa"/>
            </w:tcMar>
            <w:shd w:fill="F3F5F7"/>
            <w:vAlign w:val="center"/>
          </w:tcPr>
          <w:p>
            <w:pPr>
              <w:pStyle w:val="TableText"/>
              <w:spacing w:after="30"/>
            </w:pPr>
            <w:r>
              <w:t>Must cite</w:t>
            </w:r>
          </w:p>
        </w:tc>
        <w:tc>
          <w:tcPr>
            <w:tcW w:type="dxa" w:w="2556"/>
            <w:tcMar>
              <w:top w:w="80" w:type="dxa"/>
              <w:start w:w="80" w:type="dxa"/>
              <w:bottom w:w="80" w:type="dxa"/>
              <w:end w:w="80" w:type="dxa"/>
            </w:tcMar>
            <w:shd w:fill="F3F5F7"/>
            <w:vAlign w:val="center"/>
          </w:tcPr>
          <w:p>
            <w:pPr>
              <w:pStyle w:val="TableText"/>
              <w:spacing w:after="30"/>
            </w:pPr>
            <w:r>
              <w:t>Tai et al. [13]</w:t>
            </w:r>
          </w:p>
        </w:tc>
        <w:tc>
          <w:tcPr>
            <w:tcW w:type="dxa" w:w="2556"/>
            <w:tcMar>
              <w:top w:w="80" w:type="dxa"/>
              <w:start w:w="80" w:type="dxa"/>
              <w:bottom w:w="80" w:type="dxa"/>
              <w:end w:w="80" w:type="dxa"/>
            </w:tcMar>
            <w:shd w:fill="F3F5F7"/>
            <w:vAlign w:val="center"/>
          </w:tcPr>
          <w:p>
            <w:pPr>
              <w:pStyle w:val="TableText"/>
              <w:spacing w:after="30"/>
            </w:pPr>
            <w:r>
              <w:t>Count/timeout coalescing and workload-sensitive latency/CPU tradeoff.</w:t>
            </w:r>
          </w:p>
        </w:tc>
        <w:tc>
          <w:tcPr>
            <w:tcW w:type="dxa" w:w="2556"/>
            <w:tcMar>
              <w:top w:w="80" w:type="dxa"/>
              <w:start w:w="80" w:type="dxa"/>
              <w:bottom w:w="80" w:type="dxa"/>
              <w:end w:w="80" w:type="dxa"/>
            </w:tcMar>
            <w:shd w:fill="F3F5F7"/>
            <w:vAlign w:val="center"/>
          </w:tcPr>
          <w:p>
            <w:pPr>
              <w:pStyle w:val="TableText"/>
              <w:spacing w:after="30"/>
            </w:pPr>
            <w:r>
              <w:t>IPCCC systems framing.</w:t>
            </w:r>
          </w:p>
        </w:tc>
      </w:tr>
      <w:tr>
        <w:trPr>
          <w:cantSplit/>
        </w:trPr>
        <w:tc>
          <w:tcPr>
            <w:tcW w:type="dxa" w:w="2556"/>
            <w:tcMar>
              <w:top w:w="80" w:type="dxa"/>
              <w:start w:w="80" w:type="dxa"/>
              <w:bottom w:w="80" w:type="dxa"/>
              <w:end w:w="80" w:type="dxa"/>
            </w:tcMar>
            <w:vAlign w:val="center"/>
          </w:tcPr>
          <w:p>
            <w:pPr>
              <w:pStyle w:val="TableText"/>
              <w:spacing w:after="30"/>
            </w:pPr>
            <w:r>
              <w:t>Recommended</w:t>
            </w:r>
          </w:p>
        </w:tc>
        <w:tc>
          <w:tcPr>
            <w:tcW w:type="dxa" w:w="2556"/>
            <w:tcMar>
              <w:top w:w="80" w:type="dxa"/>
              <w:start w:w="80" w:type="dxa"/>
              <w:bottom w:w="80" w:type="dxa"/>
              <w:end w:w="80" w:type="dxa"/>
            </w:tcMar>
            <w:vAlign w:val="center"/>
          </w:tcPr>
          <w:p>
            <w:pPr>
              <w:pStyle w:val="TableText"/>
              <w:spacing w:after="30"/>
            </w:pPr>
            <w:r>
              <w:t>Aznar et al. [9]</w:t>
            </w:r>
          </w:p>
        </w:tc>
        <w:tc>
          <w:tcPr>
            <w:tcW w:type="dxa" w:w="2556"/>
            <w:tcMar>
              <w:top w:w="80" w:type="dxa"/>
              <w:start w:w="80" w:type="dxa"/>
              <w:bottom w:w="80" w:type="dxa"/>
              <w:end w:w="80" w:type="dxa"/>
            </w:tcMar>
            <w:vAlign w:val="center"/>
          </w:tcPr>
          <w:p>
            <w:pPr>
              <w:pStyle w:val="TableText"/>
              <w:spacing w:after="30"/>
            </w:pPr>
            <w:r>
              <w:t>Recent event-triggered adaptive MRTA consensus.</w:t>
            </w:r>
          </w:p>
        </w:tc>
        <w:tc>
          <w:tcPr>
            <w:tcW w:type="dxa" w:w="2556"/>
            <w:tcMar>
              <w:top w:w="80" w:type="dxa"/>
              <w:start w:w="80" w:type="dxa"/>
              <w:bottom w:w="80" w:type="dxa"/>
              <w:end w:w="80" w:type="dxa"/>
            </w:tcMar>
            <w:vAlign w:val="center"/>
          </w:tcPr>
          <w:p>
            <w:pPr>
              <w:pStyle w:val="TableText"/>
              <w:spacing w:after="30"/>
            </w:pPr>
            <w:r>
              <w:t>Avoid overclaiming event-triggered coordination.</w:t>
            </w:r>
          </w:p>
        </w:tc>
      </w:tr>
      <w:tr>
        <w:trPr>
          <w:cantSplit/>
        </w:trPr>
        <w:tc>
          <w:tcPr>
            <w:tcW w:type="dxa" w:w="2556"/>
            <w:tcMar>
              <w:top w:w="80" w:type="dxa"/>
              <w:start w:w="80" w:type="dxa"/>
              <w:bottom w:w="80" w:type="dxa"/>
              <w:end w:w="80" w:type="dxa"/>
            </w:tcMar>
            <w:shd w:fill="F3F5F7"/>
            <w:vAlign w:val="center"/>
          </w:tcPr>
          <w:p>
            <w:pPr>
              <w:pStyle w:val="TableText"/>
              <w:spacing w:after="30"/>
            </w:pPr>
            <w:r>
              <w:t>Recommended</w:t>
            </w:r>
          </w:p>
        </w:tc>
        <w:tc>
          <w:tcPr>
            <w:tcW w:type="dxa" w:w="2556"/>
            <w:tcMar>
              <w:top w:w="80" w:type="dxa"/>
              <w:start w:w="80" w:type="dxa"/>
              <w:bottom w:w="80" w:type="dxa"/>
              <w:end w:w="80" w:type="dxa"/>
            </w:tcMar>
            <w:shd w:fill="F3F5F7"/>
            <w:vAlign w:val="center"/>
          </w:tcPr>
          <w:p>
            <w:pPr>
              <w:pStyle w:val="TableText"/>
              <w:spacing w:after="30"/>
            </w:pPr>
            <w:r>
              <w:t>Sao et al. [10]</w:t>
            </w:r>
          </w:p>
        </w:tc>
        <w:tc>
          <w:tcPr>
            <w:tcW w:type="dxa" w:w="2556"/>
            <w:tcMar>
              <w:top w:w="80" w:type="dxa"/>
              <w:start w:w="80" w:type="dxa"/>
              <w:bottom w:w="80" w:type="dxa"/>
              <w:end w:w="80" w:type="dxa"/>
            </w:tcMar>
            <w:shd w:fill="F3F5F7"/>
            <w:vAlign w:val="center"/>
          </w:tcPr>
          <w:p>
            <w:pPr>
              <w:pStyle w:val="TableText"/>
              <w:spacing w:after="30"/>
            </w:pPr>
            <w:r>
              <w:t>Peer-reviewed event-driven CBBA communication suppression.</w:t>
            </w:r>
          </w:p>
        </w:tc>
        <w:tc>
          <w:tcPr>
            <w:tcW w:type="dxa" w:w="2556"/>
            <w:tcMar>
              <w:top w:w="80" w:type="dxa"/>
              <w:start w:w="80" w:type="dxa"/>
              <w:bottom w:w="80" w:type="dxa"/>
              <w:end w:w="80" w:type="dxa"/>
            </w:tcMar>
            <w:shd w:fill="F3F5F7"/>
            <w:vAlign w:val="center"/>
          </w:tcPr>
          <w:p>
            <w:pPr>
              <w:pStyle w:val="TableText"/>
              <w:spacing w:after="30"/>
            </w:pPr>
            <w:r>
              <w:t>Differentiate communication from task admission.</w:t>
            </w:r>
          </w:p>
        </w:tc>
      </w:tr>
      <w:tr>
        <w:trPr>
          <w:cantSplit/>
        </w:trPr>
        <w:tc>
          <w:tcPr>
            <w:tcW w:type="dxa" w:w="2556"/>
            <w:tcMar>
              <w:top w:w="80" w:type="dxa"/>
              <w:start w:w="80" w:type="dxa"/>
              <w:bottom w:w="80" w:type="dxa"/>
              <w:end w:w="80" w:type="dxa"/>
            </w:tcMar>
            <w:vAlign w:val="center"/>
          </w:tcPr>
          <w:p>
            <w:pPr>
              <w:pStyle w:val="TableText"/>
              <w:spacing w:after="30"/>
            </w:pPr>
            <w:r>
              <w:t>Recommended</w:t>
            </w:r>
          </w:p>
        </w:tc>
        <w:tc>
          <w:tcPr>
            <w:tcW w:type="dxa" w:w="2556"/>
            <w:tcMar>
              <w:top w:w="80" w:type="dxa"/>
              <w:start w:w="80" w:type="dxa"/>
              <w:bottom w:w="80" w:type="dxa"/>
              <w:end w:w="80" w:type="dxa"/>
            </w:tcMar>
            <w:vAlign w:val="center"/>
          </w:tcPr>
          <w:p>
            <w:pPr>
              <w:pStyle w:val="TableText"/>
              <w:spacing w:after="30"/>
            </w:pPr>
            <w:r>
              <w:t>Bansal et al. [14]</w:t>
            </w:r>
          </w:p>
        </w:tc>
        <w:tc>
          <w:tcPr>
            <w:tcW w:type="dxa" w:w="2556"/>
            <w:tcMar>
              <w:top w:w="80" w:type="dxa"/>
              <w:start w:w="80" w:type="dxa"/>
              <w:bottom w:w="80" w:type="dxa"/>
              <w:end w:w="80" w:type="dxa"/>
            </w:tcMar>
            <w:vAlign w:val="center"/>
          </w:tcPr>
          <w:p>
            <w:pPr>
              <w:pStyle w:val="TableText"/>
              <w:spacing w:after="30"/>
            </w:pPr>
            <w:r>
              <w:t>Very recent closed-loop robot batching under heterogeneous workloads.</w:t>
            </w:r>
          </w:p>
        </w:tc>
        <w:tc>
          <w:tcPr>
            <w:tcW w:type="dxa" w:w="2556"/>
            <w:tcMar>
              <w:top w:w="80" w:type="dxa"/>
              <w:start w:w="80" w:type="dxa"/>
              <w:bottom w:w="80" w:type="dxa"/>
              <w:end w:w="80" w:type="dxa"/>
            </w:tcMar>
            <w:vAlign w:val="center"/>
          </w:tcPr>
          <w:p>
            <w:pPr>
              <w:pStyle w:val="TableText"/>
              <w:spacing w:after="30"/>
            </w:pPr>
            <w:r>
              <w:t>Strengthens hardware/load systems context; label preprint.</w:t>
            </w:r>
          </w:p>
        </w:tc>
      </w:tr>
      <w:tr>
        <w:trPr>
          <w:cantSplit/>
        </w:trPr>
        <w:tc>
          <w:tcPr>
            <w:tcW w:type="dxa" w:w="2556"/>
            <w:tcMar>
              <w:top w:w="80" w:type="dxa"/>
              <w:start w:w="80" w:type="dxa"/>
              <w:bottom w:w="80" w:type="dxa"/>
              <w:end w:w="80" w:type="dxa"/>
            </w:tcMar>
            <w:shd w:fill="F3F5F7"/>
            <w:vAlign w:val="center"/>
          </w:tcPr>
          <w:p>
            <w:pPr>
              <w:pStyle w:val="TableText"/>
              <w:spacing w:after="30"/>
            </w:pPr>
            <w:r>
              <w:t>Optional</w:t>
            </w:r>
          </w:p>
        </w:tc>
        <w:tc>
          <w:tcPr>
            <w:tcW w:type="dxa" w:w="2556"/>
            <w:tcMar>
              <w:top w:w="80" w:type="dxa"/>
              <w:start w:w="80" w:type="dxa"/>
              <w:bottom w:w="80" w:type="dxa"/>
              <w:end w:w="80" w:type="dxa"/>
            </w:tcMar>
            <w:shd w:fill="F3F5F7"/>
            <w:vAlign w:val="center"/>
          </w:tcPr>
          <w:p>
            <w:pPr>
              <w:pStyle w:val="TableText"/>
              <w:spacing w:after="30"/>
            </w:pPr>
            <w:r>
              <w:t>Choudhury et al. [7] or Forte et al. [8]</w:t>
            </w:r>
          </w:p>
        </w:tc>
        <w:tc>
          <w:tcPr>
            <w:tcW w:type="dxa" w:w="2556"/>
            <w:tcMar>
              <w:top w:w="80" w:type="dxa"/>
              <w:start w:w="80" w:type="dxa"/>
              <w:bottom w:w="80" w:type="dxa"/>
              <w:end w:w="80" w:type="dxa"/>
            </w:tcMar>
            <w:shd w:fill="F3F5F7"/>
            <w:vAlign w:val="center"/>
          </w:tcPr>
          <w:p>
            <w:pPr>
              <w:pStyle w:val="TableText"/>
              <w:spacing w:after="30"/>
            </w:pPr>
            <w:r>
              <w:t>General online execution and computational overhead context.</w:t>
            </w:r>
          </w:p>
        </w:tc>
        <w:tc>
          <w:tcPr>
            <w:tcW w:type="dxa" w:w="2556"/>
            <w:tcMar>
              <w:top w:w="80" w:type="dxa"/>
              <w:start w:w="80" w:type="dxa"/>
              <w:bottom w:w="80" w:type="dxa"/>
              <w:end w:w="80" w:type="dxa"/>
            </w:tcMar>
            <w:shd w:fill="F3F5F7"/>
            <w:vAlign w:val="center"/>
          </w:tcPr>
          <w:p>
            <w:pPr>
              <w:pStyle w:val="TableText"/>
              <w:spacing w:after="30"/>
            </w:pPr>
            <w:r>
              <w:t>Use one if reference space is tight.</w:t>
            </w:r>
          </w:p>
        </w:tc>
      </w:tr>
      <w:tr>
        <w:trPr>
          <w:cantSplit/>
        </w:trPr>
        <w:tc>
          <w:tcPr>
            <w:tcW w:type="dxa" w:w="2556"/>
            <w:tcMar>
              <w:top w:w="80" w:type="dxa"/>
              <w:start w:w="80" w:type="dxa"/>
              <w:bottom w:w="80" w:type="dxa"/>
              <w:end w:w="80" w:type="dxa"/>
            </w:tcMar>
            <w:vAlign w:val="center"/>
          </w:tcPr>
          <w:p>
            <w:pPr>
              <w:pStyle w:val="TableText"/>
              <w:spacing w:after="30"/>
            </w:pPr>
            <w:r>
              <w:t>Optional</w:t>
            </w:r>
          </w:p>
        </w:tc>
        <w:tc>
          <w:tcPr>
            <w:tcW w:type="dxa" w:w="2556"/>
            <w:tcMar>
              <w:top w:w="80" w:type="dxa"/>
              <w:start w:w="80" w:type="dxa"/>
              <w:bottom w:w="80" w:type="dxa"/>
              <w:end w:w="80" w:type="dxa"/>
            </w:tcMar>
            <w:vAlign w:val="center"/>
          </w:tcPr>
          <w:p>
            <w:pPr>
              <w:pStyle w:val="TableText"/>
              <w:spacing w:after="30"/>
            </w:pPr>
            <w:r>
              <w:t>Li et al. [11]</w:t>
            </w:r>
          </w:p>
        </w:tc>
        <w:tc>
          <w:tcPr>
            <w:tcW w:type="dxa" w:w="2556"/>
            <w:tcMar>
              <w:top w:w="80" w:type="dxa"/>
              <w:start w:w="80" w:type="dxa"/>
              <w:bottom w:w="80" w:type="dxa"/>
              <w:end w:w="80" w:type="dxa"/>
            </w:tcMar>
            <w:vAlign w:val="center"/>
          </w:tcPr>
          <w:p>
            <w:pPr>
              <w:pStyle w:val="TableText"/>
              <w:spacing w:after="30"/>
            </w:pPr>
            <w:r>
              <w:t>Bounded-frequency event-triggered rescheduling.</w:t>
            </w:r>
          </w:p>
        </w:tc>
        <w:tc>
          <w:tcPr>
            <w:tcW w:type="dxa" w:w="2556"/>
            <w:tcMar>
              <w:top w:w="80" w:type="dxa"/>
              <w:start w:w="80" w:type="dxa"/>
              <w:bottom w:w="80" w:type="dxa"/>
              <w:end w:w="80" w:type="dxa"/>
            </w:tcMar>
            <w:vAlign w:val="center"/>
          </w:tcPr>
          <w:p>
            <w:pPr>
              <w:pStyle w:val="TableText"/>
              <w:spacing w:after="30"/>
            </w:pPr>
            <w:r>
              <w:t>Use if discussing W=5 design lineage.</w:t>
            </w:r>
          </w:p>
        </w:tc>
      </w:tr>
    </w:tbl>
    <w:p>
      <w:pPr>
        <w:pStyle w:val="Heading2"/>
        <w:keepNext/>
      </w:pPr>
      <w:r>
        <w:t>5.11 Reviewer-objection guide</w:t>
      </w:r>
    </w:p>
    <w:p>
      <w:r>
        <w:rPr>
          <w:b/>
          <w:color w:val="193B63"/>
        </w:rPr>
        <w:t xml:space="preserve">“Bai et al. already studied when to reassign.” </w:t>
      </w:r>
      <w:r>
        <w:t>Correct. They compare event and periodic assignment with travel objectives. This paper studies count/age admission, task-service latency, causal embedded compute, and multiple decentralized allocators.</w:t>
      </w:r>
    </w:p>
    <w:p>
      <w:r>
        <w:rPr>
          <w:b/>
          <w:color w:val="193B63"/>
        </w:rPr>
        <w:t xml:space="preserve">“This is just task bundling.” </w:t>
      </w:r>
      <w:r>
        <w:t>No. Nam and Shell bundle physical task execution to exploit synergy. Here tasks remain independent; only allocator admission is coalesced.</w:t>
      </w:r>
    </w:p>
    <w:p>
      <w:r>
        <w:rPr>
          <w:b/>
          <w:color w:val="193B63"/>
        </w:rPr>
        <w:t xml:space="preserve">“Tuck et al. already batch online tasks.” </w:t>
      </w:r>
      <w:r>
        <w:t>They batch inputs to a centralized incremental SMT solver. This study applies one admission policy to asynchronous decentralized allocators and evaluates physical service.</w:t>
      </w:r>
    </w:p>
    <w:p>
      <w:r>
        <w:rPr>
          <w:b/>
          <w:color w:val="193B63"/>
        </w:rPr>
        <w:t xml:space="preserve">“This is partial replanning.” </w:t>
      </w:r>
      <w:r>
        <w:t>Partial replanning changes the amount of prior allocation state reset. Coalescing changes when newly released tasks enter replanning. They can be combined.</w:t>
      </w:r>
    </w:p>
    <w:p>
      <w:r>
        <w:rPr>
          <w:b/>
          <w:color w:val="193B63"/>
        </w:rPr>
        <w:t xml:space="preserve">“Event-triggered CBBA already reduces overhead.” </w:t>
      </w:r>
      <w:r>
        <w:t>Those methods primarily suppress communication or adapt negotiation pace. This study delays task admission and measures processor work and task completion.</w:t>
      </w:r>
    </w:p>
    <w:p>
      <w:r>
        <w:rPr>
          <w:b/>
          <w:color w:val="193B63"/>
        </w:rPr>
        <w:t xml:space="preserve">“Interrupt coalescing already uses count and timeout.” </w:t>
      </w:r>
      <w:r>
        <w:t>Yes; the abstract mechanism is not claimed as new. The contribution is the decentralized MRTA service regime and causal embedded crossover.</w:t>
      </w:r>
    </w:p>
    <w:p>
      <w:r>
        <w:rPr>
          <w:b/>
          <w:color w:val="193B63"/>
        </w:rPr>
        <w:t xml:space="preserve">“Armory already shows workload-aware robot batching.” </w:t>
      </w:r>
      <w:r>
        <w:t>Armory batches central policy inference on a shared GPU. This paper concerns decentralized MRTA on per-robot embedded processors and online task service.</w:t>
      </w:r>
    </w:p>
    <w:p>
      <w:r>
        <w:rPr>
          <w:b/>
          <w:color w:val="193B63"/>
        </w:rPr>
        <w:t xml:space="preserve">“The hardware result is too small.” </w:t>
      </w:r>
      <w:r>
        <w:t>Treat it as descriptive four-trace evidence. Show all traces and avoid p-values. The AGX matrix provides the inferential load result; hardware establishes plausibility and sign crossover.</w:t>
      </w:r>
    </w:p>
    <w:p>
      <w:r>
        <w:rPr>
          <w:b/>
          <w:color w:val="193B63"/>
        </w:rPr>
        <w:t xml:space="preserve">“HIPC dominates the hardware effect.” </w:t>
      </w:r>
      <w:r>
        <w:t>Acknowledge it. The allocator-specific table is essential. The conclusion is compute-pressure dependence, not universal B=4 superiority.</w:t>
      </w:r>
    </w:p>
    <w:p>
      <w:pPr>
        <w:pStyle w:val="Heading2"/>
        <w:keepNext/>
      </w:pPr>
      <w:r>
        <w:t>5.12 Final contribution assessment</w:t>
      </w:r>
    </w:p>
    <w:tbl>
      <w:tblPr>
        <w:tblW w:type="auto" w:w="0"/>
        <w:jc w:val="center"/>
        <w:tblLook w:firstColumn="1" w:firstRow="1" w:lastColumn="0" w:lastRow="0" w:noHBand="0" w:noVBand="1" w:val="04A0"/>
      </w:tblPr>
      <w:tblGrid>
        <w:gridCol w:w="10224"/>
      </w:tblGrid>
      <w:tr>
        <w:trPr>
          <w:cantSplit/>
        </w:trPr>
        <w:tc>
          <w:tcPr>
            <w:tcW w:type="dxa" w:w="10224"/>
            <w:shd w:fill="E8F4F2"/>
            <w:tcMar>
              <w:top w:w="130" w:type="dxa"/>
              <w:start w:w="160" w:type="dxa"/>
              <w:bottom w:w="130" w:type="dxa"/>
              <w:end w:w="160" w:type="dxa"/>
            </w:tcMar>
            <w:vAlign w:val="center"/>
          </w:tcPr>
          <w:p>
            <w:pPr>
              <w:spacing w:after="30"/>
            </w:pPr>
            <w:r>
              <w:rPr>
                <w:b/>
                <w:color w:val="2C9C91"/>
              </w:rPr>
              <w:t>Final verdict</w:t>
            </w:r>
          </w:p>
          <w:p>
            <w:pPr>
              <w:pStyle w:val="ExecutiveBox"/>
              <w:spacing w:after="30"/>
            </w:pPr>
            <w:r>
              <w:rPr>
                <w:b/>
              </w:rPr>
              <w:t>The paper is original enough for an IPCCC short paper when framed as a hardware-aware online service study, not as the invention of batching or event triggering. Its strongest novelty is the experimentally demonstrated interaction among arrival density, allocator complexity, and device speed, measured through causal online task service.</w:t>
            </w:r>
          </w:p>
        </w:tc>
      </w:tr>
    </w:tbl>
    <w:p>
      <w:r>
        <w:rPr>
          <w:b/>
        </w:rPr>
        <w:t xml:space="preserve">Recommended title: </w:t>
      </w:r>
      <w:r>
        <w:t>When Reallocation Coalescing Helps: Load- and Hardware-Dependent Tradeoffs in Embedded Multi-Robot Task Allocation</w:t>
      </w:r>
    </w:p>
    <w:p>
      <w:r>
        <w:rPr>
          <w:b/>
        </w:rPr>
        <w:t xml:space="preserve">Recommended one-sentence thesis: </w:t>
      </w:r>
      <w:r>
        <w:t>Reallocation coalescing becomes useful when online arrival pressure and allocator compute cost are high enough that the post-admission time it removes exceeds the service delay it intentionally introduces.</w:t>
      </w:r>
    </w:p>
    <w:p>
      <w:r>
        <w:rPr>
          <w:b/>
        </w:rPr>
        <w:t xml:space="preserve">Recommended discussion close: </w:t>
      </w:r>
      <w:r>
        <w:t>A fixed universal batch threshold is not justified; future schedulers should increase coalescing under dense arrivals and measured compute pressure, and relax or bound it when arrivals are sparse or service tails are critical.</w:t>
      </w:r>
    </w:p>
    <w:p>
      <w:r>
        <w:br w:type="page"/>
      </w:r>
    </w:p>
    <w:p>
      <w:pPr>
        <w:pStyle w:val="Heading1"/>
        <w:keepNext/>
        <w:spacing w:before="240" w:after="100"/>
      </w:pPr>
      <w:r>
        <w:t>6. Core result I - the AGX load-dependent tradeoff</w:t>
      </w:r>
    </w:p>
    <w:p w14:paraId="3E4664B1" w14:textId="77777777" w:rsidR="00307435" w:rsidRDefault="00000000">
      <w:pPr>
        <w:jc w:val="center"/>
      </w:pPr>
      <w:r>
        <w:rPr>
          <w:noProof/>
        </w:rPr>
        <w:drawing>
          <wp:inline distT="0" distB="0" distL="0" distR="0" wp14:anchorId="6F545A4F" wp14:editId="12197CB1">
            <wp:extent cx="6080760" cy="442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gx_b4_tradeoff.png"/>
                    <pic:cNvPicPr/>
                  </pic:nvPicPr>
                  <pic:blipFill>
                    <a:blip r:embed="rId10"/>
                    <a:stretch>
                      <a:fillRect/>
                    </a:stretch>
                  </pic:blipFill>
                  <pic:spPr>
                    <a:xfrm>
                      <a:off x="0" y="0"/>
                      <a:ext cx="6080760" cy="4421053"/>
                    </a:xfrm>
                    <a:prstGeom prst="rect">
                      <a:avLst/>
                    </a:prstGeom>
                  </pic:spPr>
                </pic:pic>
              </a:graphicData>
            </a:graphic>
          </wp:inline>
        </w:drawing>
      </w:r>
    </w:p>
    <w:p w14:paraId="2D91BBC9" w14:textId="77777777" w:rsidR="00307435" w:rsidRDefault="00000000">
      <w:pPr>
        <w:spacing w:after="20"/>
        <w:jc w:val="center"/>
      </w:pPr>
      <w:r>
        <w:rPr>
          <w:b/>
          <w:sz w:val="17"/>
        </w:rPr>
        <w:t>Figure 3. Recommended main tradeoff figure. Each allocator trajectory moves from low to medium to high load. Horizontal error bars are trace-bootstrap intervals for the median service-latency Delta.</w:t>
      </w:r>
    </w:p>
    <w:p w14:paraId="4ADDCD8F" w14:textId="77777777" w:rsidR="00307435" w:rsidRDefault="00000000">
      <w:pPr>
        <w:spacing w:after="100"/>
        <w:jc w:val="center"/>
      </w:pPr>
      <w:r>
        <w:rPr>
          <w:i/>
          <w:color w:val="5A6670"/>
          <w:sz w:val="15"/>
        </w:rPr>
        <w:t>Source: figure_data_main_agx_tradeoff.csv; B=4 vs Eager, causal AGX, online tasks, both-completed trace pairs.</w:t>
      </w:r>
    </w:p>
    <w:p>
      <w:pPr>
        <w:pStyle w:val="Heading2"/>
        <w:keepNext/>
      </w:pPr>
      <w:r>
        <w:t>6.1 What the figure says in one sentence</w:t>
      </w:r>
    </w:p>
    <w:tbl>
      <w:tblPr>
        <w:tblW w:w="0" w:type="auto"/>
        <w:jc w:val="center"/>
        <w:tblLook w:val="04A0" w:firstRow="1" w:lastRow="0" w:firstColumn="1" w:lastColumn="0" w:noHBand="0" w:noVBand="1"/>
      </w:tblPr>
      <w:tblGrid>
        <w:gridCol w:w="10282"/>
      </w:tblGrid>
      <w:tr w:rsidR="00307435" w14:paraId="7AC0D2C9" w14:textId="77777777">
        <w:trPr>
          <w:jc w:val="center"/>
          <w:cantSplit/>
        </w:trPr>
        <w:tc>
          <w:tcPr>
            <w:tcW w:w="10282" w:type="dxa"/>
            <w:shd w:val="clear" w:color="auto" w:fill="E6F2F2"/>
            <w:tcMar>
              <w:top w:w="140" w:type="dxa"/>
              <w:left w:w="160" w:type="dxa"/>
              <w:bottom w:w="140" w:type="dxa"/>
              <w:right w:w="160" w:type="dxa"/>
            </w:tcMar>
          </w:tcPr>
          <w:p w14:paraId="08D5D4FD" w14:textId="77777777" w:rsidR="00307435" w:rsidRDefault="00000000">
            <w:r>
              <w:rPr>
                <w:b/>
                <w:color w:val="167D7F"/>
              </w:rPr>
              <w:t>Paper-facing result</w:t>
            </w:r>
          </w:p>
          <w:p w14:paraId="0E58ABBB" w14:textId="77777777" w:rsidR="00307435" w:rsidRDefault="00000000">
            <w:pPr>
              <w:spacing w:after="0"/>
            </w:pPr>
            <w:r>
              <w:t>Count B=4 is harmful under sparse arrivals, becomes a useful compute/service tradeoff at medium load, and saves 13.2-41.3% of AGX allocator work at high load without a detected median task-service difference from Eager.</w:t>
            </w:r>
          </w:p>
        </w:tc>
      </w:tr>
    </w:tbl>
    <w:p w14:paraId="52636F84" w14:textId="77777777" w:rsidR="00307435" w:rsidRDefault="00307435">
      <w:pPr>
        <w:spacing w:after="0"/>
      </w:pPr>
    </w:p>
    <w:tbl>
      <w:tblPr>
        <w:tblStyle w:val="TableGrid"/>
        <w:tblW w:w="0" w:type="auto"/>
        <w:jc w:val="center"/>
        <w:tblLook w:val="04A0" w:firstRow="1" w:lastRow="0" w:firstColumn="1" w:lastColumn="0" w:noHBand="0" w:noVBand="1"/>
      </w:tblPr>
      <w:tblGrid>
        <w:gridCol w:w="792"/>
        <w:gridCol w:w="792"/>
        <w:gridCol w:w="504"/>
        <w:gridCol w:w="1440"/>
        <w:gridCol w:w="1656"/>
        <w:gridCol w:w="1080"/>
        <w:gridCol w:w="1080"/>
        <w:gridCol w:w="936"/>
        <w:gridCol w:w="864"/>
      </w:tblGrid>
      <w:tr w:rsidR="00307435" w14:paraId="3DD78F35" w14:textId="77777777">
        <w:trPr>
          <w:tblHeader/>
          <w:jc w:val="center"/>
          <w:cantSplit/>
        </w:trPr>
        <w:tc>
          <w:tcPr>
            <w:tcW w:w="792" w:type="dxa"/>
            <w:shd w:val="clear" w:color="auto" w:fill="183A5A"/>
            <w:tcMar>
              <w:top w:w="80" w:type="dxa"/>
              <w:left w:w="80" w:type="dxa"/>
              <w:bottom w:w="80" w:type="dxa"/>
              <w:right w:w="80" w:type="dxa"/>
            </w:tcMar>
            <w:vAlign w:val="center"/>
          </w:tcPr>
          <w:p w14:paraId="4BB9F697" w14:textId="77777777" w:rsidR="00307435" w:rsidRDefault="00000000">
            <w:pPr>
              <w:jc w:val="center"/>
            </w:pPr>
            <w:r>
              <w:rPr>
                <w:b/>
                <w:color w:val="FFFFFF"/>
                <w:sz w:val="14"/>
              </w:rPr>
              <w:t>Alg.</w:t>
            </w:r>
          </w:p>
        </w:tc>
        <w:tc>
          <w:tcPr>
            <w:tcW w:w="792" w:type="dxa"/>
            <w:shd w:val="clear" w:color="auto" w:fill="183A5A"/>
            <w:tcMar>
              <w:top w:w="80" w:type="dxa"/>
              <w:left w:w="80" w:type="dxa"/>
              <w:bottom w:w="80" w:type="dxa"/>
              <w:right w:w="80" w:type="dxa"/>
            </w:tcMar>
            <w:vAlign w:val="center"/>
          </w:tcPr>
          <w:p w14:paraId="3835DE51" w14:textId="77777777" w:rsidR="00307435" w:rsidRDefault="00000000">
            <w:pPr>
              <w:jc w:val="center"/>
            </w:pPr>
            <w:r>
              <w:rPr>
                <w:b/>
                <w:color w:val="FFFFFF"/>
                <w:sz w:val="14"/>
              </w:rPr>
              <w:t>Load</w:t>
            </w:r>
          </w:p>
        </w:tc>
        <w:tc>
          <w:tcPr>
            <w:tcW w:w="504" w:type="dxa"/>
            <w:shd w:val="clear" w:color="auto" w:fill="183A5A"/>
            <w:tcMar>
              <w:top w:w="80" w:type="dxa"/>
              <w:left w:w="80" w:type="dxa"/>
              <w:bottom w:w="80" w:type="dxa"/>
              <w:right w:w="80" w:type="dxa"/>
            </w:tcMar>
            <w:vAlign w:val="center"/>
          </w:tcPr>
          <w:p w14:paraId="059E8CA4" w14:textId="77777777" w:rsidR="00307435" w:rsidRDefault="00000000">
            <w:pPr>
              <w:jc w:val="center"/>
            </w:pPr>
            <w:r>
              <w:rPr>
                <w:b/>
                <w:color w:val="FFFFFF"/>
                <w:sz w:val="14"/>
              </w:rPr>
              <w:t>n</w:t>
            </w:r>
          </w:p>
        </w:tc>
        <w:tc>
          <w:tcPr>
            <w:tcW w:w="1440" w:type="dxa"/>
            <w:shd w:val="clear" w:color="auto" w:fill="183A5A"/>
            <w:tcMar>
              <w:top w:w="80" w:type="dxa"/>
              <w:left w:w="80" w:type="dxa"/>
              <w:bottom w:w="80" w:type="dxa"/>
              <w:right w:w="80" w:type="dxa"/>
            </w:tcMar>
            <w:vAlign w:val="center"/>
          </w:tcPr>
          <w:p w14:paraId="2E86206F" w14:textId="77777777" w:rsidR="00307435" w:rsidRDefault="00000000">
            <w:pPr>
              <w:jc w:val="center"/>
            </w:pPr>
            <w:r>
              <w:rPr>
                <w:b/>
                <w:color w:val="FFFFFF"/>
                <w:sz w:val="14"/>
              </w:rPr>
              <w:t>Median service Delta (s)</w:t>
            </w:r>
          </w:p>
        </w:tc>
        <w:tc>
          <w:tcPr>
            <w:tcW w:w="1656" w:type="dxa"/>
            <w:shd w:val="clear" w:color="auto" w:fill="183A5A"/>
            <w:tcMar>
              <w:top w:w="80" w:type="dxa"/>
              <w:left w:w="80" w:type="dxa"/>
              <w:bottom w:w="80" w:type="dxa"/>
              <w:right w:w="80" w:type="dxa"/>
            </w:tcMar>
            <w:vAlign w:val="center"/>
          </w:tcPr>
          <w:p w14:paraId="6A970648" w14:textId="77777777" w:rsidR="00307435" w:rsidRDefault="00000000">
            <w:pPr>
              <w:jc w:val="center"/>
            </w:pPr>
            <w:r>
              <w:rPr>
                <w:b/>
                <w:color w:val="FFFFFF"/>
                <w:sz w:val="14"/>
              </w:rPr>
              <w:t>95% trace bootstrap</w:t>
            </w:r>
          </w:p>
        </w:tc>
        <w:tc>
          <w:tcPr>
            <w:tcW w:w="1080" w:type="dxa"/>
            <w:shd w:val="clear" w:color="auto" w:fill="183A5A"/>
            <w:tcMar>
              <w:top w:w="80" w:type="dxa"/>
              <w:left w:w="80" w:type="dxa"/>
              <w:bottom w:w="80" w:type="dxa"/>
              <w:right w:w="80" w:type="dxa"/>
            </w:tcMar>
            <w:vAlign w:val="center"/>
          </w:tcPr>
          <w:p w14:paraId="3ED8EEB1" w14:textId="77777777" w:rsidR="00307435" w:rsidRDefault="00000000">
            <w:pPr>
              <w:jc w:val="center"/>
            </w:pPr>
            <w:r>
              <w:rPr>
                <w:b/>
                <w:color w:val="FFFFFF"/>
                <w:sz w:val="14"/>
              </w:rPr>
              <w:t>Work saved (%)</w:t>
            </w:r>
          </w:p>
        </w:tc>
        <w:tc>
          <w:tcPr>
            <w:tcW w:w="1080" w:type="dxa"/>
            <w:shd w:val="clear" w:color="auto" w:fill="183A5A"/>
            <w:tcMar>
              <w:top w:w="80" w:type="dxa"/>
              <w:left w:w="80" w:type="dxa"/>
              <w:bottom w:w="80" w:type="dxa"/>
              <w:right w:w="80" w:type="dxa"/>
            </w:tcMar>
            <w:vAlign w:val="center"/>
          </w:tcPr>
          <w:p w14:paraId="2349E3C7" w14:textId="77777777" w:rsidR="00307435" w:rsidRDefault="00000000">
            <w:pPr>
              <w:jc w:val="center"/>
            </w:pPr>
            <w:r>
              <w:rPr>
                <w:b/>
                <w:color w:val="FFFFFF"/>
                <w:sz w:val="14"/>
              </w:rPr>
              <w:t>Calls saved (%)</w:t>
            </w:r>
          </w:p>
        </w:tc>
        <w:tc>
          <w:tcPr>
            <w:tcW w:w="936" w:type="dxa"/>
            <w:shd w:val="clear" w:color="auto" w:fill="183A5A"/>
            <w:tcMar>
              <w:top w:w="80" w:type="dxa"/>
              <w:left w:w="80" w:type="dxa"/>
              <w:bottom w:w="80" w:type="dxa"/>
              <w:right w:w="80" w:type="dxa"/>
            </w:tcMar>
            <w:vAlign w:val="center"/>
          </w:tcPr>
          <w:p w14:paraId="64B41D36" w14:textId="77777777" w:rsidR="00307435" w:rsidRDefault="00000000">
            <w:pPr>
              <w:jc w:val="center"/>
            </w:pPr>
            <w:r>
              <w:rPr>
                <w:b/>
                <w:color w:val="FFFFFF"/>
                <w:sz w:val="14"/>
              </w:rPr>
              <w:t>Holm p</w:t>
            </w:r>
          </w:p>
        </w:tc>
        <w:tc>
          <w:tcPr>
            <w:tcW w:w="864" w:type="dxa"/>
            <w:shd w:val="clear" w:color="auto" w:fill="183A5A"/>
            <w:tcMar>
              <w:top w:w="80" w:type="dxa"/>
              <w:left w:w="80" w:type="dxa"/>
              <w:bottom w:w="80" w:type="dxa"/>
              <w:right w:w="80" w:type="dxa"/>
            </w:tcMar>
            <w:vAlign w:val="center"/>
          </w:tcPr>
          <w:p w14:paraId="6CD18B3D" w14:textId="77777777" w:rsidR="00307435" w:rsidRDefault="00000000">
            <w:pPr>
              <w:jc w:val="center"/>
            </w:pPr>
            <w:r>
              <w:rPr>
                <w:b/>
                <w:color w:val="FFFFFF"/>
                <w:sz w:val="14"/>
              </w:rPr>
              <w:t>Detected?</w:t>
            </w:r>
          </w:p>
        </w:tc>
      </w:tr>
      <w:tr w:rsidR="00307435" w14:paraId="7636656E" w14:textId="77777777">
        <w:trPr>
          <w:jc w:val="center"/>
          <w:cantSplit/>
        </w:trPr>
        <w:tc>
          <w:tcPr>
            <w:tcW w:w="792" w:type="dxa"/>
            <w:tcMar>
              <w:top w:w="80" w:type="dxa"/>
              <w:left w:w="80" w:type="dxa"/>
              <w:bottom w:w="80" w:type="dxa"/>
              <w:right w:w="80" w:type="dxa"/>
            </w:tcMar>
            <w:vAlign w:val="center"/>
          </w:tcPr>
          <w:p w14:paraId="119DBB66" w14:textId="77777777" w:rsidR="00307435" w:rsidRDefault="00000000">
            <w:r>
              <w:rPr>
                <w:sz w:val="14"/>
              </w:rPr>
              <w:t>ACBBA</w:t>
            </w:r>
          </w:p>
        </w:tc>
        <w:tc>
          <w:tcPr>
            <w:tcW w:w="792" w:type="dxa"/>
            <w:tcMar>
              <w:top w:w="80" w:type="dxa"/>
              <w:left w:w="80" w:type="dxa"/>
              <w:bottom w:w="80" w:type="dxa"/>
              <w:right w:w="80" w:type="dxa"/>
            </w:tcMar>
            <w:vAlign w:val="center"/>
          </w:tcPr>
          <w:p w14:paraId="6B2AF50B" w14:textId="77777777" w:rsidR="00307435" w:rsidRDefault="00000000">
            <w:r>
              <w:rPr>
                <w:sz w:val="14"/>
              </w:rPr>
              <w:t>Low</w:t>
            </w:r>
          </w:p>
        </w:tc>
        <w:tc>
          <w:tcPr>
            <w:tcW w:w="504" w:type="dxa"/>
            <w:tcMar>
              <w:top w:w="80" w:type="dxa"/>
              <w:left w:w="80" w:type="dxa"/>
              <w:bottom w:w="80" w:type="dxa"/>
              <w:right w:w="80" w:type="dxa"/>
            </w:tcMar>
            <w:vAlign w:val="center"/>
          </w:tcPr>
          <w:p w14:paraId="6A07A1A7" w14:textId="77777777" w:rsidR="00307435" w:rsidRDefault="00000000">
            <w:r>
              <w:rPr>
                <w:sz w:val="14"/>
              </w:rPr>
              <w:t>46</w:t>
            </w:r>
          </w:p>
        </w:tc>
        <w:tc>
          <w:tcPr>
            <w:tcW w:w="1440" w:type="dxa"/>
            <w:tcMar>
              <w:top w:w="80" w:type="dxa"/>
              <w:left w:w="80" w:type="dxa"/>
              <w:bottom w:w="80" w:type="dxa"/>
              <w:right w:w="80" w:type="dxa"/>
            </w:tcMar>
            <w:vAlign w:val="center"/>
          </w:tcPr>
          <w:p w14:paraId="41D16AD8" w14:textId="77777777" w:rsidR="00307435" w:rsidRDefault="00000000">
            <w:r>
              <w:rPr>
                <w:sz w:val="14"/>
              </w:rPr>
              <w:t>+3.04</w:t>
            </w:r>
          </w:p>
        </w:tc>
        <w:tc>
          <w:tcPr>
            <w:tcW w:w="1656" w:type="dxa"/>
            <w:tcMar>
              <w:top w:w="80" w:type="dxa"/>
              <w:left w:w="80" w:type="dxa"/>
              <w:bottom w:w="80" w:type="dxa"/>
              <w:right w:w="80" w:type="dxa"/>
            </w:tcMar>
            <w:vAlign w:val="center"/>
          </w:tcPr>
          <w:p w14:paraId="19FCBEE2" w14:textId="77777777" w:rsidR="00307435" w:rsidRDefault="00000000">
            <w:r>
              <w:rPr>
                <w:sz w:val="14"/>
              </w:rPr>
              <w:t>[+2.60, +3.51]</w:t>
            </w:r>
          </w:p>
        </w:tc>
        <w:tc>
          <w:tcPr>
            <w:tcW w:w="1080" w:type="dxa"/>
            <w:tcMar>
              <w:top w:w="80" w:type="dxa"/>
              <w:left w:w="80" w:type="dxa"/>
              <w:bottom w:w="80" w:type="dxa"/>
              <w:right w:w="80" w:type="dxa"/>
            </w:tcMar>
            <w:vAlign w:val="center"/>
          </w:tcPr>
          <w:p w14:paraId="1033927C" w14:textId="77777777" w:rsidR="00307435" w:rsidRDefault="00000000">
            <w:r>
              <w:rPr>
                <w:sz w:val="14"/>
              </w:rPr>
              <w:t>-14.0</w:t>
            </w:r>
          </w:p>
        </w:tc>
        <w:tc>
          <w:tcPr>
            <w:tcW w:w="1080" w:type="dxa"/>
            <w:tcMar>
              <w:top w:w="80" w:type="dxa"/>
              <w:left w:w="80" w:type="dxa"/>
              <w:bottom w:w="80" w:type="dxa"/>
              <w:right w:w="80" w:type="dxa"/>
            </w:tcMar>
            <w:vAlign w:val="center"/>
          </w:tcPr>
          <w:p w14:paraId="2587633C" w14:textId="77777777" w:rsidR="00307435" w:rsidRDefault="00000000">
            <w:r>
              <w:rPr>
                <w:sz w:val="14"/>
              </w:rPr>
              <w:t>-17.4</w:t>
            </w:r>
          </w:p>
        </w:tc>
        <w:tc>
          <w:tcPr>
            <w:tcW w:w="936" w:type="dxa"/>
            <w:tcMar>
              <w:top w:w="80" w:type="dxa"/>
              <w:left w:w="80" w:type="dxa"/>
              <w:bottom w:w="80" w:type="dxa"/>
              <w:right w:w="80" w:type="dxa"/>
            </w:tcMar>
            <w:vAlign w:val="center"/>
          </w:tcPr>
          <w:p w14:paraId="55F6B383" w14:textId="77777777" w:rsidR="00307435" w:rsidRDefault="00000000">
            <w:r>
              <w:rPr>
                <w:sz w:val="14"/>
              </w:rPr>
              <w:t>&lt;0.0001</w:t>
            </w:r>
          </w:p>
        </w:tc>
        <w:tc>
          <w:tcPr>
            <w:tcW w:w="864" w:type="dxa"/>
            <w:tcMar>
              <w:top w:w="80" w:type="dxa"/>
              <w:left w:w="80" w:type="dxa"/>
              <w:bottom w:w="80" w:type="dxa"/>
              <w:right w:w="80" w:type="dxa"/>
            </w:tcMar>
            <w:vAlign w:val="center"/>
          </w:tcPr>
          <w:p w14:paraId="745183B3" w14:textId="77777777" w:rsidR="00307435" w:rsidRDefault="00000000">
            <w:r>
              <w:rPr>
                <w:sz w:val="14"/>
              </w:rPr>
              <w:t>yes</w:t>
            </w:r>
          </w:p>
        </w:tc>
      </w:tr>
      <w:tr w:rsidR="00307435" w14:paraId="2F354FEB" w14:textId="77777777">
        <w:trPr>
          <w:jc w:val="center"/>
          <w:cantSplit/>
        </w:trPr>
        <w:tc>
          <w:tcPr>
            <w:tcW w:w="792" w:type="dxa"/>
            <w:shd w:val="clear" w:color="auto" w:fill="F3F7F8"/>
            <w:tcMar>
              <w:top w:w="80" w:type="dxa"/>
              <w:left w:w="80" w:type="dxa"/>
              <w:bottom w:w="80" w:type="dxa"/>
              <w:right w:w="80" w:type="dxa"/>
            </w:tcMar>
            <w:vAlign w:val="center"/>
          </w:tcPr>
          <w:p w14:paraId="1FDE3376" w14:textId="77777777" w:rsidR="00307435" w:rsidRDefault="00000000">
            <w:r>
              <w:rPr>
                <w:sz w:val="14"/>
              </w:rPr>
              <w:t>CBAA</w:t>
            </w:r>
          </w:p>
        </w:tc>
        <w:tc>
          <w:tcPr>
            <w:tcW w:w="792" w:type="dxa"/>
            <w:shd w:val="clear" w:color="auto" w:fill="F3F7F8"/>
            <w:tcMar>
              <w:top w:w="80" w:type="dxa"/>
              <w:left w:w="80" w:type="dxa"/>
              <w:bottom w:w="80" w:type="dxa"/>
              <w:right w:w="80" w:type="dxa"/>
            </w:tcMar>
            <w:vAlign w:val="center"/>
          </w:tcPr>
          <w:p w14:paraId="2A68EB25" w14:textId="77777777" w:rsidR="00307435" w:rsidRDefault="00000000">
            <w:r>
              <w:rPr>
                <w:sz w:val="14"/>
              </w:rPr>
              <w:t>Low</w:t>
            </w:r>
          </w:p>
        </w:tc>
        <w:tc>
          <w:tcPr>
            <w:tcW w:w="504" w:type="dxa"/>
            <w:shd w:val="clear" w:color="auto" w:fill="F3F7F8"/>
            <w:tcMar>
              <w:top w:w="80" w:type="dxa"/>
              <w:left w:w="80" w:type="dxa"/>
              <w:bottom w:w="80" w:type="dxa"/>
              <w:right w:w="80" w:type="dxa"/>
            </w:tcMar>
            <w:vAlign w:val="center"/>
          </w:tcPr>
          <w:p w14:paraId="1611A38A" w14:textId="77777777" w:rsidR="00307435" w:rsidRDefault="00000000">
            <w:r>
              <w:rPr>
                <w:sz w:val="14"/>
              </w:rPr>
              <w:t>42</w:t>
            </w:r>
          </w:p>
        </w:tc>
        <w:tc>
          <w:tcPr>
            <w:tcW w:w="1440" w:type="dxa"/>
            <w:shd w:val="clear" w:color="auto" w:fill="F3F7F8"/>
            <w:tcMar>
              <w:top w:w="80" w:type="dxa"/>
              <w:left w:w="80" w:type="dxa"/>
              <w:bottom w:w="80" w:type="dxa"/>
              <w:right w:w="80" w:type="dxa"/>
            </w:tcMar>
            <w:vAlign w:val="center"/>
          </w:tcPr>
          <w:p w14:paraId="3DBBA858" w14:textId="77777777" w:rsidR="00307435" w:rsidRDefault="00000000">
            <w:r>
              <w:rPr>
                <w:sz w:val="14"/>
              </w:rPr>
              <w:t>+3.56</w:t>
            </w:r>
          </w:p>
        </w:tc>
        <w:tc>
          <w:tcPr>
            <w:tcW w:w="1656" w:type="dxa"/>
            <w:shd w:val="clear" w:color="auto" w:fill="F3F7F8"/>
            <w:tcMar>
              <w:top w:w="80" w:type="dxa"/>
              <w:left w:w="80" w:type="dxa"/>
              <w:bottom w:w="80" w:type="dxa"/>
              <w:right w:w="80" w:type="dxa"/>
            </w:tcMar>
            <w:vAlign w:val="center"/>
          </w:tcPr>
          <w:p w14:paraId="63360F2F" w14:textId="77777777" w:rsidR="00307435" w:rsidRDefault="00000000">
            <w:r>
              <w:rPr>
                <w:sz w:val="14"/>
              </w:rPr>
              <w:t>[+2.84, +4.30]</w:t>
            </w:r>
          </w:p>
        </w:tc>
        <w:tc>
          <w:tcPr>
            <w:tcW w:w="1080" w:type="dxa"/>
            <w:shd w:val="clear" w:color="auto" w:fill="F3F7F8"/>
            <w:tcMar>
              <w:top w:w="80" w:type="dxa"/>
              <w:left w:w="80" w:type="dxa"/>
              <w:bottom w:w="80" w:type="dxa"/>
              <w:right w:w="80" w:type="dxa"/>
            </w:tcMar>
            <w:vAlign w:val="center"/>
          </w:tcPr>
          <w:p w14:paraId="2BF16866" w14:textId="77777777" w:rsidR="00307435" w:rsidRDefault="00000000">
            <w:r>
              <w:rPr>
                <w:sz w:val="14"/>
              </w:rPr>
              <w:t>-14.2</w:t>
            </w:r>
          </w:p>
        </w:tc>
        <w:tc>
          <w:tcPr>
            <w:tcW w:w="1080" w:type="dxa"/>
            <w:shd w:val="clear" w:color="auto" w:fill="F3F7F8"/>
            <w:tcMar>
              <w:top w:w="80" w:type="dxa"/>
              <w:left w:w="80" w:type="dxa"/>
              <w:bottom w:w="80" w:type="dxa"/>
              <w:right w:w="80" w:type="dxa"/>
            </w:tcMar>
            <w:vAlign w:val="center"/>
          </w:tcPr>
          <w:p w14:paraId="673EE13A" w14:textId="77777777" w:rsidR="00307435" w:rsidRDefault="00000000">
            <w:r>
              <w:rPr>
                <w:sz w:val="14"/>
              </w:rPr>
              <w:t>-9.9</w:t>
            </w:r>
          </w:p>
        </w:tc>
        <w:tc>
          <w:tcPr>
            <w:tcW w:w="936" w:type="dxa"/>
            <w:shd w:val="clear" w:color="auto" w:fill="F3F7F8"/>
            <w:tcMar>
              <w:top w:w="80" w:type="dxa"/>
              <w:left w:w="80" w:type="dxa"/>
              <w:bottom w:w="80" w:type="dxa"/>
              <w:right w:w="80" w:type="dxa"/>
            </w:tcMar>
            <w:vAlign w:val="center"/>
          </w:tcPr>
          <w:p w14:paraId="7253558B" w14:textId="77777777" w:rsidR="00307435" w:rsidRDefault="00000000">
            <w:r>
              <w:rPr>
                <w:sz w:val="14"/>
              </w:rPr>
              <w:t>&lt;0.0001</w:t>
            </w:r>
          </w:p>
        </w:tc>
        <w:tc>
          <w:tcPr>
            <w:tcW w:w="864" w:type="dxa"/>
            <w:shd w:val="clear" w:color="auto" w:fill="F3F7F8"/>
            <w:tcMar>
              <w:top w:w="80" w:type="dxa"/>
              <w:left w:w="80" w:type="dxa"/>
              <w:bottom w:w="80" w:type="dxa"/>
              <w:right w:w="80" w:type="dxa"/>
            </w:tcMar>
            <w:vAlign w:val="center"/>
          </w:tcPr>
          <w:p w14:paraId="0205AFC8" w14:textId="77777777" w:rsidR="00307435" w:rsidRDefault="00000000">
            <w:r>
              <w:rPr>
                <w:sz w:val="14"/>
              </w:rPr>
              <w:t>yes</w:t>
            </w:r>
          </w:p>
        </w:tc>
      </w:tr>
      <w:tr w:rsidR="00307435" w14:paraId="1174238C" w14:textId="77777777">
        <w:trPr>
          <w:jc w:val="center"/>
          <w:cantSplit/>
        </w:trPr>
        <w:tc>
          <w:tcPr>
            <w:tcW w:w="792" w:type="dxa"/>
            <w:tcMar>
              <w:top w:w="80" w:type="dxa"/>
              <w:left w:w="80" w:type="dxa"/>
              <w:bottom w:w="80" w:type="dxa"/>
              <w:right w:w="80" w:type="dxa"/>
            </w:tcMar>
            <w:vAlign w:val="center"/>
          </w:tcPr>
          <w:p w14:paraId="2B47B00F" w14:textId="77777777" w:rsidR="00307435" w:rsidRDefault="00000000">
            <w:r>
              <w:rPr>
                <w:sz w:val="14"/>
              </w:rPr>
              <w:t>HIPC</w:t>
            </w:r>
          </w:p>
        </w:tc>
        <w:tc>
          <w:tcPr>
            <w:tcW w:w="792" w:type="dxa"/>
            <w:tcMar>
              <w:top w:w="80" w:type="dxa"/>
              <w:left w:w="80" w:type="dxa"/>
              <w:bottom w:w="80" w:type="dxa"/>
              <w:right w:w="80" w:type="dxa"/>
            </w:tcMar>
            <w:vAlign w:val="center"/>
          </w:tcPr>
          <w:p w14:paraId="7839F714" w14:textId="77777777" w:rsidR="00307435" w:rsidRDefault="00000000">
            <w:r>
              <w:rPr>
                <w:sz w:val="14"/>
              </w:rPr>
              <w:t>Low</w:t>
            </w:r>
          </w:p>
        </w:tc>
        <w:tc>
          <w:tcPr>
            <w:tcW w:w="504" w:type="dxa"/>
            <w:tcMar>
              <w:top w:w="80" w:type="dxa"/>
              <w:left w:w="80" w:type="dxa"/>
              <w:bottom w:w="80" w:type="dxa"/>
              <w:right w:w="80" w:type="dxa"/>
            </w:tcMar>
            <w:vAlign w:val="center"/>
          </w:tcPr>
          <w:p w14:paraId="62C8ACFB" w14:textId="77777777" w:rsidR="00307435" w:rsidRDefault="00000000">
            <w:r>
              <w:rPr>
                <w:sz w:val="14"/>
              </w:rPr>
              <w:t>46</w:t>
            </w:r>
          </w:p>
        </w:tc>
        <w:tc>
          <w:tcPr>
            <w:tcW w:w="1440" w:type="dxa"/>
            <w:tcMar>
              <w:top w:w="80" w:type="dxa"/>
              <w:left w:w="80" w:type="dxa"/>
              <w:bottom w:w="80" w:type="dxa"/>
              <w:right w:w="80" w:type="dxa"/>
            </w:tcMar>
            <w:vAlign w:val="center"/>
          </w:tcPr>
          <w:p w14:paraId="47A0F69E" w14:textId="77777777" w:rsidR="00307435" w:rsidRDefault="00000000">
            <w:r>
              <w:rPr>
                <w:sz w:val="14"/>
              </w:rPr>
              <w:t>+3.61</w:t>
            </w:r>
          </w:p>
        </w:tc>
        <w:tc>
          <w:tcPr>
            <w:tcW w:w="1656" w:type="dxa"/>
            <w:tcMar>
              <w:top w:w="80" w:type="dxa"/>
              <w:left w:w="80" w:type="dxa"/>
              <w:bottom w:w="80" w:type="dxa"/>
              <w:right w:w="80" w:type="dxa"/>
            </w:tcMar>
            <w:vAlign w:val="center"/>
          </w:tcPr>
          <w:p w14:paraId="0521F8A6" w14:textId="77777777" w:rsidR="00307435" w:rsidRDefault="00000000">
            <w:r>
              <w:rPr>
                <w:sz w:val="14"/>
              </w:rPr>
              <w:t>[+3.18, +4.10]</w:t>
            </w:r>
          </w:p>
        </w:tc>
        <w:tc>
          <w:tcPr>
            <w:tcW w:w="1080" w:type="dxa"/>
            <w:tcMar>
              <w:top w:w="80" w:type="dxa"/>
              <w:left w:w="80" w:type="dxa"/>
              <w:bottom w:w="80" w:type="dxa"/>
              <w:right w:w="80" w:type="dxa"/>
            </w:tcMar>
            <w:vAlign w:val="center"/>
          </w:tcPr>
          <w:p w14:paraId="034CA557" w14:textId="77777777" w:rsidR="00307435" w:rsidRDefault="00000000">
            <w:r>
              <w:rPr>
                <w:sz w:val="14"/>
              </w:rPr>
              <w:t>-7.1</w:t>
            </w:r>
          </w:p>
        </w:tc>
        <w:tc>
          <w:tcPr>
            <w:tcW w:w="1080" w:type="dxa"/>
            <w:tcMar>
              <w:top w:w="80" w:type="dxa"/>
              <w:left w:w="80" w:type="dxa"/>
              <w:bottom w:w="80" w:type="dxa"/>
              <w:right w:w="80" w:type="dxa"/>
            </w:tcMar>
            <w:vAlign w:val="center"/>
          </w:tcPr>
          <w:p w14:paraId="2E6FB474" w14:textId="77777777" w:rsidR="00307435" w:rsidRDefault="00000000">
            <w:r>
              <w:rPr>
                <w:sz w:val="14"/>
              </w:rPr>
              <w:t>-10.5</w:t>
            </w:r>
          </w:p>
        </w:tc>
        <w:tc>
          <w:tcPr>
            <w:tcW w:w="936" w:type="dxa"/>
            <w:tcMar>
              <w:top w:w="80" w:type="dxa"/>
              <w:left w:w="80" w:type="dxa"/>
              <w:bottom w:w="80" w:type="dxa"/>
              <w:right w:w="80" w:type="dxa"/>
            </w:tcMar>
            <w:vAlign w:val="center"/>
          </w:tcPr>
          <w:p w14:paraId="0E6A8250" w14:textId="77777777" w:rsidR="00307435" w:rsidRDefault="00000000">
            <w:r>
              <w:rPr>
                <w:sz w:val="14"/>
              </w:rPr>
              <w:t>&lt;0.0001</w:t>
            </w:r>
          </w:p>
        </w:tc>
        <w:tc>
          <w:tcPr>
            <w:tcW w:w="864" w:type="dxa"/>
            <w:tcMar>
              <w:top w:w="80" w:type="dxa"/>
              <w:left w:w="80" w:type="dxa"/>
              <w:bottom w:w="80" w:type="dxa"/>
              <w:right w:w="80" w:type="dxa"/>
            </w:tcMar>
            <w:vAlign w:val="center"/>
          </w:tcPr>
          <w:p w14:paraId="2715FC13" w14:textId="77777777" w:rsidR="00307435" w:rsidRDefault="00000000">
            <w:r>
              <w:rPr>
                <w:sz w:val="14"/>
              </w:rPr>
              <w:t>yes</w:t>
            </w:r>
          </w:p>
        </w:tc>
      </w:tr>
      <w:tr w:rsidR="00307435" w14:paraId="59E02B89" w14:textId="77777777">
        <w:trPr>
          <w:jc w:val="center"/>
          <w:cantSplit/>
        </w:trPr>
        <w:tc>
          <w:tcPr>
            <w:tcW w:w="792" w:type="dxa"/>
            <w:shd w:val="clear" w:color="auto" w:fill="F3F7F8"/>
            <w:tcMar>
              <w:top w:w="80" w:type="dxa"/>
              <w:left w:w="80" w:type="dxa"/>
              <w:bottom w:w="80" w:type="dxa"/>
              <w:right w:w="80" w:type="dxa"/>
            </w:tcMar>
            <w:vAlign w:val="center"/>
          </w:tcPr>
          <w:p w14:paraId="2F845FA4" w14:textId="77777777" w:rsidR="00307435" w:rsidRDefault="00000000">
            <w:r>
              <w:rPr>
                <w:sz w:val="14"/>
              </w:rPr>
              <w:t>PI</w:t>
            </w:r>
          </w:p>
        </w:tc>
        <w:tc>
          <w:tcPr>
            <w:tcW w:w="792" w:type="dxa"/>
            <w:shd w:val="clear" w:color="auto" w:fill="F3F7F8"/>
            <w:tcMar>
              <w:top w:w="80" w:type="dxa"/>
              <w:left w:w="80" w:type="dxa"/>
              <w:bottom w:w="80" w:type="dxa"/>
              <w:right w:w="80" w:type="dxa"/>
            </w:tcMar>
            <w:vAlign w:val="center"/>
          </w:tcPr>
          <w:p w14:paraId="0455EFBF" w14:textId="77777777" w:rsidR="00307435" w:rsidRDefault="00000000">
            <w:r>
              <w:rPr>
                <w:sz w:val="14"/>
              </w:rPr>
              <w:t>Low</w:t>
            </w:r>
          </w:p>
        </w:tc>
        <w:tc>
          <w:tcPr>
            <w:tcW w:w="504" w:type="dxa"/>
            <w:shd w:val="clear" w:color="auto" w:fill="F3F7F8"/>
            <w:tcMar>
              <w:top w:w="80" w:type="dxa"/>
              <w:left w:w="80" w:type="dxa"/>
              <w:bottom w:w="80" w:type="dxa"/>
              <w:right w:w="80" w:type="dxa"/>
            </w:tcMar>
            <w:vAlign w:val="center"/>
          </w:tcPr>
          <w:p w14:paraId="6FDB2BB4" w14:textId="77777777" w:rsidR="00307435" w:rsidRDefault="00000000">
            <w:r>
              <w:rPr>
                <w:sz w:val="14"/>
              </w:rPr>
              <w:t>46</w:t>
            </w:r>
          </w:p>
        </w:tc>
        <w:tc>
          <w:tcPr>
            <w:tcW w:w="1440" w:type="dxa"/>
            <w:shd w:val="clear" w:color="auto" w:fill="F3F7F8"/>
            <w:tcMar>
              <w:top w:w="80" w:type="dxa"/>
              <w:left w:w="80" w:type="dxa"/>
              <w:bottom w:w="80" w:type="dxa"/>
              <w:right w:w="80" w:type="dxa"/>
            </w:tcMar>
            <w:vAlign w:val="center"/>
          </w:tcPr>
          <w:p w14:paraId="462896DF" w14:textId="77777777" w:rsidR="00307435" w:rsidRDefault="00000000">
            <w:r>
              <w:rPr>
                <w:sz w:val="14"/>
              </w:rPr>
              <w:t>+3.18</w:t>
            </w:r>
          </w:p>
        </w:tc>
        <w:tc>
          <w:tcPr>
            <w:tcW w:w="1656" w:type="dxa"/>
            <w:shd w:val="clear" w:color="auto" w:fill="F3F7F8"/>
            <w:tcMar>
              <w:top w:w="80" w:type="dxa"/>
              <w:left w:w="80" w:type="dxa"/>
              <w:bottom w:w="80" w:type="dxa"/>
              <w:right w:w="80" w:type="dxa"/>
            </w:tcMar>
            <w:vAlign w:val="center"/>
          </w:tcPr>
          <w:p w14:paraId="1E30B3DE" w14:textId="77777777" w:rsidR="00307435" w:rsidRDefault="00000000">
            <w:r>
              <w:rPr>
                <w:sz w:val="14"/>
              </w:rPr>
              <w:t>[+1.72, +4.45]</w:t>
            </w:r>
          </w:p>
        </w:tc>
        <w:tc>
          <w:tcPr>
            <w:tcW w:w="1080" w:type="dxa"/>
            <w:shd w:val="clear" w:color="auto" w:fill="F3F7F8"/>
            <w:tcMar>
              <w:top w:w="80" w:type="dxa"/>
              <w:left w:w="80" w:type="dxa"/>
              <w:bottom w:w="80" w:type="dxa"/>
              <w:right w:w="80" w:type="dxa"/>
            </w:tcMar>
            <w:vAlign w:val="center"/>
          </w:tcPr>
          <w:p w14:paraId="4D7110BB" w14:textId="77777777" w:rsidR="00307435" w:rsidRDefault="00000000">
            <w:r>
              <w:rPr>
                <w:sz w:val="14"/>
              </w:rPr>
              <w:t>-7.3</w:t>
            </w:r>
          </w:p>
        </w:tc>
        <w:tc>
          <w:tcPr>
            <w:tcW w:w="1080" w:type="dxa"/>
            <w:shd w:val="clear" w:color="auto" w:fill="F3F7F8"/>
            <w:tcMar>
              <w:top w:w="80" w:type="dxa"/>
              <w:left w:w="80" w:type="dxa"/>
              <w:bottom w:w="80" w:type="dxa"/>
              <w:right w:w="80" w:type="dxa"/>
            </w:tcMar>
            <w:vAlign w:val="center"/>
          </w:tcPr>
          <w:p w14:paraId="059BC1E9" w14:textId="77777777" w:rsidR="00307435" w:rsidRDefault="00000000">
            <w:r>
              <w:rPr>
                <w:sz w:val="14"/>
              </w:rPr>
              <w:t>-12.0</w:t>
            </w:r>
          </w:p>
        </w:tc>
        <w:tc>
          <w:tcPr>
            <w:tcW w:w="936" w:type="dxa"/>
            <w:shd w:val="clear" w:color="auto" w:fill="F3F7F8"/>
            <w:tcMar>
              <w:top w:w="80" w:type="dxa"/>
              <w:left w:w="80" w:type="dxa"/>
              <w:bottom w:w="80" w:type="dxa"/>
              <w:right w:w="80" w:type="dxa"/>
            </w:tcMar>
            <w:vAlign w:val="center"/>
          </w:tcPr>
          <w:p w14:paraId="436AB14E" w14:textId="77777777" w:rsidR="00307435" w:rsidRDefault="00000000">
            <w:r>
              <w:rPr>
                <w:sz w:val="14"/>
              </w:rPr>
              <w:t>&lt;0.0001</w:t>
            </w:r>
          </w:p>
        </w:tc>
        <w:tc>
          <w:tcPr>
            <w:tcW w:w="864" w:type="dxa"/>
            <w:shd w:val="clear" w:color="auto" w:fill="F3F7F8"/>
            <w:tcMar>
              <w:top w:w="80" w:type="dxa"/>
              <w:left w:w="80" w:type="dxa"/>
              <w:bottom w:w="80" w:type="dxa"/>
              <w:right w:w="80" w:type="dxa"/>
            </w:tcMar>
            <w:vAlign w:val="center"/>
          </w:tcPr>
          <w:p w14:paraId="6F20D6DF" w14:textId="77777777" w:rsidR="00307435" w:rsidRDefault="00000000">
            <w:r>
              <w:rPr>
                <w:sz w:val="14"/>
              </w:rPr>
              <w:t>yes</w:t>
            </w:r>
          </w:p>
        </w:tc>
      </w:tr>
      <w:tr w:rsidR="00307435" w14:paraId="5B37EF1B" w14:textId="77777777">
        <w:trPr>
          <w:jc w:val="center"/>
          <w:cantSplit/>
        </w:trPr>
        <w:tc>
          <w:tcPr>
            <w:tcW w:w="792" w:type="dxa"/>
            <w:tcMar>
              <w:top w:w="80" w:type="dxa"/>
              <w:left w:w="80" w:type="dxa"/>
              <w:bottom w:w="80" w:type="dxa"/>
              <w:right w:w="80" w:type="dxa"/>
            </w:tcMar>
            <w:vAlign w:val="center"/>
          </w:tcPr>
          <w:p w14:paraId="07F310CC" w14:textId="77777777" w:rsidR="00307435" w:rsidRDefault="00000000">
            <w:r>
              <w:rPr>
                <w:sz w:val="14"/>
              </w:rPr>
              <w:t>ACBBA</w:t>
            </w:r>
          </w:p>
        </w:tc>
        <w:tc>
          <w:tcPr>
            <w:tcW w:w="792" w:type="dxa"/>
            <w:tcMar>
              <w:top w:w="80" w:type="dxa"/>
              <w:left w:w="80" w:type="dxa"/>
              <w:bottom w:w="80" w:type="dxa"/>
              <w:right w:w="80" w:type="dxa"/>
            </w:tcMar>
            <w:vAlign w:val="center"/>
          </w:tcPr>
          <w:p w14:paraId="12D8166A" w14:textId="77777777" w:rsidR="00307435" w:rsidRDefault="00000000">
            <w:r>
              <w:rPr>
                <w:sz w:val="14"/>
              </w:rPr>
              <w:t>Medium</w:t>
            </w:r>
          </w:p>
        </w:tc>
        <w:tc>
          <w:tcPr>
            <w:tcW w:w="504" w:type="dxa"/>
            <w:tcMar>
              <w:top w:w="80" w:type="dxa"/>
              <w:left w:w="80" w:type="dxa"/>
              <w:bottom w:w="80" w:type="dxa"/>
              <w:right w:w="80" w:type="dxa"/>
            </w:tcMar>
            <w:vAlign w:val="center"/>
          </w:tcPr>
          <w:p w14:paraId="06E08BBF" w14:textId="77777777" w:rsidR="00307435" w:rsidRDefault="00000000">
            <w:r>
              <w:rPr>
                <w:sz w:val="14"/>
              </w:rPr>
              <w:t>46</w:t>
            </w:r>
          </w:p>
        </w:tc>
        <w:tc>
          <w:tcPr>
            <w:tcW w:w="1440" w:type="dxa"/>
            <w:tcMar>
              <w:top w:w="80" w:type="dxa"/>
              <w:left w:w="80" w:type="dxa"/>
              <w:bottom w:w="80" w:type="dxa"/>
              <w:right w:w="80" w:type="dxa"/>
            </w:tcMar>
            <w:vAlign w:val="center"/>
          </w:tcPr>
          <w:p w14:paraId="6F5DCA71" w14:textId="77777777" w:rsidR="00307435" w:rsidRDefault="00000000">
            <w:r>
              <w:rPr>
                <w:sz w:val="14"/>
              </w:rPr>
              <w:t>+1.22</w:t>
            </w:r>
          </w:p>
        </w:tc>
        <w:tc>
          <w:tcPr>
            <w:tcW w:w="1656" w:type="dxa"/>
            <w:tcMar>
              <w:top w:w="80" w:type="dxa"/>
              <w:left w:w="80" w:type="dxa"/>
              <w:bottom w:w="80" w:type="dxa"/>
              <w:right w:w="80" w:type="dxa"/>
            </w:tcMar>
            <w:vAlign w:val="center"/>
          </w:tcPr>
          <w:p w14:paraId="7C2C49C2" w14:textId="77777777" w:rsidR="00307435" w:rsidRDefault="00000000">
            <w:r>
              <w:rPr>
                <w:sz w:val="14"/>
              </w:rPr>
              <w:t>[+0.15, +2.17]</w:t>
            </w:r>
          </w:p>
        </w:tc>
        <w:tc>
          <w:tcPr>
            <w:tcW w:w="1080" w:type="dxa"/>
            <w:tcMar>
              <w:top w:w="80" w:type="dxa"/>
              <w:left w:w="80" w:type="dxa"/>
              <w:bottom w:w="80" w:type="dxa"/>
              <w:right w:w="80" w:type="dxa"/>
            </w:tcMar>
            <w:vAlign w:val="center"/>
          </w:tcPr>
          <w:p w14:paraId="4A16894B" w14:textId="77777777" w:rsidR="00307435" w:rsidRDefault="00000000">
            <w:r>
              <w:rPr>
                <w:sz w:val="14"/>
              </w:rPr>
              <w:t>+17.0</w:t>
            </w:r>
          </w:p>
        </w:tc>
        <w:tc>
          <w:tcPr>
            <w:tcW w:w="1080" w:type="dxa"/>
            <w:tcMar>
              <w:top w:w="80" w:type="dxa"/>
              <w:left w:w="80" w:type="dxa"/>
              <w:bottom w:w="80" w:type="dxa"/>
              <w:right w:w="80" w:type="dxa"/>
            </w:tcMar>
            <w:vAlign w:val="center"/>
          </w:tcPr>
          <w:p w14:paraId="5D9DD8C9" w14:textId="77777777" w:rsidR="00307435" w:rsidRDefault="00000000">
            <w:r>
              <w:rPr>
                <w:sz w:val="14"/>
              </w:rPr>
              <w:t>+11.5</w:t>
            </w:r>
          </w:p>
        </w:tc>
        <w:tc>
          <w:tcPr>
            <w:tcW w:w="936" w:type="dxa"/>
            <w:tcMar>
              <w:top w:w="80" w:type="dxa"/>
              <w:left w:w="80" w:type="dxa"/>
              <w:bottom w:w="80" w:type="dxa"/>
              <w:right w:w="80" w:type="dxa"/>
            </w:tcMar>
            <w:vAlign w:val="center"/>
          </w:tcPr>
          <w:p w14:paraId="0B928F5C" w14:textId="77777777" w:rsidR="00307435" w:rsidRDefault="00000000">
            <w:r>
              <w:rPr>
                <w:sz w:val="14"/>
              </w:rPr>
              <w:t>0.0487</w:t>
            </w:r>
          </w:p>
        </w:tc>
        <w:tc>
          <w:tcPr>
            <w:tcW w:w="864" w:type="dxa"/>
            <w:tcMar>
              <w:top w:w="80" w:type="dxa"/>
              <w:left w:w="80" w:type="dxa"/>
              <w:bottom w:w="80" w:type="dxa"/>
              <w:right w:w="80" w:type="dxa"/>
            </w:tcMar>
            <w:vAlign w:val="center"/>
          </w:tcPr>
          <w:p w14:paraId="109264F6" w14:textId="77777777" w:rsidR="00307435" w:rsidRDefault="00000000">
            <w:r>
              <w:rPr>
                <w:sz w:val="14"/>
              </w:rPr>
              <w:t>yes</w:t>
            </w:r>
          </w:p>
        </w:tc>
      </w:tr>
      <w:tr w:rsidR="00307435" w14:paraId="1E1C71AE" w14:textId="77777777">
        <w:trPr>
          <w:jc w:val="center"/>
          <w:cantSplit/>
        </w:trPr>
        <w:tc>
          <w:tcPr>
            <w:tcW w:w="792" w:type="dxa"/>
            <w:shd w:val="clear" w:color="auto" w:fill="F3F7F8"/>
            <w:tcMar>
              <w:top w:w="80" w:type="dxa"/>
              <w:left w:w="80" w:type="dxa"/>
              <w:bottom w:w="80" w:type="dxa"/>
              <w:right w:w="80" w:type="dxa"/>
            </w:tcMar>
            <w:vAlign w:val="center"/>
          </w:tcPr>
          <w:p w14:paraId="0BDCD26D" w14:textId="77777777" w:rsidR="00307435" w:rsidRDefault="00000000">
            <w:r>
              <w:rPr>
                <w:sz w:val="14"/>
              </w:rPr>
              <w:t>CBAA</w:t>
            </w:r>
          </w:p>
        </w:tc>
        <w:tc>
          <w:tcPr>
            <w:tcW w:w="792" w:type="dxa"/>
            <w:shd w:val="clear" w:color="auto" w:fill="F3F7F8"/>
            <w:tcMar>
              <w:top w:w="80" w:type="dxa"/>
              <w:left w:w="80" w:type="dxa"/>
              <w:bottom w:w="80" w:type="dxa"/>
              <w:right w:w="80" w:type="dxa"/>
            </w:tcMar>
            <w:vAlign w:val="center"/>
          </w:tcPr>
          <w:p w14:paraId="31815D7D" w14:textId="77777777" w:rsidR="00307435" w:rsidRDefault="00000000">
            <w:r>
              <w:rPr>
                <w:sz w:val="14"/>
              </w:rPr>
              <w:t>Medium</w:t>
            </w:r>
          </w:p>
        </w:tc>
        <w:tc>
          <w:tcPr>
            <w:tcW w:w="504" w:type="dxa"/>
            <w:shd w:val="clear" w:color="auto" w:fill="F3F7F8"/>
            <w:tcMar>
              <w:top w:w="80" w:type="dxa"/>
              <w:left w:w="80" w:type="dxa"/>
              <w:bottom w:w="80" w:type="dxa"/>
              <w:right w:w="80" w:type="dxa"/>
            </w:tcMar>
            <w:vAlign w:val="center"/>
          </w:tcPr>
          <w:p w14:paraId="4AEC5F99" w14:textId="77777777" w:rsidR="00307435" w:rsidRDefault="00000000">
            <w:r>
              <w:rPr>
                <w:sz w:val="14"/>
              </w:rPr>
              <w:t>38</w:t>
            </w:r>
          </w:p>
        </w:tc>
        <w:tc>
          <w:tcPr>
            <w:tcW w:w="1440" w:type="dxa"/>
            <w:shd w:val="clear" w:color="auto" w:fill="F3F7F8"/>
            <w:tcMar>
              <w:top w:w="80" w:type="dxa"/>
              <w:left w:w="80" w:type="dxa"/>
              <w:bottom w:w="80" w:type="dxa"/>
              <w:right w:w="80" w:type="dxa"/>
            </w:tcMar>
            <w:vAlign w:val="center"/>
          </w:tcPr>
          <w:p w14:paraId="691C4C97" w14:textId="77777777" w:rsidR="00307435" w:rsidRDefault="00000000">
            <w:r>
              <w:rPr>
                <w:sz w:val="14"/>
              </w:rPr>
              <w:t>+1.67</w:t>
            </w:r>
          </w:p>
        </w:tc>
        <w:tc>
          <w:tcPr>
            <w:tcW w:w="1656" w:type="dxa"/>
            <w:shd w:val="clear" w:color="auto" w:fill="F3F7F8"/>
            <w:tcMar>
              <w:top w:w="80" w:type="dxa"/>
              <w:left w:w="80" w:type="dxa"/>
              <w:bottom w:w="80" w:type="dxa"/>
              <w:right w:w="80" w:type="dxa"/>
            </w:tcMar>
            <w:vAlign w:val="center"/>
          </w:tcPr>
          <w:p w14:paraId="7DB33F27" w14:textId="77777777" w:rsidR="00307435" w:rsidRDefault="00000000">
            <w:r>
              <w:rPr>
                <w:sz w:val="14"/>
              </w:rPr>
              <w:t>[+0.26, +3.24]</w:t>
            </w:r>
          </w:p>
        </w:tc>
        <w:tc>
          <w:tcPr>
            <w:tcW w:w="1080" w:type="dxa"/>
            <w:shd w:val="clear" w:color="auto" w:fill="F3F7F8"/>
            <w:tcMar>
              <w:top w:w="80" w:type="dxa"/>
              <w:left w:w="80" w:type="dxa"/>
              <w:bottom w:w="80" w:type="dxa"/>
              <w:right w:w="80" w:type="dxa"/>
            </w:tcMar>
            <w:vAlign w:val="center"/>
          </w:tcPr>
          <w:p w14:paraId="608AB680" w14:textId="77777777" w:rsidR="00307435" w:rsidRDefault="00000000">
            <w:r>
              <w:rPr>
                <w:sz w:val="14"/>
              </w:rPr>
              <w:t>+18.6</w:t>
            </w:r>
          </w:p>
        </w:tc>
        <w:tc>
          <w:tcPr>
            <w:tcW w:w="1080" w:type="dxa"/>
            <w:shd w:val="clear" w:color="auto" w:fill="F3F7F8"/>
            <w:tcMar>
              <w:top w:w="80" w:type="dxa"/>
              <w:left w:w="80" w:type="dxa"/>
              <w:bottom w:w="80" w:type="dxa"/>
              <w:right w:w="80" w:type="dxa"/>
            </w:tcMar>
            <w:vAlign w:val="center"/>
          </w:tcPr>
          <w:p w14:paraId="448825BD" w14:textId="77777777" w:rsidR="00307435" w:rsidRDefault="00000000">
            <w:r>
              <w:rPr>
                <w:sz w:val="14"/>
              </w:rPr>
              <w:t>+25.7</w:t>
            </w:r>
          </w:p>
        </w:tc>
        <w:tc>
          <w:tcPr>
            <w:tcW w:w="936" w:type="dxa"/>
            <w:shd w:val="clear" w:color="auto" w:fill="F3F7F8"/>
            <w:tcMar>
              <w:top w:w="80" w:type="dxa"/>
              <w:left w:w="80" w:type="dxa"/>
              <w:bottom w:w="80" w:type="dxa"/>
              <w:right w:w="80" w:type="dxa"/>
            </w:tcMar>
            <w:vAlign w:val="center"/>
          </w:tcPr>
          <w:p w14:paraId="361CAA50" w14:textId="77777777" w:rsidR="00307435" w:rsidRDefault="00000000">
            <w:r>
              <w:rPr>
                <w:sz w:val="14"/>
              </w:rPr>
              <w:t>0.0147</w:t>
            </w:r>
          </w:p>
        </w:tc>
        <w:tc>
          <w:tcPr>
            <w:tcW w:w="864" w:type="dxa"/>
            <w:shd w:val="clear" w:color="auto" w:fill="F3F7F8"/>
            <w:tcMar>
              <w:top w:w="80" w:type="dxa"/>
              <w:left w:w="80" w:type="dxa"/>
              <w:bottom w:w="80" w:type="dxa"/>
              <w:right w:w="80" w:type="dxa"/>
            </w:tcMar>
            <w:vAlign w:val="center"/>
          </w:tcPr>
          <w:p w14:paraId="04BE9310" w14:textId="77777777" w:rsidR="00307435" w:rsidRDefault="00000000">
            <w:r>
              <w:rPr>
                <w:sz w:val="14"/>
              </w:rPr>
              <w:t>yes</w:t>
            </w:r>
          </w:p>
        </w:tc>
      </w:tr>
      <w:tr w:rsidR="00307435" w14:paraId="3861375F" w14:textId="77777777">
        <w:trPr>
          <w:jc w:val="center"/>
          <w:cantSplit/>
        </w:trPr>
        <w:tc>
          <w:tcPr>
            <w:tcW w:w="792" w:type="dxa"/>
            <w:tcMar>
              <w:top w:w="80" w:type="dxa"/>
              <w:left w:w="80" w:type="dxa"/>
              <w:bottom w:w="80" w:type="dxa"/>
              <w:right w:w="80" w:type="dxa"/>
            </w:tcMar>
            <w:vAlign w:val="center"/>
          </w:tcPr>
          <w:p w14:paraId="4441E1C6" w14:textId="77777777" w:rsidR="00307435" w:rsidRDefault="00000000">
            <w:r>
              <w:rPr>
                <w:sz w:val="14"/>
              </w:rPr>
              <w:t>HIPC</w:t>
            </w:r>
          </w:p>
        </w:tc>
        <w:tc>
          <w:tcPr>
            <w:tcW w:w="792" w:type="dxa"/>
            <w:tcMar>
              <w:top w:w="80" w:type="dxa"/>
              <w:left w:w="80" w:type="dxa"/>
              <w:bottom w:w="80" w:type="dxa"/>
              <w:right w:w="80" w:type="dxa"/>
            </w:tcMar>
            <w:vAlign w:val="center"/>
          </w:tcPr>
          <w:p w14:paraId="2E7F404C" w14:textId="77777777" w:rsidR="00307435" w:rsidRDefault="00000000">
            <w:r>
              <w:rPr>
                <w:sz w:val="14"/>
              </w:rPr>
              <w:t>Medium</w:t>
            </w:r>
          </w:p>
        </w:tc>
        <w:tc>
          <w:tcPr>
            <w:tcW w:w="504" w:type="dxa"/>
            <w:tcMar>
              <w:top w:w="80" w:type="dxa"/>
              <w:left w:w="80" w:type="dxa"/>
              <w:bottom w:w="80" w:type="dxa"/>
              <w:right w:w="80" w:type="dxa"/>
            </w:tcMar>
            <w:vAlign w:val="center"/>
          </w:tcPr>
          <w:p w14:paraId="62D27581" w14:textId="77777777" w:rsidR="00307435" w:rsidRDefault="00000000">
            <w:r>
              <w:rPr>
                <w:sz w:val="14"/>
              </w:rPr>
              <w:t>46</w:t>
            </w:r>
          </w:p>
        </w:tc>
        <w:tc>
          <w:tcPr>
            <w:tcW w:w="1440" w:type="dxa"/>
            <w:tcMar>
              <w:top w:w="80" w:type="dxa"/>
              <w:left w:w="80" w:type="dxa"/>
              <w:bottom w:w="80" w:type="dxa"/>
              <w:right w:w="80" w:type="dxa"/>
            </w:tcMar>
            <w:vAlign w:val="center"/>
          </w:tcPr>
          <w:p w14:paraId="3EF2C428" w14:textId="77777777" w:rsidR="00307435" w:rsidRDefault="00000000">
            <w:r>
              <w:rPr>
                <w:sz w:val="14"/>
              </w:rPr>
              <w:t>+1.55</w:t>
            </w:r>
          </w:p>
        </w:tc>
        <w:tc>
          <w:tcPr>
            <w:tcW w:w="1656" w:type="dxa"/>
            <w:tcMar>
              <w:top w:w="80" w:type="dxa"/>
              <w:left w:w="80" w:type="dxa"/>
              <w:bottom w:w="80" w:type="dxa"/>
              <w:right w:w="80" w:type="dxa"/>
            </w:tcMar>
            <w:vAlign w:val="center"/>
          </w:tcPr>
          <w:p w14:paraId="025C1AC3" w14:textId="77777777" w:rsidR="00307435" w:rsidRDefault="00000000">
            <w:r>
              <w:rPr>
                <w:sz w:val="14"/>
              </w:rPr>
              <w:t>[+0.98, +2.22]</w:t>
            </w:r>
          </w:p>
        </w:tc>
        <w:tc>
          <w:tcPr>
            <w:tcW w:w="1080" w:type="dxa"/>
            <w:tcMar>
              <w:top w:w="80" w:type="dxa"/>
              <w:left w:w="80" w:type="dxa"/>
              <w:bottom w:w="80" w:type="dxa"/>
              <w:right w:w="80" w:type="dxa"/>
            </w:tcMar>
            <w:vAlign w:val="center"/>
          </w:tcPr>
          <w:p w14:paraId="227B515B" w14:textId="77777777" w:rsidR="00307435" w:rsidRDefault="00000000">
            <w:r>
              <w:rPr>
                <w:sz w:val="14"/>
              </w:rPr>
              <w:t>+16.3</w:t>
            </w:r>
          </w:p>
        </w:tc>
        <w:tc>
          <w:tcPr>
            <w:tcW w:w="1080" w:type="dxa"/>
            <w:tcMar>
              <w:top w:w="80" w:type="dxa"/>
              <w:left w:w="80" w:type="dxa"/>
              <w:bottom w:w="80" w:type="dxa"/>
              <w:right w:w="80" w:type="dxa"/>
            </w:tcMar>
            <w:vAlign w:val="center"/>
          </w:tcPr>
          <w:p w14:paraId="6FECD179" w14:textId="77777777" w:rsidR="00307435" w:rsidRDefault="00000000">
            <w:r>
              <w:rPr>
                <w:sz w:val="14"/>
              </w:rPr>
              <w:t>+7.6</w:t>
            </w:r>
          </w:p>
        </w:tc>
        <w:tc>
          <w:tcPr>
            <w:tcW w:w="936" w:type="dxa"/>
            <w:tcMar>
              <w:top w:w="80" w:type="dxa"/>
              <w:left w:w="80" w:type="dxa"/>
              <w:bottom w:w="80" w:type="dxa"/>
              <w:right w:w="80" w:type="dxa"/>
            </w:tcMar>
            <w:vAlign w:val="center"/>
          </w:tcPr>
          <w:p w14:paraId="6B2CEF63" w14:textId="77777777" w:rsidR="00307435" w:rsidRDefault="00000000">
            <w:r>
              <w:rPr>
                <w:sz w:val="14"/>
              </w:rPr>
              <w:t>0.0003</w:t>
            </w:r>
          </w:p>
        </w:tc>
        <w:tc>
          <w:tcPr>
            <w:tcW w:w="864" w:type="dxa"/>
            <w:tcMar>
              <w:top w:w="80" w:type="dxa"/>
              <w:left w:w="80" w:type="dxa"/>
              <w:bottom w:w="80" w:type="dxa"/>
              <w:right w:w="80" w:type="dxa"/>
            </w:tcMar>
            <w:vAlign w:val="center"/>
          </w:tcPr>
          <w:p w14:paraId="35E8A07A" w14:textId="77777777" w:rsidR="00307435" w:rsidRDefault="00000000">
            <w:r>
              <w:rPr>
                <w:sz w:val="14"/>
              </w:rPr>
              <w:t>yes</w:t>
            </w:r>
          </w:p>
        </w:tc>
      </w:tr>
      <w:tr w:rsidR="00307435" w14:paraId="5C3CC010" w14:textId="77777777">
        <w:trPr>
          <w:jc w:val="center"/>
          <w:cantSplit/>
        </w:trPr>
        <w:tc>
          <w:tcPr>
            <w:tcW w:w="792" w:type="dxa"/>
            <w:shd w:val="clear" w:color="auto" w:fill="F3F7F8"/>
            <w:tcMar>
              <w:top w:w="80" w:type="dxa"/>
              <w:left w:w="80" w:type="dxa"/>
              <w:bottom w:w="80" w:type="dxa"/>
              <w:right w:w="80" w:type="dxa"/>
            </w:tcMar>
            <w:vAlign w:val="center"/>
          </w:tcPr>
          <w:p w14:paraId="04960331" w14:textId="77777777" w:rsidR="00307435" w:rsidRDefault="00000000">
            <w:r>
              <w:rPr>
                <w:sz w:val="14"/>
              </w:rPr>
              <w:lastRenderedPageBreak/>
              <w:t>PI</w:t>
            </w:r>
          </w:p>
        </w:tc>
        <w:tc>
          <w:tcPr>
            <w:tcW w:w="792" w:type="dxa"/>
            <w:shd w:val="clear" w:color="auto" w:fill="F3F7F8"/>
            <w:tcMar>
              <w:top w:w="80" w:type="dxa"/>
              <w:left w:w="80" w:type="dxa"/>
              <w:bottom w:w="80" w:type="dxa"/>
              <w:right w:w="80" w:type="dxa"/>
            </w:tcMar>
            <w:vAlign w:val="center"/>
          </w:tcPr>
          <w:p w14:paraId="0A0533D0" w14:textId="77777777" w:rsidR="00307435" w:rsidRDefault="00000000">
            <w:r>
              <w:rPr>
                <w:sz w:val="14"/>
              </w:rPr>
              <w:t>Medium</w:t>
            </w:r>
          </w:p>
        </w:tc>
        <w:tc>
          <w:tcPr>
            <w:tcW w:w="504" w:type="dxa"/>
            <w:shd w:val="clear" w:color="auto" w:fill="F3F7F8"/>
            <w:tcMar>
              <w:top w:w="80" w:type="dxa"/>
              <w:left w:w="80" w:type="dxa"/>
              <w:bottom w:w="80" w:type="dxa"/>
              <w:right w:w="80" w:type="dxa"/>
            </w:tcMar>
            <w:vAlign w:val="center"/>
          </w:tcPr>
          <w:p w14:paraId="04A17135" w14:textId="77777777" w:rsidR="00307435" w:rsidRDefault="00000000">
            <w:r>
              <w:rPr>
                <w:sz w:val="14"/>
              </w:rPr>
              <w:t>46</w:t>
            </w:r>
          </w:p>
        </w:tc>
        <w:tc>
          <w:tcPr>
            <w:tcW w:w="1440" w:type="dxa"/>
            <w:shd w:val="clear" w:color="auto" w:fill="F3F7F8"/>
            <w:tcMar>
              <w:top w:w="80" w:type="dxa"/>
              <w:left w:w="80" w:type="dxa"/>
              <w:bottom w:w="80" w:type="dxa"/>
              <w:right w:w="80" w:type="dxa"/>
            </w:tcMar>
            <w:vAlign w:val="center"/>
          </w:tcPr>
          <w:p w14:paraId="4080AC09" w14:textId="77777777" w:rsidR="00307435" w:rsidRDefault="00000000">
            <w:r>
              <w:rPr>
                <w:sz w:val="14"/>
              </w:rPr>
              <w:t>+0.48</w:t>
            </w:r>
          </w:p>
        </w:tc>
        <w:tc>
          <w:tcPr>
            <w:tcW w:w="1656" w:type="dxa"/>
            <w:shd w:val="clear" w:color="auto" w:fill="F3F7F8"/>
            <w:tcMar>
              <w:top w:w="80" w:type="dxa"/>
              <w:left w:w="80" w:type="dxa"/>
              <w:bottom w:w="80" w:type="dxa"/>
              <w:right w:w="80" w:type="dxa"/>
            </w:tcMar>
            <w:vAlign w:val="center"/>
          </w:tcPr>
          <w:p w14:paraId="2354AE70" w14:textId="77777777" w:rsidR="00307435" w:rsidRDefault="00000000">
            <w:r>
              <w:rPr>
                <w:sz w:val="14"/>
              </w:rPr>
              <w:t>[+0.14, +3.40]</w:t>
            </w:r>
          </w:p>
        </w:tc>
        <w:tc>
          <w:tcPr>
            <w:tcW w:w="1080" w:type="dxa"/>
            <w:shd w:val="clear" w:color="auto" w:fill="F3F7F8"/>
            <w:tcMar>
              <w:top w:w="80" w:type="dxa"/>
              <w:left w:w="80" w:type="dxa"/>
              <w:bottom w:w="80" w:type="dxa"/>
              <w:right w:w="80" w:type="dxa"/>
            </w:tcMar>
            <w:vAlign w:val="center"/>
          </w:tcPr>
          <w:p w14:paraId="02B4B803" w14:textId="77777777" w:rsidR="00307435" w:rsidRDefault="00000000">
            <w:r>
              <w:rPr>
                <w:sz w:val="14"/>
              </w:rPr>
              <w:t>+25.2</w:t>
            </w:r>
          </w:p>
        </w:tc>
        <w:tc>
          <w:tcPr>
            <w:tcW w:w="1080" w:type="dxa"/>
            <w:shd w:val="clear" w:color="auto" w:fill="F3F7F8"/>
            <w:tcMar>
              <w:top w:w="80" w:type="dxa"/>
              <w:left w:w="80" w:type="dxa"/>
              <w:bottom w:w="80" w:type="dxa"/>
              <w:right w:w="80" w:type="dxa"/>
            </w:tcMar>
            <w:vAlign w:val="center"/>
          </w:tcPr>
          <w:p w14:paraId="6A03FCD7" w14:textId="77777777" w:rsidR="00307435" w:rsidRDefault="00000000">
            <w:r>
              <w:rPr>
                <w:sz w:val="14"/>
              </w:rPr>
              <w:t>+23.3</w:t>
            </w:r>
          </w:p>
        </w:tc>
        <w:tc>
          <w:tcPr>
            <w:tcW w:w="936" w:type="dxa"/>
            <w:shd w:val="clear" w:color="auto" w:fill="F3F7F8"/>
            <w:tcMar>
              <w:top w:w="80" w:type="dxa"/>
              <w:left w:w="80" w:type="dxa"/>
              <w:bottom w:w="80" w:type="dxa"/>
              <w:right w:w="80" w:type="dxa"/>
            </w:tcMar>
            <w:vAlign w:val="center"/>
          </w:tcPr>
          <w:p w14:paraId="3607B553" w14:textId="77777777" w:rsidR="00307435" w:rsidRDefault="00000000">
            <w:r>
              <w:rPr>
                <w:sz w:val="14"/>
              </w:rPr>
              <w:t>0.0689</w:t>
            </w:r>
          </w:p>
        </w:tc>
        <w:tc>
          <w:tcPr>
            <w:tcW w:w="864" w:type="dxa"/>
            <w:shd w:val="clear" w:color="auto" w:fill="F3F7F8"/>
            <w:tcMar>
              <w:top w:w="80" w:type="dxa"/>
              <w:left w:w="80" w:type="dxa"/>
              <w:bottom w:w="80" w:type="dxa"/>
              <w:right w:w="80" w:type="dxa"/>
            </w:tcMar>
            <w:vAlign w:val="center"/>
          </w:tcPr>
          <w:p w14:paraId="60C40D3D" w14:textId="77777777" w:rsidR="00307435" w:rsidRDefault="00000000">
            <w:r>
              <w:rPr>
                <w:sz w:val="14"/>
              </w:rPr>
              <w:t>no</w:t>
            </w:r>
          </w:p>
        </w:tc>
      </w:tr>
      <w:tr w:rsidR="00307435" w14:paraId="091D0BFD" w14:textId="77777777">
        <w:trPr>
          <w:jc w:val="center"/>
          <w:cantSplit/>
        </w:trPr>
        <w:tc>
          <w:tcPr>
            <w:tcW w:w="792" w:type="dxa"/>
            <w:tcMar>
              <w:top w:w="80" w:type="dxa"/>
              <w:left w:w="80" w:type="dxa"/>
              <w:bottom w:w="80" w:type="dxa"/>
              <w:right w:w="80" w:type="dxa"/>
            </w:tcMar>
            <w:vAlign w:val="center"/>
          </w:tcPr>
          <w:p w14:paraId="21A11D07" w14:textId="77777777" w:rsidR="00307435" w:rsidRDefault="00000000">
            <w:r>
              <w:rPr>
                <w:sz w:val="14"/>
              </w:rPr>
              <w:t>ACBBA</w:t>
            </w:r>
          </w:p>
        </w:tc>
        <w:tc>
          <w:tcPr>
            <w:tcW w:w="792" w:type="dxa"/>
            <w:tcMar>
              <w:top w:w="80" w:type="dxa"/>
              <w:left w:w="80" w:type="dxa"/>
              <w:bottom w:w="80" w:type="dxa"/>
              <w:right w:w="80" w:type="dxa"/>
            </w:tcMar>
            <w:vAlign w:val="center"/>
          </w:tcPr>
          <w:p w14:paraId="3CE348A5" w14:textId="77777777" w:rsidR="00307435" w:rsidRDefault="00000000">
            <w:r>
              <w:rPr>
                <w:sz w:val="14"/>
              </w:rPr>
              <w:t>High</w:t>
            </w:r>
          </w:p>
        </w:tc>
        <w:tc>
          <w:tcPr>
            <w:tcW w:w="504" w:type="dxa"/>
            <w:tcMar>
              <w:top w:w="80" w:type="dxa"/>
              <w:left w:w="80" w:type="dxa"/>
              <w:bottom w:w="80" w:type="dxa"/>
              <w:right w:w="80" w:type="dxa"/>
            </w:tcMar>
            <w:vAlign w:val="center"/>
          </w:tcPr>
          <w:p w14:paraId="7666B722" w14:textId="77777777" w:rsidR="00307435" w:rsidRDefault="00000000">
            <w:r>
              <w:rPr>
                <w:sz w:val="14"/>
              </w:rPr>
              <w:t>46</w:t>
            </w:r>
          </w:p>
        </w:tc>
        <w:tc>
          <w:tcPr>
            <w:tcW w:w="1440" w:type="dxa"/>
            <w:tcMar>
              <w:top w:w="80" w:type="dxa"/>
              <w:left w:w="80" w:type="dxa"/>
              <w:bottom w:w="80" w:type="dxa"/>
              <w:right w:w="80" w:type="dxa"/>
            </w:tcMar>
            <w:vAlign w:val="center"/>
          </w:tcPr>
          <w:p w14:paraId="5D8C8158" w14:textId="77777777" w:rsidR="00307435" w:rsidRDefault="00000000">
            <w:r>
              <w:rPr>
                <w:sz w:val="14"/>
              </w:rPr>
              <w:t>+0.93</w:t>
            </w:r>
          </w:p>
        </w:tc>
        <w:tc>
          <w:tcPr>
            <w:tcW w:w="1656" w:type="dxa"/>
            <w:tcMar>
              <w:top w:w="80" w:type="dxa"/>
              <w:left w:w="80" w:type="dxa"/>
              <w:bottom w:w="80" w:type="dxa"/>
              <w:right w:w="80" w:type="dxa"/>
            </w:tcMar>
            <w:vAlign w:val="center"/>
          </w:tcPr>
          <w:p w14:paraId="724AFFAE" w14:textId="77777777" w:rsidR="00307435" w:rsidRDefault="00000000">
            <w:r>
              <w:rPr>
                <w:sz w:val="14"/>
              </w:rPr>
              <w:t>[-0.90, +2.56]</w:t>
            </w:r>
          </w:p>
        </w:tc>
        <w:tc>
          <w:tcPr>
            <w:tcW w:w="1080" w:type="dxa"/>
            <w:tcMar>
              <w:top w:w="80" w:type="dxa"/>
              <w:left w:w="80" w:type="dxa"/>
              <w:bottom w:w="80" w:type="dxa"/>
              <w:right w:w="80" w:type="dxa"/>
            </w:tcMar>
            <w:vAlign w:val="center"/>
          </w:tcPr>
          <w:p w14:paraId="423FB9EF" w14:textId="77777777" w:rsidR="00307435" w:rsidRDefault="00000000">
            <w:r>
              <w:rPr>
                <w:sz w:val="14"/>
              </w:rPr>
              <w:t>+19.9</w:t>
            </w:r>
          </w:p>
        </w:tc>
        <w:tc>
          <w:tcPr>
            <w:tcW w:w="1080" w:type="dxa"/>
            <w:tcMar>
              <w:top w:w="80" w:type="dxa"/>
              <w:left w:w="80" w:type="dxa"/>
              <w:bottom w:w="80" w:type="dxa"/>
              <w:right w:w="80" w:type="dxa"/>
            </w:tcMar>
            <w:vAlign w:val="center"/>
          </w:tcPr>
          <w:p w14:paraId="21CCEC41" w14:textId="77777777" w:rsidR="00307435" w:rsidRDefault="00000000">
            <w:r>
              <w:rPr>
                <w:sz w:val="14"/>
              </w:rPr>
              <w:t>+22.5</w:t>
            </w:r>
          </w:p>
        </w:tc>
        <w:tc>
          <w:tcPr>
            <w:tcW w:w="936" w:type="dxa"/>
            <w:tcMar>
              <w:top w:w="80" w:type="dxa"/>
              <w:left w:w="80" w:type="dxa"/>
              <w:bottom w:w="80" w:type="dxa"/>
              <w:right w:w="80" w:type="dxa"/>
            </w:tcMar>
            <w:vAlign w:val="center"/>
          </w:tcPr>
          <w:p w14:paraId="4D9038B4" w14:textId="77777777" w:rsidR="00307435" w:rsidRDefault="00000000">
            <w:r>
              <w:rPr>
                <w:sz w:val="14"/>
              </w:rPr>
              <w:t>0.7141</w:t>
            </w:r>
          </w:p>
        </w:tc>
        <w:tc>
          <w:tcPr>
            <w:tcW w:w="864" w:type="dxa"/>
            <w:tcMar>
              <w:top w:w="80" w:type="dxa"/>
              <w:left w:w="80" w:type="dxa"/>
              <w:bottom w:w="80" w:type="dxa"/>
              <w:right w:w="80" w:type="dxa"/>
            </w:tcMar>
            <w:vAlign w:val="center"/>
          </w:tcPr>
          <w:p w14:paraId="30DC28FC" w14:textId="77777777" w:rsidR="00307435" w:rsidRDefault="00000000">
            <w:r>
              <w:rPr>
                <w:sz w:val="14"/>
              </w:rPr>
              <w:t>no</w:t>
            </w:r>
          </w:p>
        </w:tc>
      </w:tr>
      <w:tr w:rsidR="00307435" w14:paraId="52DDBC6F" w14:textId="77777777">
        <w:trPr>
          <w:jc w:val="center"/>
          <w:cantSplit/>
        </w:trPr>
        <w:tc>
          <w:tcPr>
            <w:tcW w:w="792" w:type="dxa"/>
            <w:shd w:val="clear" w:color="auto" w:fill="F3F7F8"/>
            <w:tcMar>
              <w:top w:w="80" w:type="dxa"/>
              <w:left w:w="80" w:type="dxa"/>
              <w:bottom w:w="80" w:type="dxa"/>
              <w:right w:w="80" w:type="dxa"/>
            </w:tcMar>
            <w:vAlign w:val="center"/>
          </w:tcPr>
          <w:p w14:paraId="3A61A47B" w14:textId="77777777" w:rsidR="00307435" w:rsidRDefault="00000000">
            <w:r>
              <w:rPr>
                <w:sz w:val="14"/>
              </w:rPr>
              <w:t>CBAA</w:t>
            </w:r>
          </w:p>
        </w:tc>
        <w:tc>
          <w:tcPr>
            <w:tcW w:w="792" w:type="dxa"/>
            <w:shd w:val="clear" w:color="auto" w:fill="F3F7F8"/>
            <w:tcMar>
              <w:top w:w="80" w:type="dxa"/>
              <w:left w:w="80" w:type="dxa"/>
              <w:bottom w:w="80" w:type="dxa"/>
              <w:right w:w="80" w:type="dxa"/>
            </w:tcMar>
            <w:vAlign w:val="center"/>
          </w:tcPr>
          <w:p w14:paraId="4EEFC5AB" w14:textId="77777777" w:rsidR="00307435" w:rsidRDefault="00000000">
            <w:r>
              <w:rPr>
                <w:sz w:val="14"/>
              </w:rPr>
              <w:t>High</w:t>
            </w:r>
          </w:p>
        </w:tc>
        <w:tc>
          <w:tcPr>
            <w:tcW w:w="504" w:type="dxa"/>
            <w:shd w:val="clear" w:color="auto" w:fill="F3F7F8"/>
            <w:tcMar>
              <w:top w:w="80" w:type="dxa"/>
              <w:left w:w="80" w:type="dxa"/>
              <w:bottom w:w="80" w:type="dxa"/>
              <w:right w:w="80" w:type="dxa"/>
            </w:tcMar>
            <w:vAlign w:val="center"/>
          </w:tcPr>
          <w:p w14:paraId="5F7F19CB" w14:textId="77777777" w:rsidR="00307435" w:rsidRDefault="00000000">
            <w:r>
              <w:rPr>
                <w:sz w:val="14"/>
              </w:rPr>
              <w:t>42</w:t>
            </w:r>
          </w:p>
        </w:tc>
        <w:tc>
          <w:tcPr>
            <w:tcW w:w="1440" w:type="dxa"/>
            <w:shd w:val="clear" w:color="auto" w:fill="F3F7F8"/>
            <w:tcMar>
              <w:top w:w="80" w:type="dxa"/>
              <w:left w:w="80" w:type="dxa"/>
              <w:bottom w:w="80" w:type="dxa"/>
              <w:right w:w="80" w:type="dxa"/>
            </w:tcMar>
            <w:vAlign w:val="center"/>
          </w:tcPr>
          <w:p w14:paraId="2A0D776F" w14:textId="77777777" w:rsidR="00307435" w:rsidRDefault="00000000">
            <w:r>
              <w:rPr>
                <w:sz w:val="14"/>
              </w:rPr>
              <w:t>+0.48</w:t>
            </w:r>
          </w:p>
        </w:tc>
        <w:tc>
          <w:tcPr>
            <w:tcW w:w="1656" w:type="dxa"/>
            <w:shd w:val="clear" w:color="auto" w:fill="F3F7F8"/>
            <w:tcMar>
              <w:top w:w="80" w:type="dxa"/>
              <w:left w:w="80" w:type="dxa"/>
              <w:bottom w:w="80" w:type="dxa"/>
              <w:right w:w="80" w:type="dxa"/>
            </w:tcMar>
            <w:vAlign w:val="center"/>
          </w:tcPr>
          <w:p w14:paraId="61ABAC5F" w14:textId="77777777" w:rsidR="00307435" w:rsidRDefault="00000000">
            <w:r>
              <w:rPr>
                <w:sz w:val="14"/>
              </w:rPr>
              <w:t>[-0.05, +3.09]</w:t>
            </w:r>
          </w:p>
        </w:tc>
        <w:tc>
          <w:tcPr>
            <w:tcW w:w="1080" w:type="dxa"/>
            <w:shd w:val="clear" w:color="auto" w:fill="F3F7F8"/>
            <w:tcMar>
              <w:top w:w="80" w:type="dxa"/>
              <w:left w:w="80" w:type="dxa"/>
              <w:bottom w:w="80" w:type="dxa"/>
              <w:right w:w="80" w:type="dxa"/>
            </w:tcMar>
            <w:vAlign w:val="center"/>
          </w:tcPr>
          <w:p w14:paraId="1200AA8E" w14:textId="77777777" w:rsidR="00307435" w:rsidRDefault="00000000">
            <w:r>
              <w:rPr>
                <w:sz w:val="14"/>
              </w:rPr>
              <w:t>+13.2</w:t>
            </w:r>
          </w:p>
        </w:tc>
        <w:tc>
          <w:tcPr>
            <w:tcW w:w="1080" w:type="dxa"/>
            <w:shd w:val="clear" w:color="auto" w:fill="F3F7F8"/>
            <w:tcMar>
              <w:top w:w="80" w:type="dxa"/>
              <w:left w:w="80" w:type="dxa"/>
              <w:bottom w:w="80" w:type="dxa"/>
              <w:right w:w="80" w:type="dxa"/>
            </w:tcMar>
            <w:vAlign w:val="center"/>
          </w:tcPr>
          <w:p w14:paraId="3E9BCE98" w14:textId="77777777" w:rsidR="00307435" w:rsidRDefault="00000000">
            <w:r>
              <w:rPr>
                <w:sz w:val="14"/>
              </w:rPr>
              <w:t>-0.5</w:t>
            </w:r>
          </w:p>
        </w:tc>
        <w:tc>
          <w:tcPr>
            <w:tcW w:w="936" w:type="dxa"/>
            <w:shd w:val="clear" w:color="auto" w:fill="F3F7F8"/>
            <w:tcMar>
              <w:top w:w="80" w:type="dxa"/>
              <w:left w:w="80" w:type="dxa"/>
              <w:bottom w:w="80" w:type="dxa"/>
              <w:right w:w="80" w:type="dxa"/>
            </w:tcMar>
            <w:vAlign w:val="center"/>
          </w:tcPr>
          <w:p w14:paraId="7A518238" w14:textId="77777777" w:rsidR="00307435" w:rsidRDefault="00000000">
            <w:r>
              <w:rPr>
                <w:sz w:val="14"/>
              </w:rPr>
              <w:t>0.1533</w:t>
            </w:r>
          </w:p>
        </w:tc>
        <w:tc>
          <w:tcPr>
            <w:tcW w:w="864" w:type="dxa"/>
            <w:shd w:val="clear" w:color="auto" w:fill="F3F7F8"/>
            <w:tcMar>
              <w:top w:w="80" w:type="dxa"/>
              <w:left w:w="80" w:type="dxa"/>
              <w:bottom w:w="80" w:type="dxa"/>
              <w:right w:w="80" w:type="dxa"/>
            </w:tcMar>
            <w:vAlign w:val="center"/>
          </w:tcPr>
          <w:p w14:paraId="23FD98DB" w14:textId="77777777" w:rsidR="00307435" w:rsidRDefault="00000000">
            <w:r>
              <w:rPr>
                <w:sz w:val="14"/>
              </w:rPr>
              <w:t>no</w:t>
            </w:r>
          </w:p>
        </w:tc>
      </w:tr>
      <w:tr w:rsidR="00307435" w14:paraId="38555093" w14:textId="77777777">
        <w:trPr>
          <w:jc w:val="center"/>
          <w:cantSplit/>
        </w:trPr>
        <w:tc>
          <w:tcPr>
            <w:tcW w:w="792" w:type="dxa"/>
            <w:tcMar>
              <w:top w:w="80" w:type="dxa"/>
              <w:left w:w="80" w:type="dxa"/>
              <w:bottom w:w="80" w:type="dxa"/>
              <w:right w:w="80" w:type="dxa"/>
            </w:tcMar>
            <w:vAlign w:val="center"/>
          </w:tcPr>
          <w:p w14:paraId="1F92D4FA" w14:textId="77777777" w:rsidR="00307435" w:rsidRDefault="00000000">
            <w:r>
              <w:rPr>
                <w:sz w:val="14"/>
              </w:rPr>
              <w:t>HIPC</w:t>
            </w:r>
          </w:p>
        </w:tc>
        <w:tc>
          <w:tcPr>
            <w:tcW w:w="792" w:type="dxa"/>
            <w:tcMar>
              <w:top w:w="80" w:type="dxa"/>
              <w:left w:w="80" w:type="dxa"/>
              <w:bottom w:w="80" w:type="dxa"/>
              <w:right w:w="80" w:type="dxa"/>
            </w:tcMar>
            <w:vAlign w:val="center"/>
          </w:tcPr>
          <w:p w14:paraId="5F014ED0" w14:textId="77777777" w:rsidR="00307435" w:rsidRDefault="00000000">
            <w:r>
              <w:rPr>
                <w:sz w:val="14"/>
              </w:rPr>
              <w:t>High</w:t>
            </w:r>
          </w:p>
        </w:tc>
        <w:tc>
          <w:tcPr>
            <w:tcW w:w="504" w:type="dxa"/>
            <w:tcMar>
              <w:top w:w="80" w:type="dxa"/>
              <w:left w:w="80" w:type="dxa"/>
              <w:bottom w:w="80" w:type="dxa"/>
              <w:right w:w="80" w:type="dxa"/>
            </w:tcMar>
            <w:vAlign w:val="center"/>
          </w:tcPr>
          <w:p w14:paraId="50397327" w14:textId="77777777" w:rsidR="00307435" w:rsidRDefault="00000000">
            <w:r>
              <w:rPr>
                <w:sz w:val="14"/>
              </w:rPr>
              <w:t>46</w:t>
            </w:r>
          </w:p>
        </w:tc>
        <w:tc>
          <w:tcPr>
            <w:tcW w:w="1440" w:type="dxa"/>
            <w:tcMar>
              <w:top w:w="80" w:type="dxa"/>
              <w:left w:w="80" w:type="dxa"/>
              <w:bottom w:w="80" w:type="dxa"/>
              <w:right w:w="80" w:type="dxa"/>
            </w:tcMar>
            <w:vAlign w:val="center"/>
          </w:tcPr>
          <w:p w14:paraId="47038718" w14:textId="77777777" w:rsidR="00307435" w:rsidRDefault="00000000">
            <w:r>
              <w:rPr>
                <w:sz w:val="14"/>
              </w:rPr>
              <w:t>+0.57</w:t>
            </w:r>
          </w:p>
        </w:tc>
        <w:tc>
          <w:tcPr>
            <w:tcW w:w="1656" w:type="dxa"/>
            <w:tcMar>
              <w:top w:w="80" w:type="dxa"/>
              <w:left w:w="80" w:type="dxa"/>
              <w:bottom w:w="80" w:type="dxa"/>
              <w:right w:w="80" w:type="dxa"/>
            </w:tcMar>
            <w:vAlign w:val="center"/>
          </w:tcPr>
          <w:p w14:paraId="6D627B15" w14:textId="77777777" w:rsidR="00307435" w:rsidRDefault="00000000">
            <w:r>
              <w:rPr>
                <w:sz w:val="14"/>
              </w:rPr>
              <w:t>[-0.54, +1.20]</w:t>
            </w:r>
          </w:p>
        </w:tc>
        <w:tc>
          <w:tcPr>
            <w:tcW w:w="1080" w:type="dxa"/>
            <w:tcMar>
              <w:top w:w="80" w:type="dxa"/>
              <w:left w:w="80" w:type="dxa"/>
              <w:bottom w:w="80" w:type="dxa"/>
              <w:right w:w="80" w:type="dxa"/>
            </w:tcMar>
            <w:vAlign w:val="center"/>
          </w:tcPr>
          <w:p w14:paraId="7618CCE3" w14:textId="77777777" w:rsidR="00307435" w:rsidRDefault="00000000">
            <w:r>
              <w:rPr>
                <w:sz w:val="14"/>
              </w:rPr>
              <w:t>+41.3</w:t>
            </w:r>
          </w:p>
        </w:tc>
        <w:tc>
          <w:tcPr>
            <w:tcW w:w="1080" w:type="dxa"/>
            <w:tcMar>
              <w:top w:w="80" w:type="dxa"/>
              <w:left w:w="80" w:type="dxa"/>
              <w:bottom w:w="80" w:type="dxa"/>
              <w:right w:w="80" w:type="dxa"/>
            </w:tcMar>
            <w:vAlign w:val="center"/>
          </w:tcPr>
          <w:p w14:paraId="30790ED6" w14:textId="77777777" w:rsidR="00307435" w:rsidRDefault="00000000">
            <w:r>
              <w:rPr>
                <w:sz w:val="14"/>
              </w:rPr>
              <w:t>+26.9</w:t>
            </w:r>
          </w:p>
        </w:tc>
        <w:tc>
          <w:tcPr>
            <w:tcW w:w="936" w:type="dxa"/>
            <w:tcMar>
              <w:top w:w="80" w:type="dxa"/>
              <w:left w:w="80" w:type="dxa"/>
              <w:bottom w:w="80" w:type="dxa"/>
              <w:right w:w="80" w:type="dxa"/>
            </w:tcMar>
            <w:vAlign w:val="center"/>
          </w:tcPr>
          <w:p w14:paraId="2F3AF0A6" w14:textId="77777777" w:rsidR="00307435" w:rsidRDefault="00000000">
            <w:r>
              <w:rPr>
                <w:sz w:val="14"/>
              </w:rPr>
              <w:t>0.7953</w:t>
            </w:r>
          </w:p>
        </w:tc>
        <w:tc>
          <w:tcPr>
            <w:tcW w:w="864" w:type="dxa"/>
            <w:tcMar>
              <w:top w:w="80" w:type="dxa"/>
              <w:left w:w="80" w:type="dxa"/>
              <w:bottom w:w="80" w:type="dxa"/>
              <w:right w:w="80" w:type="dxa"/>
            </w:tcMar>
            <w:vAlign w:val="center"/>
          </w:tcPr>
          <w:p w14:paraId="032EE008" w14:textId="77777777" w:rsidR="00307435" w:rsidRDefault="00000000">
            <w:r>
              <w:rPr>
                <w:sz w:val="14"/>
              </w:rPr>
              <w:t>no</w:t>
            </w:r>
          </w:p>
        </w:tc>
      </w:tr>
      <w:tr w:rsidR="00307435" w14:paraId="4B5DFB81" w14:textId="77777777">
        <w:trPr>
          <w:jc w:val="center"/>
          <w:cantSplit/>
        </w:trPr>
        <w:tc>
          <w:tcPr>
            <w:tcW w:w="792" w:type="dxa"/>
            <w:shd w:val="clear" w:color="auto" w:fill="F3F7F8"/>
            <w:tcMar>
              <w:top w:w="80" w:type="dxa"/>
              <w:left w:w="80" w:type="dxa"/>
              <w:bottom w:w="80" w:type="dxa"/>
              <w:right w:w="80" w:type="dxa"/>
            </w:tcMar>
            <w:vAlign w:val="center"/>
          </w:tcPr>
          <w:p w14:paraId="3C00DDB0" w14:textId="77777777" w:rsidR="00307435" w:rsidRDefault="00000000">
            <w:r>
              <w:rPr>
                <w:sz w:val="14"/>
              </w:rPr>
              <w:t>PI</w:t>
            </w:r>
          </w:p>
        </w:tc>
        <w:tc>
          <w:tcPr>
            <w:tcW w:w="792" w:type="dxa"/>
            <w:shd w:val="clear" w:color="auto" w:fill="F3F7F8"/>
            <w:tcMar>
              <w:top w:w="80" w:type="dxa"/>
              <w:left w:w="80" w:type="dxa"/>
              <w:bottom w:w="80" w:type="dxa"/>
              <w:right w:w="80" w:type="dxa"/>
            </w:tcMar>
            <w:vAlign w:val="center"/>
          </w:tcPr>
          <w:p w14:paraId="084581F5" w14:textId="77777777" w:rsidR="00307435" w:rsidRDefault="00000000">
            <w:r>
              <w:rPr>
                <w:sz w:val="14"/>
              </w:rPr>
              <w:t>High</w:t>
            </w:r>
          </w:p>
        </w:tc>
        <w:tc>
          <w:tcPr>
            <w:tcW w:w="504" w:type="dxa"/>
            <w:shd w:val="clear" w:color="auto" w:fill="F3F7F8"/>
            <w:tcMar>
              <w:top w:w="80" w:type="dxa"/>
              <w:left w:w="80" w:type="dxa"/>
              <w:bottom w:w="80" w:type="dxa"/>
              <w:right w:w="80" w:type="dxa"/>
            </w:tcMar>
            <w:vAlign w:val="center"/>
          </w:tcPr>
          <w:p w14:paraId="6D973F63" w14:textId="77777777" w:rsidR="00307435" w:rsidRDefault="00000000">
            <w:r>
              <w:rPr>
                <w:sz w:val="14"/>
              </w:rPr>
              <w:t>46</w:t>
            </w:r>
          </w:p>
        </w:tc>
        <w:tc>
          <w:tcPr>
            <w:tcW w:w="1440" w:type="dxa"/>
            <w:shd w:val="clear" w:color="auto" w:fill="F3F7F8"/>
            <w:tcMar>
              <w:top w:w="80" w:type="dxa"/>
              <w:left w:w="80" w:type="dxa"/>
              <w:bottom w:w="80" w:type="dxa"/>
              <w:right w:w="80" w:type="dxa"/>
            </w:tcMar>
            <w:vAlign w:val="center"/>
          </w:tcPr>
          <w:p w14:paraId="5E679952" w14:textId="77777777" w:rsidR="00307435" w:rsidRDefault="00000000">
            <w:r>
              <w:rPr>
                <w:sz w:val="14"/>
              </w:rPr>
              <w:t>+0.92</w:t>
            </w:r>
          </w:p>
        </w:tc>
        <w:tc>
          <w:tcPr>
            <w:tcW w:w="1656" w:type="dxa"/>
            <w:shd w:val="clear" w:color="auto" w:fill="F3F7F8"/>
            <w:tcMar>
              <w:top w:w="80" w:type="dxa"/>
              <w:left w:w="80" w:type="dxa"/>
              <w:bottom w:w="80" w:type="dxa"/>
              <w:right w:w="80" w:type="dxa"/>
            </w:tcMar>
            <w:vAlign w:val="center"/>
          </w:tcPr>
          <w:p w14:paraId="4771CF68" w14:textId="77777777" w:rsidR="00307435" w:rsidRDefault="00000000">
            <w:r>
              <w:rPr>
                <w:sz w:val="14"/>
              </w:rPr>
              <w:t>[-1.65, +3.33]</w:t>
            </w:r>
          </w:p>
        </w:tc>
        <w:tc>
          <w:tcPr>
            <w:tcW w:w="1080" w:type="dxa"/>
            <w:shd w:val="clear" w:color="auto" w:fill="F3F7F8"/>
            <w:tcMar>
              <w:top w:w="80" w:type="dxa"/>
              <w:left w:w="80" w:type="dxa"/>
              <w:bottom w:w="80" w:type="dxa"/>
              <w:right w:w="80" w:type="dxa"/>
            </w:tcMar>
            <w:vAlign w:val="center"/>
          </w:tcPr>
          <w:p w14:paraId="742EA2D8" w14:textId="77777777" w:rsidR="00307435" w:rsidRDefault="00000000">
            <w:r>
              <w:rPr>
                <w:sz w:val="14"/>
              </w:rPr>
              <w:t>+28.5</w:t>
            </w:r>
          </w:p>
        </w:tc>
        <w:tc>
          <w:tcPr>
            <w:tcW w:w="1080" w:type="dxa"/>
            <w:shd w:val="clear" w:color="auto" w:fill="F3F7F8"/>
            <w:tcMar>
              <w:top w:w="80" w:type="dxa"/>
              <w:left w:w="80" w:type="dxa"/>
              <w:bottom w:w="80" w:type="dxa"/>
              <w:right w:w="80" w:type="dxa"/>
            </w:tcMar>
            <w:vAlign w:val="center"/>
          </w:tcPr>
          <w:p w14:paraId="3C2A1F0C" w14:textId="77777777" w:rsidR="00307435" w:rsidRDefault="00000000">
            <w:r>
              <w:rPr>
                <w:sz w:val="14"/>
              </w:rPr>
              <w:t>+30.4</w:t>
            </w:r>
          </w:p>
        </w:tc>
        <w:tc>
          <w:tcPr>
            <w:tcW w:w="936" w:type="dxa"/>
            <w:shd w:val="clear" w:color="auto" w:fill="F3F7F8"/>
            <w:tcMar>
              <w:top w:w="80" w:type="dxa"/>
              <w:left w:w="80" w:type="dxa"/>
              <w:bottom w:w="80" w:type="dxa"/>
              <w:right w:w="80" w:type="dxa"/>
            </w:tcMar>
            <w:vAlign w:val="center"/>
          </w:tcPr>
          <w:p w14:paraId="36F5DC76" w14:textId="77777777" w:rsidR="00307435" w:rsidRDefault="00000000">
            <w:r>
              <w:rPr>
                <w:sz w:val="14"/>
              </w:rPr>
              <w:t>0.9178</w:t>
            </w:r>
          </w:p>
        </w:tc>
        <w:tc>
          <w:tcPr>
            <w:tcW w:w="864" w:type="dxa"/>
            <w:shd w:val="clear" w:color="auto" w:fill="F3F7F8"/>
            <w:tcMar>
              <w:top w:w="80" w:type="dxa"/>
              <w:left w:w="80" w:type="dxa"/>
              <w:bottom w:w="80" w:type="dxa"/>
              <w:right w:w="80" w:type="dxa"/>
            </w:tcMar>
            <w:vAlign w:val="center"/>
          </w:tcPr>
          <w:p w14:paraId="11177130" w14:textId="77777777" w:rsidR="00307435" w:rsidRDefault="00000000">
            <w:r>
              <w:rPr>
                <w:sz w:val="14"/>
              </w:rPr>
              <w:t>no</w:t>
            </w:r>
          </w:p>
        </w:tc>
      </w:tr>
    </w:tbl>
    <w:p w14:paraId="6F865F20" w14:textId="77777777" w:rsidR="00307435" w:rsidRDefault="00307435">
      <w:pPr>
        <w:spacing w:after="0"/>
      </w:pPr>
    </w:p>
    <w:p>
      <w:pPr>
        <w:pStyle w:val="Heading2"/>
        <w:keepNext/>
      </w:pPr>
      <w:r>
        <w:t>6.2 Sparse arrivals: waiting dominates</w:t>
      </w:r>
    </w:p>
    <w:p w14:paraId="3607DF33" w14:textId="77777777" w:rsidR="00307435" w:rsidRDefault="00000000">
      <w:r>
        <w:t>At low load, all four allocators show a 3.04-3.61 s paired median service penalty, and all four preplanned contrasts are Holm-significant. AGX work also increases rather than decreases: B=4 changes work by -14.0% for ACBBA, -14.2% for CBAA, -7.1% for HIPC, and -7.3% for PI. The policy waits for tasks that arrive roughly 13.3 s apart on average, yet the admitted batch is not large enough or frequent enough to offset its added coordination work.</w:t>
      </w:r>
    </w:p>
    <w:p>
      <w:pPr>
        <w:pStyle w:val="Heading2"/>
        <w:keepNext/>
      </w:pPr>
      <w:r>
        <w:t>6.3 Medium load: the transition regime</w:t>
      </w:r>
    </w:p>
    <w:p w14:paraId="1970A08E" w14:textId="77777777" w:rsidR="00307435" w:rsidRDefault="00000000">
      <w:r>
        <w:t>At medium load, median service penalties fall to 0.48-1.67 s while AGX work savings rise to 16.3-25.2%. ACBBA, CBAA, and HIPC retain detected median penalties; PI does not after Holm adjustment. This is the region in which an application-specific latency budget matters most.</w:t>
      </w:r>
    </w:p>
    <w:p>
      <w:pPr>
        <w:pStyle w:val="Heading2"/>
        <w:keepNext/>
      </w:pPr>
      <w:r>
        <w:t>6.4 High load: saved work with no detected median difference</w:t>
      </w:r>
    </w:p>
    <w:p w14:paraId="03C38922" w14:textId="77777777" w:rsidR="00307435" w:rsidRDefault="00000000">
      <w:r>
        <w:t>At high load, B=4 saves 13.2-41.3% of provider-matched AGX work. Median service effects remain slightly positive (0.48-0.93 s), but none is detected after the planned procedure. The correct wording is “no detected median difference within the reported uncertainty,” not “equivalent” and not “faster.”</w:t>
      </w:r>
    </w:p>
    <w:p>
      <w:pPr>
        <w:pStyle w:val="Heading2"/>
        <w:keepNext/>
      </w:pPr>
      <w:r>
        <w:t>6.5 Direct evidence that the policy effect changes with load</w:t>
      </w:r>
    </w:p>
    <w:p w14:paraId="1A2960F1" w14:textId="77777777" w:rsidR="00307435" w:rsidRDefault="00000000">
      <w:r>
        <w:t>After first averaging the four allocator effects within each common trace, the high-minus-low change in the B=4 service effect is -2.454 s. The repeated-load Friedman test gives chi-square=12.06 and p=0.0024; low-to-medium is -1.619 s (Holm p=0.0022), while medium-to-high is -0.470 s (Holm p=0.2069). This supports a crossover trend without claiming every adjacent load step is distinguishable.</w:t>
      </w:r>
    </w:p>
    <w:p>
      <w:pPr>
        <w:pStyle w:val="Heading1"/>
        <w:keepNext/>
        <w:spacing w:before="240" w:after="100"/>
      </w:pPr>
      <w:r>
        <w:t>7. Core result II - the RP2040 hardware crossover</w:t>
      </w:r>
    </w:p>
    <w:p w14:paraId="75C0F672" w14:textId="77777777" w:rsidR="00307435" w:rsidRDefault="00000000">
      <w:pPr>
        <w:jc w:val="center"/>
      </w:pPr>
      <w:r>
        <w:rPr>
          <w:noProof/>
        </w:rPr>
        <w:drawing>
          <wp:inline distT="0" distB="0" distL="0" distR="0" wp14:anchorId="76D14CAB" wp14:editId="56772911">
            <wp:extent cx="6080760" cy="3846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p2040_trace_crossover.png"/>
                    <pic:cNvPicPr/>
                  </pic:nvPicPr>
                  <pic:blipFill>
                    <a:blip r:embed="rId11"/>
                    <a:stretch>
                      <a:fillRect/>
                    </a:stretch>
                  </pic:blipFill>
                  <pic:spPr>
                    <a:xfrm>
                      <a:off x="0" y="0"/>
                      <a:ext cx="6080760" cy="3846075"/>
                    </a:xfrm>
                    <a:prstGeom prst="rect">
                      <a:avLst/>
                    </a:prstGeom>
                  </pic:spPr>
                </pic:pic>
              </a:graphicData>
            </a:graphic>
          </wp:inline>
        </w:drawing>
      </w:r>
    </w:p>
    <w:p w14:paraId="06BB79C4" w14:textId="77777777" w:rsidR="00307435" w:rsidRDefault="00000000">
      <w:pPr>
        <w:spacing w:after="20"/>
        <w:jc w:val="center"/>
      </w:pPr>
      <w:r>
        <w:rPr>
          <w:b/>
          <w:sz w:val="17"/>
        </w:rPr>
        <w:t>Figure 4. Recommended intuitive second figure. Each line is one independent matched hardware trace after averaging the four allocator effects within that trace.</w:t>
      </w:r>
    </w:p>
    <w:p w14:paraId="613AFB8A" w14:textId="77777777" w:rsidR="00307435" w:rsidRDefault="00000000">
      <w:pPr>
        <w:spacing w:after="100"/>
        <w:jc w:val="center"/>
      </w:pPr>
      <w:r>
        <w:rPr>
          <w:i/>
          <w:color w:val="5A6670"/>
          <w:sz w:val="15"/>
        </w:rPr>
        <w:t>Source: hardware_b4_online_service_latency.csv; exact RP2040 B=4 vs Eager pairs.</w:t>
      </w:r>
    </w:p>
    <w:p>
      <w:pPr>
        <w:pStyle w:val="Heading2"/>
        <w:keepNext/>
      </w:pPr>
      <w:r>
        <w:t>7.1 The visually clear result</w:t>
      </w:r>
    </w:p>
    <w:p w14:paraId="1A1C0835" w14:textId="77777777" w:rsidR="00307435" w:rsidRDefault="00000000">
      <w:r>
        <w:t>All four trace-averaged values are positive at low load (+3.10 to +3.91 s), remain positive at medium load (+0.93 to +3.20 s), and become strongly negative at high load (-29.63 to -24.34 s). The direction is therefore consistent across the four unique hardware traces: sparse-arrival batching delays service, whereas dense-arrival batching can make the team service new tasks sooner on a constrained processor.</w:t>
      </w:r>
    </w:p>
    <w:p w14:paraId="40739127" w14:textId="77777777" w:rsidR="00307435" w:rsidRDefault="00000000">
      <w:pPr>
        <w:jc w:val="center"/>
      </w:pPr>
      <w:r>
        <w:rPr>
          <w:noProof/>
        </w:rPr>
        <w:lastRenderedPageBreak/>
        <w:drawing>
          <wp:inline distT="0" distB="0" distL="0" distR="0" wp14:anchorId="346F4F36" wp14:editId="2D3EA2E2">
            <wp:extent cx="5897880" cy="3874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p2040_high_algorithm_effects.png"/>
                    <pic:cNvPicPr/>
                  </pic:nvPicPr>
                  <pic:blipFill>
                    <a:blip r:embed="rId12"/>
                    <a:stretch>
                      <a:fillRect/>
                    </a:stretch>
                  </pic:blipFill>
                  <pic:spPr>
                    <a:xfrm>
                      <a:off x="0" y="0"/>
                      <a:ext cx="5897880" cy="3874075"/>
                    </a:xfrm>
                    <a:prstGeom prst="rect">
                      <a:avLst/>
                    </a:prstGeom>
                  </pic:spPr>
                </pic:pic>
              </a:graphicData>
            </a:graphic>
          </wp:inline>
        </w:drawing>
      </w:r>
    </w:p>
    <w:p w14:paraId="2C944BFA" w14:textId="77777777" w:rsidR="00307435" w:rsidRDefault="00000000">
      <w:pPr>
        <w:spacing w:after="20"/>
        <w:jc w:val="center"/>
      </w:pPr>
      <w:r>
        <w:rPr>
          <w:b/>
          <w:sz w:val="17"/>
        </w:rPr>
        <w:t>Figure 5. Descriptive high-load hardware effects by allocator. Dots are the four matched traces and horizontal bars are medians; the symmetric-log scale preserves the much larger HIPC effect.</w:t>
      </w:r>
    </w:p>
    <w:p w14:paraId="5033823F" w14:textId="77777777" w:rsidR="00307435" w:rsidRDefault="00000000">
      <w:pPr>
        <w:spacing w:after="100"/>
        <w:jc w:val="center"/>
      </w:pPr>
      <w:r>
        <w:rPr>
          <w:i/>
          <w:color w:val="5A6670"/>
          <w:sz w:val="15"/>
        </w:rPr>
        <w:t>Source: hardware_b4_online_service_latency.csv; no hardware hypothesis tests.</w:t>
      </w:r>
    </w:p>
    <w:tbl>
      <w:tblPr>
        <w:tblStyle w:val="TableGrid"/>
        <w:tblW w:w="0" w:type="auto"/>
        <w:jc w:val="center"/>
        <w:tblLook w:val="04A0" w:firstRow="1" w:lastRow="0" w:firstColumn="1" w:lastColumn="0" w:noHBand="0" w:noVBand="1"/>
      </w:tblPr>
      <w:tblGrid>
        <w:gridCol w:w="792"/>
        <w:gridCol w:w="1152"/>
        <w:gridCol w:w="1152"/>
        <w:gridCol w:w="1008"/>
        <w:gridCol w:w="1008"/>
        <w:gridCol w:w="1152"/>
        <w:gridCol w:w="936"/>
        <w:gridCol w:w="2952"/>
      </w:tblGrid>
      <w:tr w:rsidR="00307435" w14:paraId="6DEAD918" w14:textId="77777777">
        <w:trPr>
          <w:tblHeader/>
          <w:jc w:val="center"/>
          <w:cantSplit/>
        </w:trPr>
        <w:tc>
          <w:tcPr>
            <w:tcW w:w="792" w:type="dxa"/>
            <w:shd w:val="clear" w:color="auto" w:fill="183A5A"/>
            <w:tcMar>
              <w:top w:w="80" w:type="dxa"/>
              <w:left w:w="80" w:type="dxa"/>
              <w:bottom w:w="80" w:type="dxa"/>
              <w:right w:w="80" w:type="dxa"/>
            </w:tcMar>
            <w:vAlign w:val="center"/>
          </w:tcPr>
          <w:p w14:paraId="63188F37" w14:textId="77777777" w:rsidR="00307435" w:rsidRDefault="00000000">
            <w:pPr>
              <w:jc w:val="center"/>
            </w:pPr>
            <w:r>
              <w:rPr>
                <w:b/>
                <w:color w:val="FFFFFF"/>
                <w:sz w:val="14"/>
              </w:rPr>
              <w:t>Alg.</w:t>
            </w:r>
          </w:p>
        </w:tc>
        <w:tc>
          <w:tcPr>
            <w:tcW w:w="1152" w:type="dxa"/>
            <w:shd w:val="clear" w:color="auto" w:fill="183A5A"/>
            <w:tcMar>
              <w:top w:w="80" w:type="dxa"/>
              <w:left w:w="80" w:type="dxa"/>
              <w:bottom w:w="80" w:type="dxa"/>
              <w:right w:w="80" w:type="dxa"/>
            </w:tcMar>
            <w:vAlign w:val="center"/>
          </w:tcPr>
          <w:p w14:paraId="403B1323" w14:textId="77777777" w:rsidR="00307435" w:rsidRDefault="00000000">
            <w:pPr>
              <w:jc w:val="center"/>
            </w:pPr>
            <w:r>
              <w:rPr>
                <w:b/>
                <w:color w:val="FFFFFF"/>
                <w:sz w:val="14"/>
              </w:rPr>
              <w:t>Median service Delta</w:t>
            </w:r>
          </w:p>
        </w:tc>
        <w:tc>
          <w:tcPr>
            <w:tcW w:w="1152" w:type="dxa"/>
            <w:shd w:val="clear" w:color="auto" w:fill="183A5A"/>
            <w:tcMar>
              <w:top w:w="80" w:type="dxa"/>
              <w:left w:w="80" w:type="dxa"/>
              <w:bottom w:w="80" w:type="dxa"/>
              <w:right w:w="80" w:type="dxa"/>
            </w:tcMar>
            <w:vAlign w:val="center"/>
          </w:tcPr>
          <w:p w14:paraId="3559FD9B" w14:textId="77777777" w:rsidR="00307435" w:rsidRDefault="00000000">
            <w:pPr>
              <w:jc w:val="center"/>
            </w:pPr>
            <w:r>
              <w:rPr>
                <w:b/>
                <w:color w:val="FFFFFF"/>
                <w:sz w:val="14"/>
              </w:rPr>
              <w:t>Median Q95 Delta</w:t>
            </w:r>
          </w:p>
        </w:tc>
        <w:tc>
          <w:tcPr>
            <w:tcW w:w="1008" w:type="dxa"/>
            <w:shd w:val="clear" w:color="auto" w:fill="183A5A"/>
            <w:tcMar>
              <w:top w:w="80" w:type="dxa"/>
              <w:left w:w="80" w:type="dxa"/>
              <w:bottom w:w="80" w:type="dxa"/>
              <w:right w:w="80" w:type="dxa"/>
            </w:tcMar>
            <w:vAlign w:val="center"/>
          </w:tcPr>
          <w:p w14:paraId="5862FF9E" w14:textId="77777777" w:rsidR="00307435" w:rsidRDefault="00000000">
            <w:pPr>
              <w:jc w:val="center"/>
            </w:pPr>
            <w:r>
              <w:rPr>
                <w:b/>
                <w:color w:val="FFFFFF"/>
                <w:sz w:val="14"/>
              </w:rPr>
              <w:t>Work saved</w:t>
            </w:r>
          </w:p>
        </w:tc>
        <w:tc>
          <w:tcPr>
            <w:tcW w:w="1008" w:type="dxa"/>
            <w:shd w:val="clear" w:color="auto" w:fill="183A5A"/>
            <w:tcMar>
              <w:top w:w="80" w:type="dxa"/>
              <w:left w:w="80" w:type="dxa"/>
              <w:bottom w:w="80" w:type="dxa"/>
              <w:right w:w="80" w:type="dxa"/>
            </w:tcMar>
            <w:vAlign w:val="center"/>
          </w:tcPr>
          <w:p w14:paraId="68F54835" w14:textId="77777777" w:rsidR="00307435" w:rsidRDefault="00000000">
            <w:pPr>
              <w:jc w:val="center"/>
            </w:pPr>
            <w:r>
              <w:rPr>
                <w:b/>
                <w:color w:val="FFFFFF"/>
                <w:sz w:val="14"/>
              </w:rPr>
              <w:t>Calls saved</w:t>
            </w:r>
          </w:p>
        </w:tc>
        <w:tc>
          <w:tcPr>
            <w:tcW w:w="1152" w:type="dxa"/>
            <w:shd w:val="clear" w:color="auto" w:fill="183A5A"/>
            <w:tcMar>
              <w:top w:w="80" w:type="dxa"/>
              <w:left w:w="80" w:type="dxa"/>
              <w:bottom w:w="80" w:type="dxa"/>
              <w:right w:w="80" w:type="dxa"/>
            </w:tcMar>
            <w:vAlign w:val="center"/>
          </w:tcPr>
          <w:p w14:paraId="24E0041B" w14:textId="77777777" w:rsidR="00307435" w:rsidRDefault="00000000">
            <w:pPr>
              <w:jc w:val="center"/>
            </w:pPr>
            <w:r>
              <w:rPr>
                <w:b/>
                <w:color w:val="FFFFFF"/>
                <w:sz w:val="14"/>
              </w:rPr>
              <w:t>Mean mission Delta</w:t>
            </w:r>
          </w:p>
        </w:tc>
        <w:tc>
          <w:tcPr>
            <w:tcW w:w="936" w:type="dxa"/>
            <w:shd w:val="clear" w:color="auto" w:fill="183A5A"/>
            <w:tcMar>
              <w:top w:w="80" w:type="dxa"/>
              <w:left w:w="80" w:type="dxa"/>
              <w:bottom w:w="80" w:type="dxa"/>
              <w:right w:w="80" w:type="dxa"/>
            </w:tcMar>
            <w:vAlign w:val="center"/>
          </w:tcPr>
          <w:p w14:paraId="410A3409" w14:textId="77777777" w:rsidR="00307435" w:rsidRDefault="00000000">
            <w:pPr>
              <w:jc w:val="center"/>
            </w:pPr>
            <w:r>
              <w:rPr>
                <w:b/>
                <w:color w:val="FFFFFF"/>
                <w:sz w:val="14"/>
              </w:rPr>
              <w:t>Signs</w:t>
            </w:r>
          </w:p>
        </w:tc>
        <w:tc>
          <w:tcPr>
            <w:tcW w:w="2952" w:type="dxa"/>
            <w:shd w:val="clear" w:color="auto" w:fill="183A5A"/>
            <w:tcMar>
              <w:top w:w="80" w:type="dxa"/>
              <w:left w:w="80" w:type="dxa"/>
              <w:bottom w:w="80" w:type="dxa"/>
              <w:right w:w="80" w:type="dxa"/>
            </w:tcMar>
            <w:vAlign w:val="center"/>
          </w:tcPr>
          <w:p w14:paraId="3F7B07E6" w14:textId="77777777" w:rsidR="00307435" w:rsidRDefault="00000000">
            <w:pPr>
              <w:jc w:val="center"/>
            </w:pPr>
            <w:r>
              <w:rPr>
                <w:b/>
                <w:color w:val="FFFFFF"/>
                <w:sz w:val="14"/>
              </w:rPr>
              <w:t>Interpretation</w:t>
            </w:r>
          </w:p>
        </w:tc>
      </w:tr>
      <w:tr w:rsidR="00307435" w14:paraId="0AE3A4BD" w14:textId="77777777">
        <w:trPr>
          <w:jc w:val="center"/>
          <w:cantSplit/>
        </w:trPr>
        <w:tc>
          <w:tcPr>
            <w:tcW w:w="792" w:type="dxa"/>
            <w:tcMar>
              <w:top w:w="80" w:type="dxa"/>
              <w:left w:w="80" w:type="dxa"/>
              <w:bottom w:w="80" w:type="dxa"/>
              <w:right w:w="80" w:type="dxa"/>
            </w:tcMar>
            <w:vAlign w:val="center"/>
          </w:tcPr>
          <w:p w14:paraId="6597660D" w14:textId="77777777" w:rsidR="00307435" w:rsidRDefault="00000000">
            <w:r>
              <w:rPr>
                <w:sz w:val="14"/>
              </w:rPr>
              <w:t>ACBBA</w:t>
            </w:r>
          </w:p>
        </w:tc>
        <w:tc>
          <w:tcPr>
            <w:tcW w:w="1152" w:type="dxa"/>
            <w:tcMar>
              <w:top w:w="80" w:type="dxa"/>
              <w:left w:w="80" w:type="dxa"/>
              <w:bottom w:w="80" w:type="dxa"/>
              <w:right w:w="80" w:type="dxa"/>
            </w:tcMar>
            <w:vAlign w:val="center"/>
          </w:tcPr>
          <w:p w14:paraId="7C32F622" w14:textId="77777777" w:rsidR="00307435" w:rsidRDefault="00000000">
            <w:r>
              <w:rPr>
                <w:sz w:val="14"/>
              </w:rPr>
              <w:t>-3.78</w:t>
            </w:r>
          </w:p>
        </w:tc>
        <w:tc>
          <w:tcPr>
            <w:tcW w:w="1152" w:type="dxa"/>
            <w:tcMar>
              <w:top w:w="80" w:type="dxa"/>
              <w:left w:w="80" w:type="dxa"/>
              <w:bottom w:w="80" w:type="dxa"/>
              <w:right w:w="80" w:type="dxa"/>
            </w:tcMar>
            <w:vAlign w:val="center"/>
          </w:tcPr>
          <w:p w14:paraId="4A196864" w14:textId="77777777" w:rsidR="00307435" w:rsidRDefault="00000000">
            <w:r>
              <w:rPr>
                <w:sz w:val="14"/>
              </w:rPr>
              <w:t>+12.53</w:t>
            </w:r>
          </w:p>
        </w:tc>
        <w:tc>
          <w:tcPr>
            <w:tcW w:w="1008" w:type="dxa"/>
            <w:tcMar>
              <w:top w:w="80" w:type="dxa"/>
              <w:left w:w="80" w:type="dxa"/>
              <w:bottom w:w="80" w:type="dxa"/>
              <w:right w:w="80" w:type="dxa"/>
            </w:tcMar>
            <w:vAlign w:val="center"/>
          </w:tcPr>
          <w:p w14:paraId="4BC6AFDA" w14:textId="77777777" w:rsidR="00307435" w:rsidRDefault="00000000">
            <w:r>
              <w:rPr>
                <w:sz w:val="14"/>
              </w:rPr>
              <w:t>+28.0</w:t>
            </w:r>
          </w:p>
        </w:tc>
        <w:tc>
          <w:tcPr>
            <w:tcW w:w="1008" w:type="dxa"/>
            <w:tcMar>
              <w:top w:w="80" w:type="dxa"/>
              <w:left w:w="80" w:type="dxa"/>
              <w:bottom w:w="80" w:type="dxa"/>
              <w:right w:w="80" w:type="dxa"/>
            </w:tcMar>
            <w:vAlign w:val="center"/>
          </w:tcPr>
          <w:p w14:paraId="20550AC6" w14:textId="77777777" w:rsidR="00307435" w:rsidRDefault="00000000">
            <w:r>
              <w:rPr>
                <w:sz w:val="14"/>
              </w:rPr>
              <w:t>-1.8</w:t>
            </w:r>
          </w:p>
        </w:tc>
        <w:tc>
          <w:tcPr>
            <w:tcW w:w="1152" w:type="dxa"/>
            <w:tcMar>
              <w:top w:w="80" w:type="dxa"/>
              <w:left w:w="80" w:type="dxa"/>
              <w:bottom w:w="80" w:type="dxa"/>
              <w:right w:w="80" w:type="dxa"/>
            </w:tcMar>
            <w:vAlign w:val="center"/>
          </w:tcPr>
          <w:p w14:paraId="798B19D4" w14:textId="77777777" w:rsidR="00307435" w:rsidRDefault="00000000">
            <w:r>
              <w:rPr>
                <w:sz w:val="14"/>
              </w:rPr>
              <w:t>+22.3</w:t>
            </w:r>
          </w:p>
        </w:tc>
        <w:tc>
          <w:tcPr>
            <w:tcW w:w="936" w:type="dxa"/>
            <w:tcMar>
              <w:top w:w="80" w:type="dxa"/>
              <w:left w:w="80" w:type="dxa"/>
              <w:bottom w:w="80" w:type="dxa"/>
              <w:right w:w="80" w:type="dxa"/>
            </w:tcMar>
            <w:vAlign w:val="center"/>
          </w:tcPr>
          <w:p w14:paraId="686ADA4A" w14:textId="77777777" w:rsidR="00307435" w:rsidRDefault="00000000">
            <w:r>
              <w:rPr>
                <w:sz w:val="14"/>
              </w:rPr>
              <w:t>3/4 faster</w:t>
            </w:r>
          </w:p>
        </w:tc>
        <w:tc>
          <w:tcPr>
            <w:tcW w:w="2952" w:type="dxa"/>
            <w:tcMar>
              <w:top w:w="80" w:type="dxa"/>
              <w:left w:w="80" w:type="dxa"/>
              <w:bottom w:w="80" w:type="dxa"/>
              <w:right w:w="80" w:type="dxa"/>
            </w:tcMar>
            <w:vAlign w:val="center"/>
          </w:tcPr>
          <w:p w14:paraId="664547E2" w14:textId="77777777" w:rsidR="00307435" w:rsidRDefault="00000000">
            <w:r>
              <w:rPr>
                <w:sz w:val="14"/>
              </w:rPr>
              <w:t>Median improves, Q95 and mission time worsen; route changes matter.</w:t>
            </w:r>
          </w:p>
        </w:tc>
      </w:tr>
      <w:tr w:rsidR="00307435" w14:paraId="3F4B76A2" w14:textId="77777777">
        <w:trPr>
          <w:jc w:val="center"/>
          <w:cantSplit/>
        </w:trPr>
        <w:tc>
          <w:tcPr>
            <w:tcW w:w="792" w:type="dxa"/>
            <w:shd w:val="clear" w:color="auto" w:fill="F3F7F8"/>
            <w:tcMar>
              <w:top w:w="80" w:type="dxa"/>
              <w:left w:w="80" w:type="dxa"/>
              <w:bottom w:w="80" w:type="dxa"/>
              <w:right w:w="80" w:type="dxa"/>
            </w:tcMar>
            <w:vAlign w:val="center"/>
          </w:tcPr>
          <w:p w14:paraId="5A338EE5" w14:textId="77777777" w:rsidR="00307435" w:rsidRDefault="00000000">
            <w:r>
              <w:rPr>
                <w:sz w:val="14"/>
              </w:rPr>
              <w:t>CBAA</w:t>
            </w:r>
          </w:p>
        </w:tc>
        <w:tc>
          <w:tcPr>
            <w:tcW w:w="1152" w:type="dxa"/>
            <w:shd w:val="clear" w:color="auto" w:fill="F3F7F8"/>
            <w:tcMar>
              <w:top w:w="80" w:type="dxa"/>
              <w:left w:w="80" w:type="dxa"/>
              <w:bottom w:w="80" w:type="dxa"/>
              <w:right w:w="80" w:type="dxa"/>
            </w:tcMar>
            <w:vAlign w:val="center"/>
          </w:tcPr>
          <w:p w14:paraId="06FDD5CA" w14:textId="77777777" w:rsidR="00307435" w:rsidRDefault="00000000">
            <w:r>
              <w:rPr>
                <w:sz w:val="14"/>
              </w:rPr>
              <w:t>-2.90</w:t>
            </w:r>
          </w:p>
        </w:tc>
        <w:tc>
          <w:tcPr>
            <w:tcW w:w="1152" w:type="dxa"/>
            <w:shd w:val="clear" w:color="auto" w:fill="F3F7F8"/>
            <w:tcMar>
              <w:top w:w="80" w:type="dxa"/>
              <w:left w:w="80" w:type="dxa"/>
              <w:bottom w:w="80" w:type="dxa"/>
              <w:right w:w="80" w:type="dxa"/>
            </w:tcMar>
            <w:vAlign w:val="center"/>
          </w:tcPr>
          <w:p w14:paraId="52FF5DC1" w14:textId="77777777" w:rsidR="00307435" w:rsidRDefault="00000000">
            <w:r>
              <w:rPr>
                <w:sz w:val="14"/>
              </w:rPr>
              <w:t>+4.90</w:t>
            </w:r>
          </w:p>
        </w:tc>
        <w:tc>
          <w:tcPr>
            <w:tcW w:w="1008" w:type="dxa"/>
            <w:shd w:val="clear" w:color="auto" w:fill="F3F7F8"/>
            <w:tcMar>
              <w:top w:w="80" w:type="dxa"/>
              <w:left w:w="80" w:type="dxa"/>
              <w:bottom w:w="80" w:type="dxa"/>
              <w:right w:w="80" w:type="dxa"/>
            </w:tcMar>
            <w:vAlign w:val="center"/>
          </w:tcPr>
          <w:p w14:paraId="29BC97DF" w14:textId="77777777" w:rsidR="00307435" w:rsidRDefault="00000000">
            <w:r>
              <w:rPr>
                <w:sz w:val="14"/>
              </w:rPr>
              <w:t>+30.9</w:t>
            </w:r>
          </w:p>
        </w:tc>
        <w:tc>
          <w:tcPr>
            <w:tcW w:w="1008" w:type="dxa"/>
            <w:shd w:val="clear" w:color="auto" w:fill="F3F7F8"/>
            <w:tcMar>
              <w:top w:w="80" w:type="dxa"/>
              <w:left w:w="80" w:type="dxa"/>
              <w:bottom w:w="80" w:type="dxa"/>
              <w:right w:w="80" w:type="dxa"/>
            </w:tcMar>
            <w:vAlign w:val="center"/>
          </w:tcPr>
          <w:p w14:paraId="431B08EC" w14:textId="77777777" w:rsidR="00307435" w:rsidRDefault="00000000">
            <w:r>
              <w:rPr>
                <w:sz w:val="14"/>
              </w:rPr>
              <w:t>+31.4</w:t>
            </w:r>
          </w:p>
        </w:tc>
        <w:tc>
          <w:tcPr>
            <w:tcW w:w="1152" w:type="dxa"/>
            <w:shd w:val="clear" w:color="auto" w:fill="F3F7F8"/>
            <w:tcMar>
              <w:top w:w="80" w:type="dxa"/>
              <w:left w:w="80" w:type="dxa"/>
              <w:bottom w:w="80" w:type="dxa"/>
              <w:right w:w="80" w:type="dxa"/>
            </w:tcMar>
            <w:vAlign w:val="center"/>
          </w:tcPr>
          <w:p w14:paraId="7F322770" w14:textId="77777777" w:rsidR="00307435" w:rsidRDefault="00000000">
            <w:r>
              <w:rPr>
                <w:sz w:val="14"/>
              </w:rPr>
              <w:t>-0.6</w:t>
            </w:r>
          </w:p>
        </w:tc>
        <w:tc>
          <w:tcPr>
            <w:tcW w:w="936" w:type="dxa"/>
            <w:shd w:val="clear" w:color="auto" w:fill="F3F7F8"/>
            <w:tcMar>
              <w:top w:w="80" w:type="dxa"/>
              <w:left w:w="80" w:type="dxa"/>
              <w:bottom w:w="80" w:type="dxa"/>
              <w:right w:w="80" w:type="dxa"/>
            </w:tcMar>
            <w:vAlign w:val="center"/>
          </w:tcPr>
          <w:p w14:paraId="421FEE7F" w14:textId="77777777" w:rsidR="00307435" w:rsidRDefault="00000000">
            <w:r>
              <w:rPr>
                <w:sz w:val="14"/>
              </w:rPr>
              <w:t>4/4 faster</w:t>
            </w:r>
          </w:p>
        </w:tc>
        <w:tc>
          <w:tcPr>
            <w:tcW w:w="2952" w:type="dxa"/>
            <w:shd w:val="clear" w:color="auto" w:fill="F3F7F8"/>
            <w:tcMar>
              <w:top w:w="80" w:type="dxa"/>
              <w:left w:w="80" w:type="dxa"/>
              <w:bottom w:w="80" w:type="dxa"/>
              <w:right w:w="80" w:type="dxa"/>
            </w:tcMar>
            <w:vAlign w:val="center"/>
          </w:tcPr>
          <w:p w14:paraId="5E0D4CE3" w14:textId="77777777" w:rsidR="00307435" w:rsidRDefault="00000000">
            <w:r>
              <w:rPr>
                <w:sz w:val="14"/>
              </w:rPr>
              <w:t>Small median improvement; mean service near zero; conditional context.</w:t>
            </w:r>
          </w:p>
        </w:tc>
      </w:tr>
      <w:tr w:rsidR="00307435" w14:paraId="1A0BE644" w14:textId="77777777">
        <w:trPr>
          <w:jc w:val="center"/>
          <w:cantSplit/>
        </w:trPr>
        <w:tc>
          <w:tcPr>
            <w:tcW w:w="792" w:type="dxa"/>
            <w:tcMar>
              <w:top w:w="80" w:type="dxa"/>
              <w:left w:w="80" w:type="dxa"/>
              <w:bottom w:w="80" w:type="dxa"/>
              <w:right w:w="80" w:type="dxa"/>
            </w:tcMar>
            <w:vAlign w:val="center"/>
          </w:tcPr>
          <w:p w14:paraId="4D12FA58" w14:textId="77777777" w:rsidR="00307435" w:rsidRDefault="00000000">
            <w:r>
              <w:rPr>
                <w:sz w:val="14"/>
              </w:rPr>
              <w:t>HIPC</w:t>
            </w:r>
          </w:p>
        </w:tc>
        <w:tc>
          <w:tcPr>
            <w:tcW w:w="1152" w:type="dxa"/>
            <w:tcMar>
              <w:top w:w="80" w:type="dxa"/>
              <w:left w:w="80" w:type="dxa"/>
              <w:bottom w:w="80" w:type="dxa"/>
              <w:right w:w="80" w:type="dxa"/>
            </w:tcMar>
            <w:vAlign w:val="center"/>
          </w:tcPr>
          <w:p w14:paraId="6C1AE579" w14:textId="77777777" w:rsidR="00307435" w:rsidRDefault="00000000">
            <w:r>
              <w:rPr>
                <w:sz w:val="14"/>
              </w:rPr>
              <w:t>-94.69</w:t>
            </w:r>
          </w:p>
        </w:tc>
        <w:tc>
          <w:tcPr>
            <w:tcW w:w="1152" w:type="dxa"/>
            <w:tcMar>
              <w:top w:w="80" w:type="dxa"/>
              <w:left w:w="80" w:type="dxa"/>
              <w:bottom w:w="80" w:type="dxa"/>
              <w:right w:w="80" w:type="dxa"/>
            </w:tcMar>
            <w:vAlign w:val="center"/>
          </w:tcPr>
          <w:p w14:paraId="5EE23530" w14:textId="77777777" w:rsidR="00307435" w:rsidRDefault="00000000">
            <w:r>
              <w:rPr>
                <w:sz w:val="14"/>
              </w:rPr>
              <w:t>-86.24</w:t>
            </w:r>
          </w:p>
        </w:tc>
        <w:tc>
          <w:tcPr>
            <w:tcW w:w="1008" w:type="dxa"/>
            <w:tcMar>
              <w:top w:w="80" w:type="dxa"/>
              <w:left w:w="80" w:type="dxa"/>
              <w:bottom w:w="80" w:type="dxa"/>
              <w:right w:w="80" w:type="dxa"/>
            </w:tcMar>
            <w:vAlign w:val="center"/>
          </w:tcPr>
          <w:p w14:paraId="271F5160" w14:textId="77777777" w:rsidR="00307435" w:rsidRDefault="00000000">
            <w:r>
              <w:rPr>
                <w:sz w:val="14"/>
              </w:rPr>
              <w:t>+57.9</w:t>
            </w:r>
          </w:p>
        </w:tc>
        <w:tc>
          <w:tcPr>
            <w:tcW w:w="1008" w:type="dxa"/>
            <w:tcMar>
              <w:top w:w="80" w:type="dxa"/>
              <w:left w:w="80" w:type="dxa"/>
              <w:bottom w:w="80" w:type="dxa"/>
              <w:right w:w="80" w:type="dxa"/>
            </w:tcMar>
            <w:vAlign w:val="center"/>
          </w:tcPr>
          <w:p w14:paraId="778188AB" w14:textId="77777777" w:rsidR="00307435" w:rsidRDefault="00000000">
            <w:r>
              <w:rPr>
                <w:sz w:val="14"/>
              </w:rPr>
              <w:t>+28.9</w:t>
            </w:r>
          </w:p>
        </w:tc>
        <w:tc>
          <w:tcPr>
            <w:tcW w:w="1152" w:type="dxa"/>
            <w:tcMar>
              <w:top w:w="80" w:type="dxa"/>
              <w:left w:w="80" w:type="dxa"/>
              <w:bottom w:w="80" w:type="dxa"/>
              <w:right w:w="80" w:type="dxa"/>
            </w:tcMar>
            <w:vAlign w:val="center"/>
          </w:tcPr>
          <w:p w14:paraId="3F64FC2F" w14:textId="77777777" w:rsidR="00307435" w:rsidRDefault="00000000">
            <w:r>
              <w:rPr>
                <w:sz w:val="14"/>
              </w:rPr>
              <w:t>-88.3</w:t>
            </w:r>
          </w:p>
        </w:tc>
        <w:tc>
          <w:tcPr>
            <w:tcW w:w="936" w:type="dxa"/>
            <w:tcMar>
              <w:top w:w="80" w:type="dxa"/>
              <w:left w:w="80" w:type="dxa"/>
              <w:bottom w:w="80" w:type="dxa"/>
              <w:right w:w="80" w:type="dxa"/>
            </w:tcMar>
            <w:vAlign w:val="center"/>
          </w:tcPr>
          <w:p w14:paraId="202B7EDA" w14:textId="77777777" w:rsidR="00307435" w:rsidRDefault="00000000">
            <w:r>
              <w:rPr>
                <w:sz w:val="14"/>
              </w:rPr>
              <w:t>4/4 faster</w:t>
            </w:r>
          </w:p>
        </w:tc>
        <w:tc>
          <w:tcPr>
            <w:tcW w:w="2952" w:type="dxa"/>
            <w:tcMar>
              <w:top w:w="80" w:type="dxa"/>
              <w:left w:w="80" w:type="dxa"/>
              <w:bottom w:w="80" w:type="dxa"/>
              <w:right w:w="80" w:type="dxa"/>
            </w:tcMar>
            <w:vAlign w:val="center"/>
          </w:tcPr>
          <w:p w14:paraId="3FAE3AA0" w14:textId="77777777" w:rsidR="00307435" w:rsidRDefault="00000000">
            <w:r>
              <w:rPr>
                <w:sz w:val="14"/>
              </w:rPr>
              <w:t>Dominant compute-bound crossover; large work and service gain.</w:t>
            </w:r>
          </w:p>
        </w:tc>
      </w:tr>
      <w:tr w:rsidR="00307435" w14:paraId="5FC4782E" w14:textId="77777777">
        <w:trPr>
          <w:jc w:val="center"/>
          <w:cantSplit/>
        </w:trPr>
        <w:tc>
          <w:tcPr>
            <w:tcW w:w="792" w:type="dxa"/>
            <w:shd w:val="clear" w:color="auto" w:fill="F3F7F8"/>
            <w:tcMar>
              <w:top w:w="80" w:type="dxa"/>
              <w:left w:w="80" w:type="dxa"/>
              <w:bottom w:w="80" w:type="dxa"/>
              <w:right w:w="80" w:type="dxa"/>
            </w:tcMar>
            <w:vAlign w:val="center"/>
          </w:tcPr>
          <w:p w14:paraId="558D85E2" w14:textId="77777777" w:rsidR="00307435" w:rsidRDefault="00000000">
            <w:r>
              <w:rPr>
                <w:sz w:val="14"/>
              </w:rPr>
              <w:t>PI</w:t>
            </w:r>
          </w:p>
        </w:tc>
        <w:tc>
          <w:tcPr>
            <w:tcW w:w="1152" w:type="dxa"/>
            <w:shd w:val="clear" w:color="auto" w:fill="F3F7F8"/>
            <w:tcMar>
              <w:top w:w="80" w:type="dxa"/>
              <w:left w:w="80" w:type="dxa"/>
              <w:bottom w:w="80" w:type="dxa"/>
              <w:right w:w="80" w:type="dxa"/>
            </w:tcMar>
            <w:vAlign w:val="center"/>
          </w:tcPr>
          <w:p w14:paraId="31561E5F" w14:textId="77777777" w:rsidR="00307435" w:rsidRDefault="00000000">
            <w:r>
              <w:rPr>
                <w:sz w:val="14"/>
              </w:rPr>
              <w:t>-6.20</w:t>
            </w:r>
          </w:p>
        </w:tc>
        <w:tc>
          <w:tcPr>
            <w:tcW w:w="1152" w:type="dxa"/>
            <w:shd w:val="clear" w:color="auto" w:fill="F3F7F8"/>
            <w:tcMar>
              <w:top w:w="80" w:type="dxa"/>
              <w:left w:w="80" w:type="dxa"/>
              <w:bottom w:w="80" w:type="dxa"/>
              <w:right w:w="80" w:type="dxa"/>
            </w:tcMar>
            <w:vAlign w:val="center"/>
          </w:tcPr>
          <w:p w14:paraId="4FD7F23C" w14:textId="77777777" w:rsidR="00307435" w:rsidRDefault="00000000">
            <w:r>
              <w:rPr>
                <w:sz w:val="14"/>
              </w:rPr>
              <w:t>-10.04</w:t>
            </w:r>
          </w:p>
        </w:tc>
        <w:tc>
          <w:tcPr>
            <w:tcW w:w="1008" w:type="dxa"/>
            <w:shd w:val="clear" w:color="auto" w:fill="F3F7F8"/>
            <w:tcMar>
              <w:top w:w="80" w:type="dxa"/>
              <w:left w:w="80" w:type="dxa"/>
              <w:bottom w:w="80" w:type="dxa"/>
              <w:right w:w="80" w:type="dxa"/>
            </w:tcMar>
            <w:vAlign w:val="center"/>
          </w:tcPr>
          <w:p w14:paraId="2A74CBD4" w14:textId="77777777" w:rsidR="00307435" w:rsidRDefault="00000000">
            <w:r>
              <w:rPr>
                <w:sz w:val="14"/>
              </w:rPr>
              <w:t>+41.9</w:t>
            </w:r>
          </w:p>
        </w:tc>
        <w:tc>
          <w:tcPr>
            <w:tcW w:w="1008" w:type="dxa"/>
            <w:shd w:val="clear" w:color="auto" w:fill="F3F7F8"/>
            <w:tcMar>
              <w:top w:w="80" w:type="dxa"/>
              <w:left w:w="80" w:type="dxa"/>
              <w:bottom w:w="80" w:type="dxa"/>
              <w:right w:w="80" w:type="dxa"/>
            </w:tcMar>
            <w:vAlign w:val="center"/>
          </w:tcPr>
          <w:p w14:paraId="5DBC4A4C" w14:textId="77777777" w:rsidR="00307435" w:rsidRDefault="00000000">
            <w:r>
              <w:rPr>
                <w:sz w:val="14"/>
              </w:rPr>
              <w:t>+44.3</w:t>
            </w:r>
          </w:p>
        </w:tc>
        <w:tc>
          <w:tcPr>
            <w:tcW w:w="1152" w:type="dxa"/>
            <w:shd w:val="clear" w:color="auto" w:fill="F3F7F8"/>
            <w:tcMar>
              <w:top w:w="80" w:type="dxa"/>
              <w:left w:w="80" w:type="dxa"/>
              <w:bottom w:w="80" w:type="dxa"/>
              <w:right w:w="80" w:type="dxa"/>
            </w:tcMar>
            <w:vAlign w:val="center"/>
          </w:tcPr>
          <w:p w14:paraId="1B7B2DFD" w14:textId="77777777" w:rsidR="00307435" w:rsidRDefault="00000000">
            <w:r>
              <w:rPr>
                <w:sz w:val="14"/>
              </w:rPr>
              <w:t>-21.9</w:t>
            </w:r>
          </w:p>
        </w:tc>
        <w:tc>
          <w:tcPr>
            <w:tcW w:w="936" w:type="dxa"/>
            <w:shd w:val="clear" w:color="auto" w:fill="F3F7F8"/>
            <w:tcMar>
              <w:top w:w="80" w:type="dxa"/>
              <w:left w:w="80" w:type="dxa"/>
              <w:bottom w:w="80" w:type="dxa"/>
              <w:right w:w="80" w:type="dxa"/>
            </w:tcMar>
            <w:vAlign w:val="center"/>
          </w:tcPr>
          <w:p w14:paraId="5F9FF75C" w14:textId="77777777" w:rsidR="00307435" w:rsidRDefault="00000000">
            <w:r>
              <w:rPr>
                <w:sz w:val="14"/>
              </w:rPr>
              <w:t>4/4 faster</w:t>
            </w:r>
          </w:p>
        </w:tc>
        <w:tc>
          <w:tcPr>
            <w:tcW w:w="2952" w:type="dxa"/>
            <w:shd w:val="clear" w:color="auto" w:fill="F3F7F8"/>
            <w:tcMar>
              <w:top w:w="80" w:type="dxa"/>
              <w:left w:w="80" w:type="dxa"/>
              <w:bottom w:w="80" w:type="dxa"/>
              <w:right w:w="80" w:type="dxa"/>
            </w:tcMar>
            <w:vAlign w:val="center"/>
          </w:tcPr>
          <w:p w14:paraId="16E163F5" w14:textId="77777777" w:rsidR="00307435" w:rsidRDefault="00000000">
            <w:r>
              <w:rPr>
                <w:sz w:val="14"/>
              </w:rPr>
              <w:t>Meaningful work, median, tail, and mission benefit.</w:t>
            </w:r>
          </w:p>
        </w:tc>
      </w:tr>
    </w:tbl>
    <w:p w14:paraId="0F43762C" w14:textId="77777777" w:rsidR="00307435" w:rsidRDefault="00307435">
      <w:pPr>
        <w:spacing w:after="0"/>
      </w:pPr>
    </w:p>
    <w:p>
      <w:pPr>
        <w:pStyle w:val="Heading2"/>
        <w:keepNext/>
      </w:pPr>
      <w:r>
        <w:t>7.2 What the algorithm differences mean</w:t>
      </w:r>
    </w:p>
    <w:p w14:paraId="24DF2871" w14:textId="77777777" w:rsidR="00307435" w:rsidRDefault="00000000">
      <w:r>
        <w:t>HIPC is the clearest compute-pressure example: its high-load four-trace median service effect is -94.69 s and its median RP2040 work saving is 57.9%. PI also shows a coherent benefit. CBAA is lighter; work falls, but the mean end-to-end service change is nearly zero. ACBBA is the counterexample that prevents a simplistic “less computation means faster mission” claim: its median online service improves, but its Q95 and mean mission time worsen and its path length changes.</w:t>
      </w:r>
    </w:p>
    <w:p w14:paraId="201F49EC" w14:textId="77777777" w:rsidR="00307435" w:rsidRDefault="00000000">
      <w:pPr>
        <w:jc w:val="center"/>
      </w:pPr>
      <w:r>
        <w:rPr>
          <w:noProof/>
        </w:rPr>
        <w:lastRenderedPageBreak/>
        <w:drawing>
          <wp:inline distT="0" distB="0" distL="0" distR="0" wp14:anchorId="56FB90E4" wp14:editId="0BF25E09">
            <wp:extent cx="5394960" cy="3342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evice_work_ratio.png"/>
                    <pic:cNvPicPr/>
                  </pic:nvPicPr>
                  <pic:blipFill>
                    <a:blip r:embed="rId13"/>
                    <a:stretch>
                      <a:fillRect/>
                    </a:stretch>
                  </pic:blipFill>
                  <pic:spPr>
                    <a:xfrm>
                      <a:off x="0" y="0"/>
                      <a:ext cx="5394960" cy="3342555"/>
                    </a:xfrm>
                    <a:prstGeom prst="rect">
                      <a:avLst/>
                    </a:prstGeom>
                  </pic:spPr>
                </pic:pic>
              </a:graphicData>
            </a:graphic>
          </wp:inline>
        </w:drawing>
      </w:r>
    </w:p>
    <w:p w14:paraId="6B63B886" w14:textId="77777777" w:rsidR="00307435" w:rsidRDefault="00000000">
      <w:pPr>
        <w:spacing w:after="20"/>
        <w:jc w:val="center"/>
      </w:pPr>
      <w:r>
        <w:rPr>
          <w:b/>
          <w:sz w:val="17"/>
        </w:rPr>
        <w:t>Figure 6. Median RP2040/AGX allocator-work ratio by algorithm. HIPC experiences the strongest device slowdown.</w:t>
      </w:r>
    </w:p>
    <w:p w14:paraId="6BAAEC0E" w14:textId="77777777" w:rsidR="00307435" w:rsidRDefault="00000000">
      <w:pPr>
        <w:spacing w:after="100"/>
        <w:jc w:val="center"/>
      </w:pPr>
      <w:r>
        <w:rPr>
          <w:i/>
          <w:color w:val="5A6670"/>
          <w:sz w:val="15"/>
        </w:rPr>
        <w:t>Source: hardware_summary.csv and hardware_call_complexity_summary.csv; all hardware calls passed parity.</w:t>
      </w:r>
    </w:p>
    <w:p>
      <w:pPr>
        <w:pStyle w:val="Heading2"/>
        <w:keepNext/>
      </w:pPr>
      <w:r>
        <w:t>7.3 Why hardware capability changes the sign of the result</w:t>
      </w:r>
    </w:p>
    <w:p w14:paraId="7982D798" w14:textId="77777777" w:rsidR="00307435" w:rsidRDefault="00000000">
      <w:r>
        <w:t>Across all hardware-backed trials, RP2040 allocator work is a median 26.75x the AGX work; HIPC is approximately 47.6x. On AGX, the absolute saved work is often too small to compensate for intentional waiting. On RP2040, dense arrivals repeatedly expose expensive local planning, so reducing the number and complexity of calls can recover more time after admission than the policy added before admission.</w:t>
      </w:r>
    </w:p>
    <w:p>
      <w:pPr>
        <w:pStyle w:val="Heading1"/>
        <w:keepNext/>
        <w:spacing w:before="240" w:after="100"/>
      </w:pPr>
      <w:r>
        <w:t>8. Mechanistic interpretation - where the time goes</w:t>
      </w:r>
    </w:p>
    <w:tbl>
      <w:tblPr>
        <w:tblStyle w:val="TableGrid"/>
        <w:tblW w:w="0" w:type="auto"/>
        <w:jc w:val="center"/>
        <w:tblLook w:val="04A0" w:firstRow="1" w:lastRow="0" w:firstColumn="1" w:lastColumn="0" w:noHBand="0" w:noVBand="1"/>
      </w:tblPr>
      <w:tblGrid>
        <w:gridCol w:w="792"/>
        <w:gridCol w:w="1440"/>
        <w:gridCol w:w="1512"/>
        <w:gridCol w:w="1584"/>
        <w:gridCol w:w="1368"/>
        <w:gridCol w:w="3384"/>
      </w:tblGrid>
      <w:tr w:rsidR="00307435" w14:paraId="581A8C92" w14:textId="77777777">
        <w:trPr>
          <w:tblHeader/>
          <w:jc w:val="center"/>
          <w:cantSplit/>
        </w:trPr>
        <w:tc>
          <w:tcPr>
            <w:tcW w:w="792" w:type="dxa"/>
            <w:shd w:val="clear" w:color="auto" w:fill="183A5A"/>
            <w:tcMar>
              <w:top w:w="80" w:type="dxa"/>
              <w:left w:w="80" w:type="dxa"/>
              <w:bottom w:w="80" w:type="dxa"/>
              <w:right w:w="80" w:type="dxa"/>
            </w:tcMar>
            <w:vAlign w:val="center"/>
          </w:tcPr>
          <w:p w14:paraId="2ECBCA30" w14:textId="77777777" w:rsidR="00307435" w:rsidRDefault="00000000">
            <w:pPr>
              <w:jc w:val="center"/>
            </w:pPr>
            <w:r>
              <w:rPr>
                <w:b/>
                <w:color w:val="FFFFFF"/>
                <w:sz w:val="14"/>
              </w:rPr>
              <w:t>Alg.</w:t>
            </w:r>
          </w:p>
        </w:tc>
        <w:tc>
          <w:tcPr>
            <w:tcW w:w="1440" w:type="dxa"/>
            <w:shd w:val="clear" w:color="auto" w:fill="183A5A"/>
            <w:tcMar>
              <w:top w:w="80" w:type="dxa"/>
              <w:left w:w="80" w:type="dxa"/>
              <w:bottom w:w="80" w:type="dxa"/>
              <w:right w:w="80" w:type="dxa"/>
            </w:tcMar>
            <w:vAlign w:val="center"/>
          </w:tcPr>
          <w:p w14:paraId="5B186A34" w14:textId="77777777" w:rsidR="00307435" w:rsidRDefault="00000000">
            <w:pPr>
              <w:jc w:val="center"/>
            </w:pPr>
            <w:r>
              <w:rPr>
                <w:b/>
                <w:color w:val="FFFFFF"/>
                <w:sz w:val="14"/>
              </w:rPr>
              <w:t>Release-&gt;admission Delta</w:t>
            </w:r>
          </w:p>
        </w:tc>
        <w:tc>
          <w:tcPr>
            <w:tcW w:w="1512" w:type="dxa"/>
            <w:shd w:val="clear" w:color="auto" w:fill="183A5A"/>
            <w:tcMar>
              <w:top w:w="80" w:type="dxa"/>
              <w:left w:w="80" w:type="dxa"/>
              <w:bottom w:w="80" w:type="dxa"/>
              <w:right w:w="80" w:type="dxa"/>
            </w:tcMar>
            <w:vAlign w:val="center"/>
          </w:tcPr>
          <w:p w14:paraId="52AF33C4" w14:textId="77777777" w:rsidR="00307435" w:rsidRDefault="00000000">
            <w:pPr>
              <w:jc w:val="center"/>
            </w:pPr>
            <w:r>
              <w:rPr>
                <w:b/>
                <w:color w:val="FFFFFF"/>
                <w:sz w:val="14"/>
              </w:rPr>
              <w:t>Admission-&gt;assignment Delta</w:t>
            </w:r>
          </w:p>
        </w:tc>
        <w:tc>
          <w:tcPr>
            <w:tcW w:w="1584" w:type="dxa"/>
            <w:shd w:val="clear" w:color="auto" w:fill="183A5A"/>
            <w:tcMar>
              <w:top w:w="80" w:type="dxa"/>
              <w:left w:w="80" w:type="dxa"/>
              <w:bottom w:w="80" w:type="dxa"/>
              <w:right w:w="80" w:type="dxa"/>
            </w:tcMar>
            <w:vAlign w:val="center"/>
          </w:tcPr>
          <w:p w14:paraId="2661CF1B" w14:textId="77777777" w:rsidR="00307435" w:rsidRDefault="00000000">
            <w:pPr>
              <w:jc w:val="center"/>
            </w:pPr>
            <w:r>
              <w:rPr>
                <w:b/>
                <w:color w:val="FFFFFF"/>
                <w:sz w:val="14"/>
              </w:rPr>
              <w:t>Assignment-&gt;completion Delta</w:t>
            </w:r>
          </w:p>
        </w:tc>
        <w:tc>
          <w:tcPr>
            <w:tcW w:w="1368" w:type="dxa"/>
            <w:shd w:val="clear" w:color="auto" w:fill="183A5A"/>
            <w:tcMar>
              <w:top w:w="80" w:type="dxa"/>
              <w:left w:w="80" w:type="dxa"/>
              <w:bottom w:w="80" w:type="dxa"/>
              <w:right w:w="80" w:type="dxa"/>
            </w:tcMar>
            <w:vAlign w:val="center"/>
          </w:tcPr>
          <w:p w14:paraId="1152FDAD" w14:textId="77777777" w:rsidR="00307435" w:rsidRDefault="00000000">
            <w:pPr>
              <w:jc w:val="center"/>
            </w:pPr>
            <w:r>
              <w:rPr>
                <w:b/>
                <w:color w:val="FFFFFF"/>
                <w:sz w:val="14"/>
              </w:rPr>
              <w:t>Total mean service Delta</w:t>
            </w:r>
          </w:p>
        </w:tc>
        <w:tc>
          <w:tcPr>
            <w:tcW w:w="3384" w:type="dxa"/>
            <w:shd w:val="clear" w:color="auto" w:fill="183A5A"/>
            <w:tcMar>
              <w:top w:w="80" w:type="dxa"/>
              <w:left w:w="80" w:type="dxa"/>
              <w:bottom w:w="80" w:type="dxa"/>
              <w:right w:w="80" w:type="dxa"/>
            </w:tcMar>
            <w:vAlign w:val="center"/>
          </w:tcPr>
          <w:p w14:paraId="37DA9889" w14:textId="77777777" w:rsidR="00307435" w:rsidRDefault="00000000">
            <w:pPr>
              <w:jc w:val="center"/>
            </w:pPr>
            <w:r>
              <w:rPr>
                <w:b/>
                <w:color w:val="FFFFFF"/>
                <w:sz w:val="14"/>
              </w:rPr>
              <w:t>Does recovery exceed waiting?</w:t>
            </w:r>
          </w:p>
        </w:tc>
      </w:tr>
      <w:tr w:rsidR="00307435" w14:paraId="0EDE6296" w14:textId="77777777">
        <w:trPr>
          <w:jc w:val="center"/>
          <w:cantSplit/>
        </w:trPr>
        <w:tc>
          <w:tcPr>
            <w:tcW w:w="792" w:type="dxa"/>
            <w:tcMar>
              <w:top w:w="80" w:type="dxa"/>
              <w:left w:w="80" w:type="dxa"/>
              <w:bottom w:w="80" w:type="dxa"/>
              <w:right w:w="80" w:type="dxa"/>
            </w:tcMar>
            <w:vAlign w:val="center"/>
          </w:tcPr>
          <w:p w14:paraId="0D8F9DDA" w14:textId="77777777" w:rsidR="00307435" w:rsidRDefault="00000000">
            <w:r>
              <w:rPr>
                <w:sz w:val="14"/>
              </w:rPr>
              <w:t>ACBBA</w:t>
            </w:r>
          </w:p>
        </w:tc>
        <w:tc>
          <w:tcPr>
            <w:tcW w:w="1440" w:type="dxa"/>
            <w:tcMar>
              <w:top w:w="80" w:type="dxa"/>
              <w:left w:w="80" w:type="dxa"/>
              <w:bottom w:w="80" w:type="dxa"/>
              <w:right w:w="80" w:type="dxa"/>
            </w:tcMar>
            <w:vAlign w:val="center"/>
          </w:tcPr>
          <w:p w14:paraId="59A75B62" w14:textId="77777777" w:rsidR="00307435" w:rsidRDefault="00000000">
            <w:r>
              <w:rPr>
                <w:sz w:val="14"/>
              </w:rPr>
              <w:t>+0.852</w:t>
            </w:r>
          </w:p>
        </w:tc>
        <w:tc>
          <w:tcPr>
            <w:tcW w:w="1512" w:type="dxa"/>
            <w:tcMar>
              <w:top w:w="80" w:type="dxa"/>
              <w:left w:w="80" w:type="dxa"/>
              <w:bottom w:w="80" w:type="dxa"/>
              <w:right w:w="80" w:type="dxa"/>
            </w:tcMar>
            <w:vAlign w:val="center"/>
          </w:tcPr>
          <w:p w14:paraId="0469985F" w14:textId="77777777" w:rsidR="00307435" w:rsidRDefault="00000000">
            <w:r>
              <w:rPr>
                <w:sz w:val="14"/>
              </w:rPr>
              <w:t>-0.880</w:t>
            </w:r>
          </w:p>
        </w:tc>
        <w:tc>
          <w:tcPr>
            <w:tcW w:w="1584" w:type="dxa"/>
            <w:tcMar>
              <w:top w:w="80" w:type="dxa"/>
              <w:left w:w="80" w:type="dxa"/>
              <w:bottom w:w="80" w:type="dxa"/>
              <w:right w:w="80" w:type="dxa"/>
            </w:tcMar>
            <w:vAlign w:val="center"/>
          </w:tcPr>
          <w:p w14:paraId="620718DA" w14:textId="77777777" w:rsidR="00307435" w:rsidRDefault="00000000">
            <w:r>
              <w:rPr>
                <w:sz w:val="14"/>
              </w:rPr>
              <w:t>-0.970</w:t>
            </w:r>
          </w:p>
        </w:tc>
        <w:tc>
          <w:tcPr>
            <w:tcW w:w="1368" w:type="dxa"/>
            <w:tcMar>
              <w:top w:w="80" w:type="dxa"/>
              <w:left w:w="80" w:type="dxa"/>
              <w:bottom w:w="80" w:type="dxa"/>
              <w:right w:w="80" w:type="dxa"/>
            </w:tcMar>
            <w:vAlign w:val="center"/>
          </w:tcPr>
          <w:p w14:paraId="455140B5" w14:textId="77777777" w:rsidR="00307435" w:rsidRDefault="00000000">
            <w:r>
              <w:rPr>
                <w:sz w:val="14"/>
              </w:rPr>
              <w:t>-0.998</w:t>
            </w:r>
          </w:p>
        </w:tc>
        <w:tc>
          <w:tcPr>
            <w:tcW w:w="3384" w:type="dxa"/>
            <w:tcMar>
              <w:top w:w="80" w:type="dxa"/>
              <w:left w:w="80" w:type="dxa"/>
              <w:bottom w:w="80" w:type="dxa"/>
              <w:right w:w="80" w:type="dxa"/>
            </w:tcMar>
            <w:vAlign w:val="center"/>
          </w:tcPr>
          <w:p w14:paraId="592C2D9A" w14:textId="77777777" w:rsidR="00307435" w:rsidRDefault="00000000">
            <w:r>
              <w:rPr>
                <w:sz w:val="14"/>
              </w:rPr>
              <w:t>Yes on mean decomposition; trajectory/tail caveat remains.</w:t>
            </w:r>
          </w:p>
        </w:tc>
      </w:tr>
      <w:tr w:rsidR="00307435" w14:paraId="073B9D5F" w14:textId="77777777">
        <w:trPr>
          <w:jc w:val="center"/>
          <w:cantSplit/>
        </w:trPr>
        <w:tc>
          <w:tcPr>
            <w:tcW w:w="792" w:type="dxa"/>
            <w:shd w:val="clear" w:color="auto" w:fill="F3F7F8"/>
            <w:tcMar>
              <w:top w:w="80" w:type="dxa"/>
              <w:left w:w="80" w:type="dxa"/>
              <w:bottom w:w="80" w:type="dxa"/>
              <w:right w:w="80" w:type="dxa"/>
            </w:tcMar>
            <w:vAlign w:val="center"/>
          </w:tcPr>
          <w:p w14:paraId="0478CEB7" w14:textId="77777777" w:rsidR="00307435" w:rsidRDefault="00000000">
            <w:r>
              <w:rPr>
                <w:sz w:val="14"/>
              </w:rPr>
              <w:t>CBAA</w:t>
            </w:r>
          </w:p>
        </w:tc>
        <w:tc>
          <w:tcPr>
            <w:tcW w:w="1440" w:type="dxa"/>
            <w:shd w:val="clear" w:color="auto" w:fill="F3F7F8"/>
            <w:tcMar>
              <w:top w:w="80" w:type="dxa"/>
              <w:left w:w="80" w:type="dxa"/>
              <w:bottom w:w="80" w:type="dxa"/>
              <w:right w:w="80" w:type="dxa"/>
            </w:tcMar>
            <w:vAlign w:val="center"/>
          </w:tcPr>
          <w:p w14:paraId="299EFB21" w14:textId="77777777" w:rsidR="00307435" w:rsidRDefault="00000000">
            <w:r>
              <w:rPr>
                <w:sz w:val="14"/>
              </w:rPr>
              <w:t>+0.852</w:t>
            </w:r>
          </w:p>
        </w:tc>
        <w:tc>
          <w:tcPr>
            <w:tcW w:w="1512" w:type="dxa"/>
            <w:shd w:val="clear" w:color="auto" w:fill="F3F7F8"/>
            <w:tcMar>
              <w:top w:w="80" w:type="dxa"/>
              <w:left w:w="80" w:type="dxa"/>
              <w:bottom w:w="80" w:type="dxa"/>
              <w:right w:w="80" w:type="dxa"/>
            </w:tcMar>
            <w:vAlign w:val="center"/>
          </w:tcPr>
          <w:p w14:paraId="5314E0C0" w14:textId="77777777" w:rsidR="00307435" w:rsidRDefault="00000000">
            <w:r>
              <w:rPr>
                <w:sz w:val="14"/>
              </w:rPr>
              <w:t>-1.224</w:t>
            </w:r>
          </w:p>
        </w:tc>
        <w:tc>
          <w:tcPr>
            <w:tcW w:w="1584" w:type="dxa"/>
            <w:shd w:val="clear" w:color="auto" w:fill="F3F7F8"/>
            <w:tcMar>
              <w:top w:w="80" w:type="dxa"/>
              <w:left w:w="80" w:type="dxa"/>
              <w:bottom w:w="80" w:type="dxa"/>
              <w:right w:w="80" w:type="dxa"/>
            </w:tcMar>
            <w:vAlign w:val="center"/>
          </w:tcPr>
          <w:p w14:paraId="62FF15B1" w14:textId="77777777" w:rsidR="00307435" w:rsidRDefault="00000000">
            <w:r>
              <w:rPr>
                <w:sz w:val="14"/>
              </w:rPr>
              <w:t>+0.527</w:t>
            </w:r>
          </w:p>
        </w:tc>
        <w:tc>
          <w:tcPr>
            <w:tcW w:w="1368" w:type="dxa"/>
            <w:shd w:val="clear" w:color="auto" w:fill="F3F7F8"/>
            <w:tcMar>
              <w:top w:w="80" w:type="dxa"/>
              <w:left w:w="80" w:type="dxa"/>
              <w:bottom w:w="80" w:type="dxa"/>
              <w:right w:w="80" w:type="dxa"/>
            </w:tcMar>
            <w:vAlign w:val="center"/>
          </w:tcPr>
          <w:p w14:paraId="6EF00F60" w14:textId="77777777" w:rsidR="00307435" w:rsidRDefault="00000000">
            <w:r>
              <w:rPr>
                <w:sz w:val="14"/>
              </w:rPr>
              <w:t>+0.156</w:t>
            </w:r>
          </w:p>
        </w:tc>
        <w:tc>
          <w:tcPr>
            <w:tcW w:w="3384" w:type="dxa"/>
            <w:shd w:val="clear" w:color="auto" w:fill="F3F7F8"/>
            <w:tcMar>
              <w:top w:w="80" w:type="dxa"/>
              <w:left w:w="80" w:type="dxa"/>
              <w:bottom w:w="80" w:type="dxa"/>
              <w:right w:w="80" w:type="dxa"/>
            </w:tcMar>
            <w:vAlign w:val="center"/>
          </w:tcPr>
          <w:p w14:paraId="0A8ABB2E" w14:textId="77777777" w:rsidR="00307435" w:rsidRDefault="00000000">
            <w:r>
              <w:rPr>
                <w:sz w:val="14"/>
              </w:rPr>
              <w:t>No; assignment gain is offset after assignment.</w:t>
            </w:r>
          </w:p>
        </w:tc>
      </w:tr>
      <w:tr w:rsidR="00307435" w14:paraId="50F06F79" w14:textId="77777777">
        <w:trPr>
          <w:jc w:val="center"/>
          <w:cantSplit/>
        </w:trPr>
        <w:tc>
          <w:tcPr>
            <w:tcW w:w="792" w:type="dxa"/>
            <w:tcMar>
              <w:top w:w="80" w:type="dxa"/>
              <w:left w:w="80" w:type="dxa"/>
              <w:bottom w:w="80" w:type="dxa"/>
              <w:right w:w="80" w:type="dxa"/>
            </w:tcMar>
            <w:vAlign w:val="center"/>
          </w:tcPr>
          <w:p w14:paraId="1510E7D5" w14:textId="77777777" w:rsidR="00307435" w:rsidRDefault="00000000">
            <w:r>
              <w:rPr>
                <w:sz w:val="14"/>
              </w:rPr>
              <w:t>HIPC</w:t>
            </w:r>
          </w:p>
        </w:tc>
        <w:tc>
          <w:tcPr>
            <w:tcW w:w="1440" w:type="dxa"/>
            <w:tcMar>
              <w:top w:w="80" w:type="dxa"/>
              <w:left w:w="80" w:type="dxa"/>
              <w:bottom w:w="80" w:type="dxa"/>
              <w:right w:w="80" w:type="dxa"/>
            </w:tcMar>
            <w:vAlign w:val="center"/>
          </w:tcPr>
          <w:p w14:paraId="449A9133" w14:textId="77777777" w:rsidR="00307435" w:rsidRDefault="00000000">
            <w:r>
              <w:rPr>
                <w:sz w:val="14"/>
              </w:rPr>
              <w:t>+1.133</w:t>
            </w:r>
          </w:p>
        </w:tc>
        <w:tc>
          <w:tcPr>
            <w:tcW w:w="1512" w:type="dxa"/>
            <w:tcMar>
              <w:top w:w="80" w:type="dxa"/>
              <w:left w:w="80" w:type="dxa"/>
              <w:bottom w:w="80" w:type="dxa"/>
              <w:right w:w="80" w:type="dxa"/>
            </w:tcMar>
            <w:vAlign w:val="center"/>
          </w:tcPr>
          <w:p w14:paraId="78C11B8E" w14:textId="77777777" w:rsidR="00307435" w:rsidRDefault="00000000">
            <w:r>
              <w:rPr>
                <w:sz w:val="14"/>
              </w:rPr>
              <w:t>-40.101</w:t>
            </w:r>
          </w:p>
        </w:tc>
        <w:tc>
          <w:tcPr>
            <w:tcW w:w="1584" w:type="dxa"/>
            <w:tcMar>
              <w:top w:w="80" w:type="dxa"/>
              <w:left w:w="80" w:type="dxa"/>
              <w:bottom w:w="80" w:type="dxa"/>
              <w:right w:w="80" w:type="dxa"/>
            </w:tcMar>
            <w:vAlign w:val="center"/>
          </w:tcPr>
          <w:p w14:paraId="234B021C" w14:textId="77777777" w:rsidR="00307435" w:rsidRDefault="00000000">
            <w:r>
              <w:rPr>
                <w:sz w:val="14"/>
              </w:rPr>
              <w:t>-54.068</w:t>
            </w:r>
          </w:p>
        </w:tc>
        <w:tc>
          <w:tcPr>
            <w:tcW w:w="1368" w:type="dxa"/>
            <w:tcMar>
              <w:top w:w="80" w:type="dxa"/>
              <w:left w:w="80" w:type="dxa"/>
              <w:bottom w:w="80" w:type="dxa"/>
              <w:right w:w="80" w:type="dxa"/>
            </w:tcMar>
            <w:vAlign w:val="center"/>
          </w:tcPr>
          <w:p w14:paraId="0F9CB8D4" w14:textId="77777777" w:rsidR="00307435" w:rsidRDefault="00000000">
            <w:r>
              <w:rPr>
                <w:sz w:val="14"/>
              </w:rPr>
              <w:t>-93.036</w:t>
            </w:r>
          </w:p>
        </w:tc>
        <w:tc>
          <w:tcPr>
            <w:tcW w:w="3384" w:type="dxa"/>
            <w:tcMar>
              <w:top w:w="80" w:type="dxa"/>
              <w:left w:w="80" w:type="dxa"/>
              <w:bottom w:w="80" w:type="dxa"/>
              <w:right w:w="80" w:type="dxa"/>
            </w:tcMar>
            <w:vAlign w:val="center"/>
          </w:tcPr>
          <w:p w14:paraId="0A6B4987" w14:textId="77777777" w:rsidR="00307435" w:rsidRDefault="00000000">
            <w:r>
              <w:rPr>
                <w:sz w:val="14"/>
              </w:rPr>
              <w:t>Yes; post-admission recovery dominates.</w:t>
            </w:r>
          </w:p>
        </w:tc>
      </w:tr>
      <w:tr w:rsidR="00307435" w14:paraId="7219D8DF" w14:textId="77777777">
        <w:trPr>
          <w:jc w:val="center"/>
          <w:cantSplit/>
        </w:trPr>
        <w:tc>
          <w:tcPr>
            <w:tcW w:w="792" w:type="dxa"/>
            <w:shd w:val="clear" w:color="auto" w:fill="F3F7F8"/>
            <w:tcMar>
              <w:top w:w="80" w:type="dxa"/>
              <w:left w:w="80" w:type="dxa"/>
              <w:bottom w:w="80" w:type="dxa"/>
              <w:right w:w="80" w:type="dxa"/>
            </w:tcMar>
            <w:vAlign w:val="center"/>
          </w:tcPr>
          <w:p w14:paraId="32F14DF9" w14:textId="77777777" w:rsidR="00307435" w:rsidRDefault="00000000">
            <w:r>
              <w:rPr>
                <w:sz w:val="14"/>
              </w:rPr>
              <w:t>PI</w:t>
            </w:r>
          </w:p>
        </w:tc>
        <w:tc>
          <w:tcPr>
            <w:tcW w:w="1440" w:type="dxa"/>
            <w:shd w:val="clear" w:color="auto" w:fill="F3F7F8"/>
            <w:tcMar>
              <w:top w:w="80" w:type="dxa"/>
              <w:left w:w="80" w:type="dxa"/>
              <w:bottom w:w="80" w:type="dxa"/>
              <w:right w:w="80" w:type="dxa"/>
            </w:tcMar>
            <w:vAlign w:val="center"/>
          </w:tcPr>
          <w:p w14:paraId="6E491B34" w14:textId="77777777" w:rsidR="00307435" w:rsidRDefault="00000000">
            <w:r>
              <w:rPr>
                <w:sz w:val="14"/>
              </w:rPr>
              <w:t>+1.110</w:t>
            </w:r>
          </w:p>
        </w:tc>
        <w:tc>
          <w:tcPr>
            <w:tcW w:w="1512" w:type="dxa"/>
            <w:shd w:val="clear" w:color="auto" w:fill="F3F7F8"/>
            <w:tcMar>
              <w:top w:w="80" w:type="dxa"/>
              <w:left w:w="80" w:type="dxa"/>
              <w:bottom w:w="80" w:type="dxa"/>
              <w:right w:w="80" w:type="dxa"/>
            </w:tcMar>
            <w:vAlign w:val="center"/>
          </w:tcPr>
          <w:p w14:paraId="05A57A41" w14:textId="77777777" w:rsidR="00307435" w:rsidRDefault="00000000">
            <w:r>
              <w:rPr>
                <w:sz w:val="14"/>
              </w:rPr>
              <w:t>-4.053</w:t>
            </w:r>
          </w:p>
        </w:tc>
        <w:tc>
          <w:tcPr>
            <w:tcW w:w="1584" w:type="dxa"/>
            <w:shd w:val="clear" w:color="auto" w:fill="F3F7F8"/>
            <w:tcMar>
              <w:top w:w="80" w:type="dxa"/>
              <w:left w:w="80" w:type="dxa"/>
              <w:bottom w:w="80" w:type="dxa"/>
              <w:right w:w="80" w:type="dxa"/>
            </w:tcMar>
            <w:vAlign w:val="center"/>
          </w:tcPr>
          <w:p w14:paraId="384FB381" w14:textId="77777777" w:rsidR="00307435" w:rsidRDefault="00000000">
            <w:r>
              <w:rPr>
                <w:sz w:val="14"/>
              </w:rPr>
              <w:t>-6.763</w:t>
            </w:r>
          </w:p>
        </w:tc>
        <w:tc>
          <w:tcPr>
            <w:tcW w:w="1368" w:type="dxa"/>
            <w:shd w:val="clear" w:color="auto" w:fill="F3F7F8"/>
            <w:tcMar>
              <w:top w:w="80" w:type="dxa"/>
              <w:left w:w="80" w:type="dxa"/>
              <w:bottom w:w="80" w:type="dxa"/>
              <w:right w:w="80" w:type="dxa"/>
            </w:tcMar>
            <w:vAlign w:val="center"/>
          </w:tcPr>
          <w:p w14:paraId="64A635ED" w14:textId="77777777" w:rsidR="00307435" w:rsidRDefault="00000000">
            <w:r>
              <w:rPr>
                <w:sz w:val="14"/>
              </w:rPr>
              <w:t>-9.706</w:t>
            </w:r>
          </w:p>
        </w:tc>
        <w:tc>
          <w:tcPr>
            <w:tcW w:w="3384" w:type="dxa"/>
            <w:shd w:val="clear" w:color="auto" w:fill="F3F7F8"/>
            <w:tcMar>
              <w:top w:w="80" w:type="dxa"/>
              <w:left w:w="80" w:type="dxa"/>
              <w:bottom w:w="80" w:type="dxa"/>
              <w:right w:w="80" w:type="dxa"/>
            </w:tcMar>
            <w:vAlign w:val="center"/>
          </w:tcPr>
          <w:p w14:paraId="576FABAC" w14:textId="77777777" w:rsidR="00307435" w:rsidRDefault="00000000">
            <w:r>
              <w:rPr>
                <w:sz w:val="14"/>
              </w:rPr>
              <w:t>Yes; post-admission recovery dominates.</w:t>
            </w:r>
          </w:p>
        </w:tc>
      </w:tr>
    </w:tbl>
    <w:p w14:paraId="64A1D8B9" w14:textId="77777777" w:rsidR="00307435" w:rsidRDefault="00307435">
      <w:pPr>
        <w:spacing w:after="0"/>
      </w:pPr>
    </w:p>
    <w:p w14:paraId="300418D6" w14:textId="77777777" w:rsidR="00307435" w:rsidRDefault="00000000">
      <w:pPr>
        <w:pStyle w:val="SmallSource"/>
        <w:rPr>
          <w:rFonts w:hint="eastAsia"/>
        </w:rPr>
      </w:pPr>
      <w:r>
        <w:t>Source: task_latency_decomposition_summary.csv; high-load RP2040 Eager versus B=4; values are paired mean/ratio-of-sums decomposition in seconds.</w:t>
      </w:r>
    </w:p>
    <w:p>
      <w:pPr>
        <w:pStyle w:val="Heading2"/>
        <w:keepNext/>
      </w:pPr>
      <w:r>
        <w:t>8.1 The key high-load mechanism</w:t>
      </w:r>
    </w:p>
    <w:tbl>
      <w:tblPr>
        <w:tblW w:w="0" w:type="auto"/>
        <w:jc w:val="center"/>
        <w:tblLook w:val="04A0" w:firstRow="1" w:lastRow="0" w:firstColumn="1" w:lastColumn="0" w:noHBand="0" w:noVBand="1"/>
      </w:tblPr>
      <w:tblGrid>
        <w:gridCol w:w="10282"/>
      </w:tblGrid>
      <w:tr w:rsidR="00307435" w14:paraId="3F2DF364" w14:textId="77777777">
        <w:trPr>
          <w:jc w:val="center"/>
          <w:cantSplit/>
        </w:trPr>
        <w:tc>
          <w:tcPr>
            <w:tcW w:w="10282" w:type="dxa"/>
            <w:shd w:val="clear" w:color="auto" w:fill="E6F2F2"/>
            <w:tcMar>
              <w:top w:w="140" w:type="dxa"/>
              <w:left w:w="160" w:type="dxa"/>
              <w:bottom w:w="140" w:type="dxa"/>
              <w:right w:w="160" w:type="dxa"/>
            </w:tcMar>
          </w:tcPr>
          <w:p w14:paraId="41B9312E" w14:textId="77777777" w:rsidR="00307435" w:rsidRDefault="00000000">
            <w:r>
              <w:rPr>
                <w:b/>
                <w:color w:val="167D7F"/>
              </w:rPr>
              <w:t>Mechanistic answer</w:t>
            </w:r>
          </w:p>
          <w:p w14:paraId="78A07824" w14:textId="77777777" w:rsidR="00307435" w:rsidRDefault="00000000">
            <w:pPr>
              <w:spacing w:after="0"/>
            </w:pPr>
            <w:r>
              <w:t>At high load, B=4 deliberately adds about 0.85-1.13 s of release-to-admission waiting. ACBBA, HIPC, and PI recover more than that after admission; CBAA does not on the mean decomposition. The hardware crossover is therefore not caused by the wait disappearing. It occurs because the post-admission system becomes faster enough to repay the wait.</w:t>
            </w:r>
          </w:p>
        </w:tc>
      </w:tr>
    </w:tbl>
    <w:p w14:paraId="60DF15F9" w14:textId="77777777" w:rsidR="00307435" w:rsidRDefault="00307435">
      <w:pPr>
        <w:spacing w:after="0"/>
      </w:pPr>
    </w:p>
    <w:p>
      <w:pPr>
        <w:pStyle w:val="Heading2"/>
        <w:keepNext/>
      </w:pPr>
      <w:r>
        <w:t>8.2 What cannot be causally isolated</w:t>
      </w:r>
    </w:p>
    <w:p w14:paraId="5D387D21" w14:textId="77777777" w:rsidR="00307435" w:rsidRDefault="00000000">
      <w:r>
        <w:t>Admission-to-assignment is the component most directly associated with allocator timing and coordination, but assignment-to-completion includes physical motion, service, changed task ownership, and changed trajectories. The decomposition is additive and diagnostic, not a formal mediation or critical-path proof.</w:t>
      </w:r>
    </w:p>
    <w:p>
      <w:pPr>
        <w:pStyle w:val="Heading2"/>
        <w:keepNext/>
      </w:pPr>
      <w:r>
        <w:t>8.3 Architecture-specific sparse-arrival call amplification</w:t>
      </w:r>
    </w:p>
    <w:p w14:paraId="41C6A861" w14:textId="77777777" w:rsidR="00307435" w:rsidRDefault="00000000">
      <w:r>
        <w:t>In this simulator, a logical epoch is an admission or mandatory trigger; a call is one robot's allocator invocation, and calls can continue after the first expected calls close an epoch. Under sparse arrivals, pending tasks can piggyback on mandatory task-completion or robot-idle events. The admission globally resets allocator context and starts first-round calls for all robots; later consensus, repair, invalid-goal, or no-goal activity can remain associated with the same epoch. As a result, B=4 can reduce epoch count while increasing calls per epoch and total calls.</w:t>
      </w:r>
    </w:p>
    <w:tbl>
      <w:tblPr>
        <w:tblW w:w="0" w:type="auto"/>
        <w:jc w:val="center"/>
        <w:tblLook w:val="04A0" w:firstRow="1" w:lastRow="0" w:firstColumn="1" w:lastColumn="0" w:noHBand="0" w:noVBand="1"/>
      </w:tblPr>
      <w:tblGrid>
        <w:gridCol w:w="10282"/>
      </w:tblGrid>
      <w:tr w:rsidR="00307435" w14:paraId="78DCFE63" w14:textId="77777777">
        <w:trPr>
          <w:jc w:val="center"/>
          <w:cantSplit/>
        </w:trPr>
        <w:tc>
          <w:tcPr>
            <w:tcW w:w="10282" w:type="dxa"/>
            <w:shd w:val="clear" w:color="auto" w:fill="FFF4E5"/>
            <w:tcMar>
              <w:top w:w="140" w:type="dxa"/>
              <w:left w:w="160" w:type="dxa"/>
              <w:bottom w:w="140" w:type="dxa"/>
              <w:right w:w="160" w:type="dxa"/>
            </w:tcMar>
          </w:tcPr>
          <w:p w14:paraId="2CDEC29E" w14:textId="77777777" w:rsidR="00307435" w:rsidRDefault="00000000">
            <w:pPr>
              <w:spacing w:after="0"/>
            </w:pPr>
            <w:r>
              <w:t>Use this chain to explain the observed testbed behavior, then immediately state that the precise epoch/call relationship depends on scheduler and allocator architecture. The general claim is about measured work and task service, not about epoch count alone.</w:t>
            </w:r>
          </w:p>
        </w:tc>
      </w:tr>
    </w:tbl>
    <w:p w14:paraId="511817BF" w14:textId="77777777" w:rsidR="00307435" w:rsidRDefault="00307435">
      <w:pPr>
        <w:spacing w:after="0"/>
      </w:pPr>
    </w:p>
    <w:p>
      <w:pPr>
        <w:pStyle w:val="Heading1"/>
        <w:keepNext/>
        <w:spacing w:before="240" w:after="100"/>
      </w:pPr>
      <w:r>
        <w:t>9. Bounded waiting, tail latency, and failure context</w:t>
      </w:r>
    </w:p>
    <w:p w14:paraId="3F690216" w14:textId="77777777" w:rsidR="00307435" w:rsidRDefault="00000000">
      <w:pPr>
        <w:jc w:val="center"/>
      </w:pPr>
      <w:r>
        <w:rPr>
          <w:noProof/>
        </w:rPr>
        <w:drawing>
          <wp:inline distT="0" distB="0" distL="0" distR="0" wp14:anchorId="6C0E45A0" wp14:editId="7A91FA77">
            <wp:extent cx="5897880" cy="3662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bounded_low_load_mitigation.png"/>
                    <pic:cNvPicPr/>
                  </pic:nvPicPr>
                  <pic:blipFill>
                    <a:blip r:embed="rId14"/>
                    <a:stretch>
                      <a:fillRect/>
                    </a:stretch>
                  </pic:blipFill>
                  <pic:spPr>
                    <a:xfrm>
                      <a:off x="0" y="0"/>
                      <a:ext cx="5897880" cy="3662450"/>
                    </a:xfrm>
                    <a:prstGeom prst="rect">
                      <a:avLst/>
                    </a:prstGeom>
                  </pic:spPr>
                </pic:pic>
              </a:graphicData>
            </a:graphic>
          </wp:inline>
        </w:drawing>
      </w:r>
    </w:p>
    <w:p w14:paraId="3A81E47A" w14:textId="77777777" w:rsidR="00307435" w:rsidRDefault="00000000">
      <w:pPr>
        <w:spacing w:after="20"/>
        <w:jc w:val="center"/>
      </w:pPr>
      <w:r>
        <w:rPr>
          <w:b/>
          <w:sz w:val="17"/>
        </w:rPr>
        <w:t>Figure 7. Low-load AGX service effects. The five-second bound reduces the B=4 penalty for every allocator but does not restore Eager-level latency.</w:t>
      </w:r>
    </w:p>
    <w:p w14:paraId="2426F809" w14:textId="77777777" w:rsidR="00307435" w:rsidRDefault="00000000">
      <w:pPr>
        <w:spacing w:after="100"/>
        <w:jc w:val="center"/>
      </w:pPr>
      <w:r>
        <w:rPr>
          <w:i/>
          <w:color w:val="5A6670"/>
          <w:sz w:val="15"/>
        </w:rPr>
        <w:t>Source: figure_data_bounded_policy.csv; online median service latency.</w:t>
      </w:r>
    </w:p>
    <w:p>
      <w:pPr>
        <w:pStyle w:val="Heading2"/>
        <w:keepNext/>
      </w:pPr>
      <w:r>
        <w:t>9.1 Bounded policy result</w:t>
      </w:r>
    </w:p>
    <w:p w14:paraId="369F6F55" w14:textId="77777777" w:rsidR="00307435" w:rsidRDefault="00000000">
      <w:r>
        <w:t>At low AGX load, bounded-minus-B=4 median changes range from -1.58 to -1.17 s, and Q95 changes range from -2.64 to -1.85 s. Relative to Eager, however, bounded service remains 1.05-2.27 s slower at the median and 1.24-1.72 s slower at Q95. The policy is a mitigation, not a cure. At high load bounded and unbounded B=4 are nearly identical because the batch threshold normally activates before the timeout.</w:t>
      </w:r>
    </w:p>
    <w:p w14:paraId="1D7EE779" w14:textId="77777777" w:rsidR="00307435" w:rsidRDefault="00000000">
      <w:r>
        <w:t>Hardware evidence for bounded waiting is narrow and limited to low/medium coverage; do not generalize it to the high-load RP2040 crossover.</w:t>
      </w:r>
    </w:p>
    <w:p w14:paraId="2882CD66" w14:textId="77777777" w:rsidR="00307435" w:rsidRDefault="00000000">
      <w:pPr>
        <w:jc w:val="center"/>
      </w:pPr>
      <w:r>
        <w:rPr>
          <w:noProof/>
        </w:rPr>
        <w:lastRenderedPageBreak/>
        <w:drawing>
          <wp:inline distT="0" distB="0" distL="0" distR="0" wp14:anchorId="4D42A46F" wp14:editId="10AB243F">
            <wp:extent cx="5852160" cy="3636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hardware_median_vs_q95.png"/>
                    <pic:cNvPicPr/>
                  </pic:nvPicPr>
                  <pic:blipFill>
                    <a:blip r:embed="rId15"/>
                    <a:stretch>
                      <a:fillRect/>
                    </a:stretch>
                  </pic:blipFill>
                  <pic:spPr>
                    <a:xfrm>
                      <a:off x="0" y="0"/>
                      <a:ext cx="5852160" cy="3636949"/>
                    </a:xfrm>
                    <a:prstGeom prst="rect">
                      <a:avLst/>
                    </a:prstGeom>
                  </pic:spPr>
                </pic:pic>
              </a:graphicData>
            </a:graphic>
          </wp:inline>
        </w:drawing>
      </w:r>
    </w:p>
    <w:p w14:paraId="3D0E7DA0" w14:textId="77777777" w:rsidR="00307435" w:rsidRDefault="00000000">
      <w:pPr>
        <w:spacing w:after="20"/>
        <w:jc w:val="center"/>
      </w:pPr>
      <w:r>
        <w:rPr>
          <w:b/>
          <w:sz w:val="17"/>
        </w:rPr>
        <w:t>Figure 8. High-load RP2040 trial-median and trial-Q95 effects. ACBBA and CBAA show improved medians but unfavorable Q95 summaries.</w:t>
      </w:r>
    </w:p>
    <w:p w14:paraId="6FF6261C" w14:textId="77777777" w:rsidR="00307435" w:rsidRDefault="00000000">
      <w:pPr>
        <w:spacing w:after="100"/>
        <w:jc w:val="center"/>
      </w:pPr>
      <w:r>
        <w:rPr>
          <w:i/>
          <w:color w:val="5A6670"/>
          <w:sz w:val="15"/>
        </w:rPr>
        <w:t>Source: hardware_b4_online_service_latency.csv; descriptive four-trace summaries.</w:t>
      </w:r>
    </w:p>
    <w:p>
      <w:pPr>
        <w:pStyle w:val="Heading2"/>
        <w:keepNext/>
      </w:pPr>
      <w:r>
        <w:t>9.2 Tail latency prevents over-polishing the result</w:t>
      </w:r>
    </w:p>
    <w:p w14:paraId="76919D3A" w14:textId="77777777" w:rsidR="00307435" w:rsidRDefault="00000000">
      <w:r>
        <w:t>Median and Q95 effects have different signs in 23 of 96 inferential policy conditions. The paper should state that high-load hardware median service improves across the algorithm medians, but tail behavior is mixed: HIPC and PI improve at Q95, whereas ACBBA and CBAA do not. This is exactly why the trial Q95 should appear either in the hardware table or a short sentence next to the main figure.</w:t>
      </w:r>
    </w:p>
    <w:p>
      <w:pPr>
        <w:pStyle w:val="Heading2"/>
        <w:keepNext/>
      </w:pPr>
      <w:r>
        <w:t>9.3 Initial tasks and outcome population</w:t>
      </w:r>
    </w:p>
    <w:p w14:paraId="65E947B2" w14:textId="77777777" w:rsidR="00307435" w:rsidRDefault="00000000">
      <w:r>
        <w:t>The eight time-zero tasks are not exposed to the online admission policy in the same way as the 42 arrivals. Including all 50 can shift the B=4 effect by -1.02 to +0.76 s across AGX conditions; the direction is not uniform. Use online-only as the declared primary population and describe all-task results as a sensitivity check.</w:t>
      </w:r>
    </w:p>
    <w:p>
      <w:pPr>
        <w:pStyle w:val="Heading2"/>
        <w:keepNext/>
      </w:pPr>
      <w:r>
        <w:t>9.4 Completion and CBAA</w:t>
      </w:r>
    </w:p>
    <w:tbl>
      <w:tblPr>
        <w:tblStyle w:val="TableGrid"/>
        <w:tblW w:w="0" w:type="auto"/>
        <w:jc w:val="center"/>
        <w:tblLook w:val="04A0" w:firstRow="1" w:lastRow="0" w:firstColumn="1" w:lastColumn="0" w:noHBand="0" w:noVBand="1"/>
      </w:tblPr>
      <w:tblGrid>
        <w:gridCol w:w="3456"/>
        <w:gridCol w:w="1584"/>
        <w:gridCol w:w="1440"/>
      </w:tblGrid>
      <w:tr w:rsidR="00307435" w14:paraId="769AD147" w14:textId="77777777">
        <w:trPr>
          <w:tblHeader/>
          <w:jc w:val="center"/>
          <w:cantSplit/>
        </w:trPr>
        <w:tc>
          <w:tcPr>
            <w:tcW w:w="3456" w:type="dxa"/>
            <w:shd w:val="clear" w:color="auto" w:fill="183A5A"/>
            <w:tcMar>
              <w:top w:w="80" w:type="dxa"/>
              <w:left w:w="80" w:type="dxa"/>
              <w:bottom w:w="80" w:type="dxa"/>
              <w:right w:w="80" w:type="dxa"/>
            </w:tcMar>
            <w:vAlign w:val="center"/>
          </w:tcPr>
          <w:p w14:paraId="0FA294A1" w14:textId="77777777" w:rsidR="00307435" w:rsidRDefault="00000000">
            <w:pPr>
              <w:jc w:val="center"/>
            </w:pPr>
            <w:r>
              <w:rPr>
                <w:b/>
                <w:color w:val="FFFFFF"/>
                <w:sz w:val="16"/>
              </w:rPr>
              <w:t>CBAA causal policy</w:t>
            </w:r>
          </w:p>
        </w:tc>
        <w:tc>
          <w:tcPr>
            <w:tcW w:w="1584" w:type="dxa"/>
            <w:shd w:val="clear" w:color="auto" w:fill="183A5A"/>
            <w:tcMar>
              <w:top w:w="80" w:type="dxa"/>
              <w:left w:w="80" w:type="dxa"/>
              <w:bottom w:w="80" w:type="dxa"/>
              <w:right w:w="80" w:type="dxa"/>
            </w:tcMar>
            <w:vAlign w:val="center"/>
          </w:tcPr>
          <w:p w14:paraId="6B2CA406" w14:textId="77777777" w:rsidR="00307435" w:rsidRDefault="00000000">
            <w:pPr>
              <w:jc w:val="center"/>
            </w:pPr>
            <w:r>
              <w:rPr>
                <w:b/>
                <w:color w:val="FFFFFF"/>
                <w:sz w:val="16"/>
              </w:rPr>
              <w:t>Completed</w:t>
            </w:r>
          </w:p>
        </w:tc>
        <w:tc>
          <w:tcPr>
            <w:tcW w:w="1440" w:type="dxa"/>
            <w:shd w:val="clear" w:color="auto" w:fill="183A5A"/>
            <w:tcMar>
              <w:top w:w="80" w:type="dxa"/>
              <w:left w:w="80" w:type="dxa"/>
              <w:bottom w:w="80" w:type="dxa"/>
              <w:right w:w="80" w:type="dxa"/>
            </w:tcMar>
            <w:vAlign w:val="center"/>
          </w:tcPr>
          <w:p w14:paraId="2A9D7B95" w14:textId="77777777" w:rsidR="00307435" w:rsidRDefault="00000000">
            <w:pPr>
              <w:jc w:val="center"/>
            </w:pPr>
            <w:r>
              <w:rPr>
                <w:b/>
                <w:color w:val="FFFFFF"/>
                <w:sz w:val="16"/>
              </w:rPr>
              <w:t>Rate</w:t>
            </w:r>
          </w:p>
        </w:tc>
      </w:tr>
      <w:tr w:rsidR="00307435" w14:paraId="71341362" w14:textId="77777777">
        <w:trPr>
          <w:jc w:val="center"/>
          <w:cantSplit/>
        </w:trPr>
        <w:tc>
          <w:tcPr>
            <w:tcW w:w="3456" w:type="dxa"/>
            <w:tcMar>
              <w:top w:w="80" w:type="dxa"/>
              <w:left w:w="80" w:type="dxa"/>
              <w:bottom w:w="80" w:type="dxa"/>
              <w:right w:w="80" w:type="dxa"/>
            </w:tcMar>
            <w:vAlign w:val="center"/>
          </w:tcPr>
          <w:p w14:paraId="2C5B7BF1" w14:textId="77777777" w:rsidR="00307435" w:rsidRDefault="00000000">
            <w:r>
              <w:rPr>
                <w:sz w:val="16"/>
              </w:rPr>
              <w:t>Eager (B=1)</w:t>
            </w:r>
          </w:p>
        </w:tc>
        <w:tc>
          <w:tcPr>
            <w:tcW w:w="1584" w:type="dxa"/>
            <w:tcMar>
              <w:top w:w="80" w:type="dxa"/>
              <w:left w:w="80" w:type="dxa"/>
              <w:bottom w:w="80" w:type="dxa"/>
              <w:right w:w="80" w:type="dxa"/>
            </w:tcMar>
            <w:vAlign w:val="center"/>
          </w:tcPr>
          <w:p w14:paraId="4CAE9CCC" w14:textId="77777777" w:rsidR="00307435" w:rsidRDefault="00000000">
            <w:r>
              <w:rPr>
                <w:sz w:val="16"/>
              </w:rPr>
              <w:t>137/150</w:t>
            </w:r>
          </w:p>
        </w:tc>
        <w:tc>
          <w:tcPr>
            <w:tcW w:w="1440" w:type="dxa"/>
            <w:tcMar>
              <w:top w:w="80" w:type="dxa"/>
              <w:left w:w="80" w:type="dxa"/>
              <w:bottom w:w="80" w:type="dxa"/>
              <w:right w:w="80" w:type="dxa"/>
            </w:tcMar>
            <w:vAlign w:val="center"/>
          </w:tcPr>
          <w:p w14:paraId="61C22C8D" w14:textId="77777777" w:rsidR="00307435" w:rsidRDefault="00000000">
            <w:r>
              <w:rPr>
                <w:sz w:val="16"/>
              </w:rPr>
              <w:t>91.3%</w:t>
            </w:r>
          </w:p>
        </w:tc>
      </w:tr>
      <w:tr w:rsidR="00307435" w14:paraId="27A9541D" w14:textId="77777777">
        <w:trPr>
          <w:jc w:val="center"/>
          <w:cantSplit/>
        </w:trPr>
        <w:tc>
          <w:tcPr>
            <w:tcW w:w="3456" w:type="dxa"/>
            <w:shd w:val="clear" w:color="auto" w:fill="F3F7F8"/>
            <w:tcMar>
              <w:top w:w="80" w:type="dxa"/>
              <w:left w:w="80" w:type="dxa"/>
              <w:bottom w:w="80" w:type="dxa"/>
              <w:right w:w="80" w:type="dxa"/>
            </w:tcMar>
            <w:vAlign w:val="center"/>
          </w:tcPr>
          <w:p w14:paraId="75D88199" w14:textId="77777777" w:rsidR="00307435" w:rsidRDefault="00000000">
            <w:r>
              <w:rPr>
                <w:sz w:val="16"/>
              </w:rPr>
              <w:t>Count B=2</w:t>
            </w:r>
          </w:p>
        </w:tc>
        <w:tc>
          <w:tcPr>
            <w:tcW w:w="1584" w:type="dxa"/>
            <w:shd w:val="clear" w:color="auto" w:fill="F3F7F8"/>
            <w:tcMar>
              <w:top w:w="80" w:type="dxa"/>
              <w:left w:w="80" w:type="dxa"/>
              <w:bottom w:w="80" w:type="dxa"/>
              <w:right w:w="80" w:type="dxa"/>
            </w:tcMar>
            <w:vAlign w:val="center"/>
          </w:tcPr>
          <w:p w14:paraId="0DF0B31C" w14:textId="77777777" w:rsidR="00307435" w:rsidRDefault="00000000">
            <w:r>
              <w:rPr>
                <w:sz w:val="16"/>
              </w:rPr>
              <w:t>144/150</w:t>
            </w:r>
          </w:p>
        </w:tc>
        <w:tc>
          <w:tcPr>
            <w:tcW w:w="1440" w:type="dxa"/>
            <w:shd w:val="clear" w:color="auto" w:fill="F3F7F8"/>
            <w:tcMar>
              <w:top w:w="80" w:type="dxa"/>
              <w:left w:w="80" w:type="dxa"/>
              <w:bottom w:w="80" w:type="dxa"/>
              <w:right w:w="80" w:type="dxa"/>
            </w:tcMar>
            <w:vAlign w:val="center"/>
          </w:tcPr>
          <w:p w14:paraId="6613FBA2" w14:textId="77777777" w:rsidR="00307435" w:rsidRDefault="00000000">
            <w:r>
              <w:rPr>
                <w:sz w:val="16"/>
              </w:rPr>
              <w:t>96.0%</w:t>
            </w:r>
          </w:p>
        </w:tc>
      </w:tr>
      <w:tr w:rsidR="00307435" w14:paraId="0E5037FA" w14:textId="77777777">
        <w:trPr>
          <w:jc w:val="center"/>
          <w:cantSplit/>
        </w:trPr>
        <w:tc>
          <w:tcPr>
            <w:tcW w:w="3456" w:type="dxa"/>
            <w:tcMar>
              <w:top w:w="80" w:type="dxa"/>
              <w:left w:w="80" w:type="dxa"/>
              <w:bottom w:w="80" w:type="dxa"/>
              <w:right w:w="80" w:type="dxa"/>
            </w:tcMar>
            <w:vAlign w:val="center"/>
          </w:tcPr>
          <w:p w14:paraId="260CA358" w14:textId="77777777" w:rsidR="00307435" w:rsidRDefault="00000000">
            <w:r>
              <w:rPr>
                <w:sz w:val="16"/>
              </w:rPr>
              <w:t>Count B=4</w:t>
            </w:r>
          </w:p>
        </w:tc>
        <w:tc>
          <w:tcPr>
            <w:tcW w:w="1584" w:type="dxa"/>
            <w:tcMar>
              <w:top w:w="80" w:type="dxa"/>
              <w:left w:w="80" w:type="dxa"/>
              <w:bottom w:w="80" w:type="dxa"/>
              <w:right w:w="80" w:type="dxa"/>
            </w:tcMar>
            <w:vAlign w:val="center"/>
          </w:tcPr>
          <w:p w14:paraId="4DE33365" w14:textId="77777777" w:rsidR="00307435" w:rsidRDefault="00000000">
            <w:r>
              <w:rPr>
                <w:sz w:val="16"/>
              </w:rPr>
              <w:t>146/150</w:t>
            </w:r>
          </w:p>
        </w:tc>
        <w:tc>
          <w:tcPr>
            <w:tcW w:w="1440" w:type="dxa"/>
            <w:tcMar>
              <w:top w:w="80" w:type="dxa"/>
              <w:left w:w="80" w:type="dxa"/>
              <w:bottom w:w="80" w:type="dxa"/>
              <w:right w:w="80" w:type="dxa"/>
            </w:tcMar>
            <w:vAlign w:val="center"/>
          </w:tcPr>
          <w:p w14:paraId="20378E06" w14:textId="77777777" w:rsidR="00307435" w:rsidRDefault="00000000">
            <w:r>
              <w:rPr>
                <w:sz w:val="16"/>
              </w:rPr>
              <w:t>97.3%</w:t>
            </w:r>
          </w:p>
        </w:tc>
      </w:tr>
      <w:tr w:rsidR="00307435" w14:paraId="7BB530E2" w14:textId="77777777">
        <w:trPr>
          <w:jc w:val="center"/>
          <w:cantSplit/>
        </w:trPr>
        <w:tc>
          <w:tcPr>
            <w:tcW w:w="3456" w:type="dxa"/>
            <w:shd w:val="clear" w:color="auto" w:fill="F3F7F8"/>
            <w:tcMar>
              <w:top w:w="80" w:type="dxa"/>
              <w:left w:w="80" w:type="dxa"/>
              <w:bottom w:w="80" w:type="dxa"/>
              <w:right w:w="80" w:type="dxa"/>
            </w:tcMar>
            <w:vAlign w:val="center"/>
          </w:tcPr>
          <w:p w14:paraId="36802359" w14:textId="77777777" w:rsidR="00307435" w:rsidRDefault="00000000">
            <w:r>
              <w:rPr>
                <w:sz w:val="16"/>
              </w:rPr>
              <w:t>Count B=8</w:t>
            </w:r>
          </w:p>
        </w:tc>
        <w:tc>
          <w:tcPr>
            <w:tcW w:w="1584" w:type="dxa"/>
            <w:shd w:val="clear" w:color="auto" w:fill="F3F7F8"/>
            <w:tcMar>
              <w:top w:w="80" w:type="dxa"/>
              <w:left w:w="80" w:type="dxa"/>
              <w:bottom w:w="80" w:type="dxa"/>
              <w:right w:w="80" w:type="dxa"/>
            </w:tcMar>
            <w:vAlign w:val="center"/>
          </w:tcPr>
          <w:p w14:paraId="6CD8E9A4" w14:textId="77777777" w:rsidR="00307435" w:rsidRDefault="00000000">
            <w:r>
              <w:rPr>
                <w:sz w:val="16"/>
              </w:rPr>
              <w:t>145/150</w:t>
            </w:r>
          </w:p>
        </w:tc>
        <w:tc>
          <w:tcPr>
            <w:tcW w:w="1440" w:type="dxa"/>
            <w:shd w:val="clear" w:color="auto" w:fill="F3F7F8"/>
            <w:tcMar>
              <w:top w:w="80" w:type="dxa"/>
              <w:left w:w="80" w:type="dxa"/>
              <w:bottom w:w="80" w:type="dxa"/>
              <w:right w:w="80" w:type="dxa"/>
            </w:tcMar>
            <w:vAlign w:val="center"/>
          </w:tcPr>
          <w:p w14:paraId="58883063" w14:textId="77777777" w:rsidR="00307435" w:rsidRDefault="00000000">
            <w:r>
              <w:rPr>
                <w:sz w:val="16"/>
              </w:rPr>
              <w:t>96.7%</w:t>
            </w:r>
          </w:p>
        </w:tc>
      </w:tr>
      <w:tr w:rsidR="00307435" w14:paraId="738EABA8" w14:textId="77777777">
        <w:trPr>
          <w:jc w:val="center"/>
          <w:cantSplit/>
        </w:trPr>
        <w:tc>
          <w:tcPr>
            <w:tcW w:w="3456" w:type="dxa"/>
            <w:tcMar>
              <w:top w:w="80" w:type="dxa"/>
              <w:left w:w="80" w:type="dxa"/>
              <w:bottom w:w="80" w:type="dxa"/>
              <w:right w:w="80" w:type="dxa"/>
            </w:tcMar>
            <w:vAlign w:val="center"/>
          </w:tcPr>
          <w:p w14:paraId="71215605" w14:textId="77777777" w:rsidR="00307435" w:rsidRDefault="00000000">
            <w:r>
              <w:rPr>
                <w:sz w:val="16"/>
              </w:rPr>
              <w:t>Bounded B=4, W=5 s</w:t>
            </w:r>
          </w:p>
        </w:tc>
        <w:tc>
          <w:tcPr>
            <w:tcW w:w="1584" w:type="dxa"/>
            <w:tcMar>
              <w:top w:w="80" w:type="dxa"/>
              <w:left w:w="80" w:type="dxa"/>
              <w:bottom w:w="80" w:type="dxa"/>
              <w:right w:w="80" w:type="dxa"/>
            </w:tcMar>
            <w:vAlign w:val="center"/>
          </w:tcPr>
          <w:p w14:paraId="26EDEAD7" w14:textId="77777777" w:rsidR="00307435" w:rsidRDefault="00000000">
            <w:r>
              <w:rPr>
                <w:sz w:val="16"/>
              </w:rPr>
              <w:t>146/150</w:t>
            </w:r>
          </w:p>
        </w:tc>
        <w:tc>
          <w:tcPr>
            <w:tcW w:w="1440" w:type="dxa"/>
            <w:tcMar>
              <w:top w:w="80" w:type="dxa"/>
              <w:left w:w="80" w:type="dxa"/>
              <w:bottom w:w="80" w:type="dxa"/>
              <w:right w:w="80" w:type="dxa"/>
            </w:tcMar>
            <w:vAlign w:val="center"/>
          </w:tcPr>
          <w:p w14:paraId="1056F8AD" w14:textId="77777777" w:rsidR="00307435" w:rsidRDefault="00000000">
            <w:r>
              <w:rPr>
                <w:sz w:val="16"/>
              </w:rPr>
              <w:t>97.3%</w:t>
            </w:r>
          </w:p>
        </w:tc>
      </w:tr>
    </w:tbl>
    <w:p w14:paraId="435C4FAE" w14:textId="77777777" w:rsidR="00307435" w:rsidRDefault="00307435">
      <w:pPr>
        <w:spacing w:after="0"/>
      </w:pPr>
    </w:p>
    <w:p w14:paraId="4769A598" w14:textId="77777777" w:rsidR="00307435" w:rsidRDefault="00000000">
      <w:r>
        <w:t>All 32 causal primary-matrix noncompletions occur in CBAA under the finite stagnation horizon. Latency estimates for CBAA condition on both policies completing the same trace, so they must be shown beside completion rates or explicitly labeled conditional. Do not state that coalescing “fixes” CBAA; the mechanism is an interaction among timing, allocator state, and the finite cap.</w:t>
      </w:r>
    </w:p>
    <w:p>
      <w:pPr>
        <w:pStyle w:val="Heading1"/>
        <w:keepNext/>
        <w:spacing w:before="240" w:after="100"/>
      </w:pPr>
      <w:r>
        <w:t>10. Recommended 5-6 page IPCCC presentation</w:t>
      </w:r>
    </w:p>
    <w:p>
      <w:pPr>
        <w:pStyle w:val="Heading2"/>
        <w:keepNext/>
      </w:pPr>
      <w:r>
        <w:t>10.1 Final results architecture</w:t>
      </w:r>
    </w:p>
    <w:tbl>
      <w:tblPr>
        <w:tblStyle w:val="TableGrid"/>
        <w:tblW w:w="0" w:type="auto"/>
        <w:jc w:val="center"/>
        <w:tblLook w:val="04A0" w:firstRow="1" w:lastRow="0" w:firstColumn="1" w:lastColumn="0" w:noHBand="0" w:noVBand="1"/>
      </w:tblPr>
      <w:tblGrid>
        <w:gridCol w:w="1512"/>
        <w:gridCol w:w="2016"/>
        <w:gridCol w:w="3816"/>
        <w:gridCol w:w="2880"/>
      </w:tblGrid>
      <w:tr w:rsidR="00307435" w14:paraId="229EEE31" w14:textId="77777777">
        <w:trPr>
          <w:tblHeader/>
          <w:jc w:val="center"/>
          <w:cantSplit/>
        </w:trPr>
        <w:tc>
          <w:tcPr>
            <w:tcW w:w="1512" w:type="dxa"/>
            <w:shd w:val="clear" w:color="auto" w:fill="183A5A"/>
            <w:tcMar>
              <w:top w:w="80" w:type="dxa"/>
              <w:left w:w="80" w:type="dxa"/>
              <w:bottom w:w="80" w:type="dxa"/>
              <w:right w:w="80" w:type="dxa"/>
            </w:tcMar>
            <w:vAlign w:val="center"/>
          </w:tcPr>
          <w:p w14:paraId="3B0DB2DC" w14:textId="77777777" w:rsidR="00307435" w:rsidRDefault="00000000">
            <w:pPr>
              <w:jc w:val="center"/>
            </w:pPr>
            <w:r>
              <w:rPr>
                <w:b/>
                <w:color w:val="FFFFFF"/>
                <w:sz w:val="14"/>
              </w:rPr>
              <w:t>Paper element</w:t>
            </w:r>
          </w:p>
        </w:tc>
        <w:tc>
          <w:tcPr>
            <w:tcW w:w="2016" w:type="dxa"/>
            <w:shd w:val="clear" w:color="auto" w:fill="183A5A"/>
            <w:tcMar>
              <w:top w:w="80" w:type="dxa"/>
              <w:left w:w="80" w:type="dxa"/>
              <w:bottom w:w="80" w:type="dxa"/>
              <w:right w:w="80" w:type="dxa"/>
            </w:tcMar>
            <w:vAlign w:val="center"/>
          </w:tcPr>
          <w:p w14:paraId="179375C5" w14:textId="77777777" w:rsidR="00307435" w:rsidRDefault="00000000">
            <w:pPr>
              <w:jc w:val="center"/>
            </w:pPr>
            <w:r>
              <w:rPr>
                <w:b/>
                <w:color w:val="FFFFFF"/>
                <w:sz w:val="14"/>
              </w:rPr>
              <w:t>Content</w:t>
            </w:r>
          </w:p>
        </w:tc>
        <w:tc>
          <w:tcPr>
            <w:tcW w:w="3816" w:type="dxa"/>
            <w:shd w:val="clear" w:color="auto" w:fill="183A5A"/>
            <w:tcMar>
              <w:top w:w="80" w:type="dxa"/>
              <w:left w:w="80" w:type="dxa"/>
              <w:bottom w:w="80" w:type="dxa"/>
              <w:right w:w="80" w:type="dxa"/>
            </w:tcMar>
            <w:vAlign w:val="center"/>
          </w:tcPr>
          <w:p w14:paraId="0F19C3DC" w14:textId="77777777" w:rsidR="00307435" w:rsidRDefault="00000000">
            <w:pPr>
              <w:jc w:val="center"/>
            </w:pPr>
            <w:r>
              <w:rPr>
                <w:b/>
                <w:color w:val="FFFFFF"/>
                <w:sz w:val="14"/>
              </w:rPr>
              <w:t>Exact encoding</w:t>
            </w:r>
          </w:p>
        </w:tc>
        <w:tc>
          <w:tcPr>
            <w:tcW w:w="2880" w:type="dxa"/>
            <w:shd w:val="clear" w:color="auto" w:fill="183A5A"/>
            <w:tcMar>
              <w:top w:w="80" w:type="dxa"/>
              <w:left w:w="80" w:type="dxa"/>
              <w:bottom w:w="80" w:type="dxa"/>
              <w:right w:w="80" w:type="dxa"/>
            </w:tcMar>
            <w:vAlign w:val="center"/>
          </w:tcPr>
          <w:p w14:paraId="6A7B98B9" w14:textId="77777777" w:rsidR="00307435" w:rsidRDefault="00000000">
            <w:pPr>
              <w:jc w:val="center"/>
            </w:pPr>
            <w:r>
              <w:rPr>
                <w:b/>
                <w:color w:val="FFFFFF"/>
                <w:sz w:val="14"/>
              </w:rPr>
              <w:t>Reason</w:t>
            </w:r>
          </w:p>
        </w:tc>
      </w:tr>
      <w:tr w:rsidR="00307435" w14:paraId="38FB5DBD" w14:textId="77777777">
        <w:trPr>
          <w:jc w:val="center"/>
          <w:cantSplit/>
        </w:trPr>
        <w:tc>
          <w:tcPr>
            <w:tcW w:w="1512" w:type="dxa"/>
            <w:tcMar>
              <w:top w:w="80" w:type="dxa"/>
              <w:left w:w="80" w:type="dxa"/>
              <w:bottom w:w="80" w:type="dxa"/>
              <w:right w:w="80" w:type="dxa"/>
            </w:tcMar>
            <w:vAlign w:val="center"/>
          </w:tcPr>
          <w:p w14:paraId="46248061" w14:textId="77777777" w:rsidR="00307435" w:rsidRDefault="00000000">
            <w:r>
              <w:rPr>
                <w:sz w:val="14"/>
              </w:rPr>
              <w:t>Figure 1 - required</w:t>
            </w:r>
          </w:p>
        </w:tc>
        <w:tc>
          <w:tcPr>
            <w:tcW w:w="2016" w:type="dxa"/>
            <w:tcMar>
              <w:top w:w="80" w:type="dxa"/>
              <w:left w:w="80" w:type="dxa"/>
              <w:bottom w:w="80" w:type="dxa"/>
              <w:right w:w="80" w:type="dxa"/>
            </w:tcMar>
            <w:vAlign w:val="center"/>
          </w:tcPr>
          <w:p w14:paraId="015DD405" w14:textId="77777777" w:rsidR="00307435" w:rsidRDefault="00000000">
            <w:r>
              <w:rPr>
                <w:sz w:val="14"/>
              </w:rPr>
              <w:t>AGX B=4 compute-service tradeoff</w:t>
            </w:r>
          </w:p>
        </w:tc>
        <w:tc>
          <w:tcPr>
            <w:tcW w:w="3816" w:type="dxa"/>
            <w:tcMar>
              <w:top w:w="80" w:type="dxa"/>
              <w:left w:w="80" w:type="dxa"/>
              <w:bottom w:w="80" w:type="dxa"/>
              <w:right w:w="80" w:type="dxa"/>
            </w:tcMar>
            <w:vAlign w:val="center"/>
          </w:tcPr>
          <w:p w14:paraId="079B81F0" w14:textId="77777777" w:rsidR="00307435" w:rsidRDefault="00000000">
            <w:r>
              <w:rPr>
                <w:sz w:val="14"/>
              </w:rPr>
              <w:t>Figure 3 of this report. X: paired online median service Delta; Y: percent AGX work saved. Connect low-&gt;medium-&gt;high within each allocator.</w:t>
            </w:r>
          </w:p>
        </w:tc>
        <w:tc>
          <w:tcPr>
            <w:tcW w:w="2880" w:type="dxa"/>
            <w:tcMar>
              <w:top w:w="80" w:type="dxa"/>
              <w:left w:w="80" w:type="dxa"/>
              <w:bottom w:w="80" w:type="dxa"/>
              <w:right w:w="80" w:type="dxa"/>
            </w:tcMar>
            <w:vAlign w:val="center"/>
          </w:tcPr>
          <w:p w14:paraId="73D4778D" w14:textId="77777777" w:rsidR="00307435" w:rsidRDefault="00000000">
            <w:r>
              <w:rPr>
                <w:sz w:val="14"/>
              </w:rPr>
              <w:t>One figure carries the main regime result, load interaction, and allocator heterogeneity.</w:t>
            </w:r>
          </w:p>
        </w:tc>
      </w:tr>
      <w:tr w:rsidR="00307435" w14:paraId="31F567D5" w14:textId="77777777">
        <w:trPr>
          <w:jc w:val="center"/>
          <w:cantSplit/>
        </w:trPr>
        <w:tc>
          <w:tcPr>
            <w:tcW w:w="1512" w:type="dxa"/>
            <w:shd w:val="clear" w:color="auto" w:fill="F3F7F8"/>
            <w:tcMar>
              <w:top w:w="80" w:type="dxa"/>
              <w:left w:w="80" w:type="dxa"/>
              <w:bottom w:w="80" w:type="dxa"/>
              <w:right w:w="80" w:type="dxa"/>
            </w:tcMar>
            <w:vAlign w:val="center"/>
          </w:tcPr>
          <w:p w14:paraId="1E47E11F" w14:textId="77777777" w:rsidR="00307435" w:rsidRDefault="00000000">
            <w:r>
              <w:rPr>
                <w:sz w:val="14"/>
              </w:rPr>
              <w:t>Figure 2 - required</w:t>
            </w:r>
          </w:p>
        </w:tc>
        <w:tc>
          <w:tcPr>
            <w:tcW w:w="2016" w:type="dxa"/>
            <w:shd w:val="clear" w:color="auto" w:fill="F3F7F8"/>
            <w:tcMar>
              <w:top w:w="80" w:type="dxa"/>
              <w:left w:w="80" w:type="dxa"/>
              <w:bottom w:w="80" w:type="dxa"/>
              <w:right w:w="80" w:type="dxa"/>
            </w:tcMar>
            <w:vAlign w:val="center"/>
          </w:tcPr>
          <w:p w14:paraId="46942459" w14:textId="77777777" w:rsidR="00307435" w:rsidRDefault="00000000">
            <w:r>
              <w:rPr>
                <w:sz w:val="14"/>
              </w:rPr>
              <w:t>RP2040 trace-level crossover</w:t>
            </w:r>
          </w:p>
        </w:tc>
        <w:tc>
          <w:tcPr>
            <w:tcW w:w="3816" w:type="dxa"/>
            <w:shd w:val="clear" w:color="auto" w:fill="F3F7F8"/>
            <w:tcMar>
              <w:top w:w="80" w:type="dxa"/>
              <w:left w:w="80" w:type="dxa"/>
              <w:bottom w:w="80" w:type="dxa"/>
              <w:right w:w="80" w:type="dxa"/>
            </w:tcMar>
            <w:vAlign w:val="center"/>
          </w:tcPr>
          <w:p w14:paraId="3C434C1D" w14:textId="77777777" w:rsidR="00307435" w:rsidRDefault="00000000">
            <w:r>
              <w:rPr>
                <w:sz w:val="14"/>
              </w:rPr>
              <w:t>Figure 4 of this report. Four trace lines over low/medium/high load with a zero reference.</w:t>
            </w:r>
          </w:p>
        </w:tc>
        <w:tc>
          <w:tcPr>
            <w:tcW w:w="2880" w:type="dxa"/>
            <w:shd w:val="clear" w:color="auto" w:fill="F3F7F8"/>
            <w:tcMar>
              <w:top w:w="80" w:type="dxa"/>
              <w:left w:w="80" w:type="dxa"/>
              <w:bottom w:w="80" w:type="dxa"/>
              <w:right w:w="80" w:type="dxa"/>
            </w:tcMar>
            <w:vAlign w:val="center"/>
          </w:tcPr>
          <w:p w14:paraId="7CCBCFF2" w14:textId="77777777" w:rsidR="00307435" w:rsidRDefault="00000000">
            <w:r>
              <w:rPr>
                <w:sz w:val="14"/>
              </w:rPr>
              <w:t>Most intuitive demonstration that the sign changes on constrained hardware.</w:t>
            </w:r>
          </w:p>
        </w:tc>
      </w:tr>
      <w:tr w:rsidR="00307435" w14:paraId="4A9CCA3C" w14:textId="77777777">
        <w:trPr>
          <w:jc w:val="center"/>
          <w:cantSplit/>
        </w:trPr>
        <w:tc>
          <w:tcPr>
            <w:tcW w:w="1512" w:type="dxa"/>
            <w:tcMar>
              <w:top w:w="80" w:type="dxa"/>
              <w:left w:w="80" w:type="dxa"/>
              <w:bottom w:w="80" w:type="dxa"/>
              <w:right w:w="80" w:type="dxa"/>
            </w:tcMar>
            <w:vAlign w:val="center"/>
          </w:tcPr>
          <w:p w14:paraId="2E9D2607" w14:textId="77777777" w:rsidR="00307435" w:rsidRDefault="00000000">
            <w:r>
              <w:rPr>
                <w:sz w:val="14"/>
              </w:rPr>
              <w:t>Table I - required</w:t>
            </w:r>
          </w:p>
        </w:tc>
        <w:tc>
          <w:tcPr>
            <w:tcW w:w="2016" w:type="dxa"/>
            <w:tcMar>
              <w:top w:w="80" w:type="dxa"/>
              <w:left w:w="80" w:type="dxa"/>
              <w:bottom w:w="80" w:type="dxa"/>
              <w:right w:w="80" w:type="dxa"/>
            </w:tcMar>
            <w:vAlign w:val="center"/>
          </w:tcPr>
          <w:p w14:paraId="5DC8B79A" w14:textId="77777777" w:rsidR="00307435" w:rsidRDefault="00000000">
            <w:r>
              <w:rPr>
                <w:sz w:val="14"/>
              </w:rPr>
              <w:t>High-load RP2040 deployment outcomes</w:t>
            </w:r>
          </w:p>
        </w:tc>
        <w:tc>
          <w:tcPr>
            <w:tcW w:w="3816" w:type="dxa"/>
            <w:tcMar>
              <w:top w:w="80" w:type="dxa"/>
              <w:left w:w="80" w:type="dxa"/>
              <w:bottom w:w="80" w:type="dxa"/>
              <w:right w:w="80" w:type="dxa"/>
            </w:tcMar>
            <w:vAlign w:val="center"/>
          </w:tcPr>
          <w:p w14:paraId="78387FB6" w14:textId="77777777" w:rsidR="00307435" w:rsidRDefault="00000000">
            <w:r>
              <w:rPr>
                <w:sz w:val="14"/>
              </w:rPr>
              <w:t>Four rows: allocator, median service Delta, Q95 Delta, work saved, calls saved, mission Delta, sign count.</w:t>
            </w:r>
          </w:p>
        </w:tc>
        <w:tc>
          <w:tcPr>
            <w:tcW w:w="2880" w:type="dxa"/>
            <w:tcMar>
              <w:top w:w="80" w:type="dxa"/>
              <w:left w:w="80" w:type="dxa"/>
              <w:bottom w:w="80" w:type="dxa"/>
              <w:right w:w="80" w:type="dxa"/>
            </w:tcMar>
            <w:vAlign w:val="center"/>
          </w:tcPr>
          <w:p w14:paraId="2A88511F" w14:textId="77777777" w:rsidR="00307435" w:rsidRDefault="00000000">
            <w:r>
              <w:rPr>
                <w:sz w:val="14"/>
              </w:rPr>
              <w:t>Prevents HIPC from hiding ACBBA/CBAA behavior and gives readers raw interpretability.</w:t>
            </w:r>
          </w:p>
        </w:tc>
      </w:tr>
      <w:tr w:rsidR="00307435" w14:paraId="5B69E941" w14:textId="77777777">
        <w:trPr>
          <w:jc w:val="center"/>
          <w:cantSplit/>
        </w:trPr>
        <w:tc>
          <w:tcPr>
            <w:tcW w:w="1512" w:type="dxa"/>
            <w:shd w:val="clear" w:color="auto" w:fill="F3F7F8"/>
            <w:tcMar>
              <w:top w:w="80" w:type="dxa"/>
              <w:left w:w="80" w:type="dxa"/>
              <w:bottom w:w="80" w:type="dxa"/>
              <w:right w:w="80" w:type="dxa"/>
            </w:tcMar>
            <w:vAlign w:val="center"/>
          </w:tcPr>
          <w:p w14:paraId="7C072D92" w14:textId="77777777" w:rsidR="00307435" w:rsidRDefault="00000000">
            <w:r>
              <w:rPr>
                <w:sz w:val="14"/>
              </w:rPr>
              <w:t>Optional inset or sentence</w:t>
            </w:r>
          </w:p>
        </w:tc>
        <w:tc>
          <w:tcPr>
            <w:tcW w:w="2016" w:type="dxa"/>
            <w:shd w:val="clear" w:color="auto" w:fill="F3F7F8"/>
            <w:tcMar>
              <w:top w:w="80" w:type="dxa"/>
              <w:left w:w="80" w:type="dxa"/>
              <w:bottom w:w="80" w:type="dxa"/>
              <w:right w:w="80" w:type="dxa"/>
            </w:tcMar>
            <w:vAlign w:val="center"/>
          </w:tcPr>
          <w:p w14:paraId="3A6C28B5" w14:textId="77777777" w:rsidR="00307435" w:rsidRDefault="00000000">
            <w:r>
              <w:rPr>
                <w:sz w:val="14"/>
              </w:rPr>
              <w:t>Bounded low-load mitigation</w:t>
            </w:r>
          </w:p>
        </w:tc>
        <w:tc>
          <w:tcPr>
            <w:tcW w:w="3816" w:type="dxa"/>
            <w:shd w:val="clear" w:color="auto" w:fill="F3F7F8"/>
            <w:tcMar>
              <w:top w:w="80" w:type="dxa"/>
              <w:left w:w="80" w:type="dxa"/>
              <w:bottom w:w="80" w:type="dxa"/>
              <w:right w:w="80" w:type="dxa"/>
            </w:tcMar>
            <w:vAlign w:val="center"/>
          </w:tcPr>
          <w:p w14:paraId="62628C88" w14:textId="77777777" w:rsidR="00307435" w:rsidRDefault="00000000">
            <w:r>
              <w:rPr>
                <w:sz w:val="14"/>
              </w:rPr>
              <w:t>Show B=4 vs bounded only if space remains; otherwise give the 1.17-1.58 s reduction in text.</w:t>
            </w:r>
          </w:p>
        </w:tc>
        <w:tc>
          <w:tcPr>
            <w:tcW w:w="2880" w:type="dxa"/>
            <w:shd w:val="clear" w:color="auto" w:fill="F3F7F8"/>
            <w:tcMar>
              <w:top w:w="80" w:type="dxa"/>
              <w:left w:w="80" w:type="dxa"/>
              <w:bottom w:w="80" w:type="dxa"/>
              <w:right w:w="80" w:type="dxa"/>
            </w:tcMar>
            <w:vAlign w:val="center"/>
          </w:tcPr>
          <w:p w14:paraId="79B62301" w14:textId="77777777" w:rsidR="00307435" w:rsidRDefault="00000000">
            <w:r>
              <w:rPr>
                <w:sz w:val="14"/>
              </w:rPr>
              <w:t>Useful design response, but less central than the crossover.</w:t>
            </w:r>
          </w:p>
        </w:tc>
      </w:tr>
      <w:tr w:rsidR="00307435" w14:paraId="4B942D04" w14:textId="77777777">
        <w:trPr>
          <w:jc w:val="center"/>
          <w:cantSplit/>
        </w:trPr>
        <w:tc>
          <w:tcPr>
            <w:tcW w:w="1512" w:type="dxa"/>
            <w:tcMar>
              <w:top w:w="80" w:type="dxa"/>
              <w:left w:w="80" w:type="dxa"/>
              <w:bottom w:w="80" w:type="dxa"/>
              <w:right w:w="80" w:type="dxa"/>
            </w:tcMar>
            <w:vAlign w:val="center"/>
          </w:tcPr>
          <w:p w14:paraId="09264140" w14:textId="77777777" w:rsidR="00307435" w:rsidRDefault="00000000">
            <w:r>
              <w:rPr>
                <w:sz w:val="14"/>
              </w:rPr>
              <w:t>Do not promote</w:t>
            </w:r>
          </w:p>
        </w:tc>
        <w:tc>
          <w:tcPr>
            <w:tcW w:w="2016" w:type="dxa"/>
            <w:tcMar>
              <w:top w:w="80" w:type="dxa"/>
              <w:left w:w="80" w:type="dxa"/>
              <w:bottom w:w="80" w:type="dxa"/>
              <w:right w:w="80" w:type="dxa"/>
            </w:tcMar>
            <w:vAlign w:val="center"/>
          </w:tcPr>
          <w:p w14:paraId="1BA1F78A" w14:textId="77777777" w:rsidR="00307435" w:rsidRDefault="00000000">
            <w:r>
              <w:rPr>
                <w:sz w:val="14"/>
              </w:rPr>
              <w:t>Epoch/call reversal or CBAA completion figure</w:t>
            </w:r>
          </w:p>
        </w:tc>
        <w:tc>
          <w:tcPr>
            <w:tcW w:w="3816" w:type="dxa"/>
            <w:tcMar>
              <w:top w:w="80" w:type="dxa"/>
              <w:left w:w="80" w:type="dxa"/>
              <w:bottom w:w="80" w:type="dxa"/>
              <w:right w:w="80" w:type="dxa"/>
            </w:tcMar>
            <w:vAlign w:val="center"/>
          </w:tcPr>
          <w:p w14:paraId="2FA220F5" w14:textId="77777777" w:rsidR="00307435" w:rsidRDefault="00000000">
            <w:r>
              <w:rPr>
                <w:sz w:val="14"/>
              </w:rPr>
              <w:t>Keep as one mechanism paragraph and one limitation sentence.</w:t>
            </w:r>
          </w:p>
        </w:tc>
        <w:tc>
          <w:tcPr>
            <w:tcW w:w="2880" w:type="dxa"/>
            <w:tcMar>
              <w:top w:w="80" w:type="dxa"/>
              <w:left w:w="80" w:type="dxa"/>
              <w:bottom w:w="80" w:type="dxa"/>
              <w:right w:w="80" w:type="dxa"/>
            </w:tcMar>
            <w:vAlign w:val="center"/>
          </w:tcPr>
          <w:p w14:paraId="79D716D7" w14:textId="77777777" w:rsidR="00307435" w:rsidRDefault="00000000">
            <w:r>
              <w:rPr>
                <w:sz w:val="14"/>
              </w:rPr>
              <w:t>Architecture-dependent and too detailed for the main visual budget.</w:t>
            </w:r>
          </w:p>
        </w:tc>
      </w:tr>
    </w:tbl>
    <w:p w14:paraId="0E8FD67C" w14:textId="77777777" w:rsidR="00307435" w:rsidRDefault="00307435">
      <w:pPr>
        <w:spacing w:after="0"/>
      </w:pPr>
    </w:p>
    <w:p>
      <w:pPr>
        <w:pStyle w:val="Heading2"/>
        <w:keepNext/>
      </w:pPr>
      <w:r>
        <w:t>10.2 Recommended Results and Discussion sequence</w:t>
      </w:r>
    </w:p>
    <w:p w14:paraId="66EC93E4" w14:textId="77777777" w:rsidR="00307435" w:rsidRDefault="00000000">
      <w:pPr>
        <w:pStyle w:val="ListBullet"/>
      </w:pPr>
      <w:r>
        <w:t>Paragraph 1 - define sign conventions and identify online release-to-completion as the primary outcome.</w:t>
      </w:r>
    </w:p>
    <w:p w14:paraId="1CF26CA5" w14:textId="77777777" w:rsidR="00307435" w:rsidRDefault="00000000">
      <w:pPr>
        <w:pStyle w:val="ListBullet"/>
      </w:pPr>
      <w:r>
        <w:t>Paragraph 2 - AGX low/medium/high B=4 trajectory, exact low-load range, high-load work-savings range, and trace-blocked load test.</w:t>
      </w:r>
    </w:p>
    <w:p w14:paraId="1B3EAF1D" w14:textId="77777777" w:rsidR="00307435" w:rsidRDefault="00000000">
      <w:pPr>
        <w:pStyle w:val="ListBullet"/>
      </w:pPr>
      <w:r>
        <w:t>Paragraph 3 - RP2040 four-trace crossover and algorithm-specific high-load table.</w:t>
      </w:r>
    </w:p>
    <w:p w14:paraId="4ED0B5B7" w14:textId="77777777" w:rsidR="00307435" w:rsidRDefault="00000000">
      <w:pPr>
        <w:pStyle w:val="ListBullet"/>
      </w:pPr>
      <w:r>
        <w:t>Paragraph 4 - latency decomposition: added wait is repaid after admission for ACBBA/HIPC/PI, with motion/trajectory caveat.</w:t>
      </w:r>
    </w:p>
    <w:p w14:paraId="37D80094" w14:textId="77777777" w:rsidR="00307435" w:rsidRDefault="00000000">
      <w:pPr>
        <w:pStyle w:val="ListBullet"/>
      </w:pPr>
      <w:r>
        <w:t>Paragraph 5 - bounded mitigation, tail qualification, and CBAA completion caveat.</w:t>
      </w:r>
    </w:p>
    <w:p w14:paraId="749AF219" w14:textId="77777777" w:rsidR="00307435" w:rsidRDefault="00000000">
      <w:pPr>
        <w:pStyle w:val="ListBullet"/>
      </w:pPr>
      <w:r>
        <w:t>Discussion conclusion - policy strength should respond to arrival density and measured compute pressure; fixed universal B is not justified.</w:t>
      </w:r>
    </w:p>
    <w:p>
      <w:pPr>
        <w:pStyle w:val="Heading2"/>
        <w:keepNext/>
      </w:pPr>
      <w:r>
        <w:t>10.3 Approximate page budget</w:t>
      </w:r>
    </w:p>
    <w:tbl>
      <w:tblPr>
        <w:tblStyle w:val="TableGrid"/>
        <w:tblW w:w="0" w:type="auto"/>
        <w:jc w:val="center"/>
        <w:tblLook w:val="04A0" w:firstRow="1" w:lastRow="0" w:firstColumn="1" w:lastColumn="0" w:noHBand="0" w:noVBand="1"/>
      </w:tblPr>
      <w:tblGrid>
        <w:gridCol w:w="2304"/>
        <w:gridCol w:w="1656"/>
        <w:gridCol w:w="6048"/>
      </w:tblGrid>
      <w:tr w:rsidR="00307435" w14:paraId="77C26B50" w14:textId="77777777">
        <w:trPr>
          <w:tblHeader/>
          <w:jc w:val="center"/>
          <w:cantSplit/>
        </w:trPr>
        <w:tc>
          <w:tcPr>
            <w:tcW w:w="2304" w:type="dxa"/>
            <w:shd w:val="clear" w:color="auto" w:fill="183A5A"/>
            <w:tcMar>
              <w:top w:w="80" w:type="dxa"/>
              <w:left w:w="80" w:type="dxa"/>
              <w:bottom w:w="80" w:type="dxa"/>
              <w:right w:w="80" w:type="dxa"/>
            </w:tcMar>
            <w:vAlign w:val="center"/>
          </w:tcPr>
          <w:p w14:paraId="6ADF3E06" w14:textId="77777777" w:rsidR="00307435" w:rsidRDefault="00000000">
            <w:pPr>
              <w:jc w:val="center"/>
            </w:pPr>
            <w:r>
              <w:rPr>
                <w:b/>
                <w:color w:val="FFFFFF"/>
                <w:sz w:val="16"/>
              </w:rPr>
              <w:t>Section</w:t>
            </w:r>
          </w:p>
        </w:tc>
        <w:tc>
          <w:tcPr>
            <w:tcW w:w="1656" w:type="dxa"/>
            <w:shd w:val="clear" w:color="auto" w:fill="183A5A"/>
            <w:tcMar>
              <w:top w:w="80" w:type="dxa"/>
              <w:left w:w="80" w:type="dxa"/>
              <w:bottom w:w="80" w:type="dxa"/>
              <w:right w:w="80" w:type="dxa"/>
            </w:tcMar>
            <w:vAlign w:val="center"/>
          </w:tcPr>
          <w:p w14:paraId="115B6F62" w14:textId="77777777" w:rsidR="00307435" w:rsidRDefault="00000000">
            <w:pPr>
              <w:jc w:val="center"/>
            </w:pPr>
            <w:r>
              <w:rPr>
                <w:b/>
                <w:color w:val="FFFFFF"/>
                <w:sz w:val="16"/>
              </w:rPr>
              <w:t>Budget</w:t>
            </w:r>
          </w:p>
        </w:tc>
        <w:tc>
          <w:tcPr>
            <w:tcW w:w="6048" w:type="dxa"/>
            <w:shd w:val="clear" w:color="auto" w:fill="183A5A"/>
            <w:tcMar>
              <w:top w:w="80" w:type="dxa"/>
              <w:left w:w="80" w:type="dxa"/>
              <w:bottom w:w="80" w:type="dxa"/>
              <w:right w:w="80" w:type="dxa"/>
            </w:tcMar>
            <w:vAlign w:val="center"/>
          </w:tcPr>
          <w:p w14:paraId="7BCCB82C" w14:textId="77777777" w:rsidR="00307435" w:rsidRDefault="00000000">
            <w:pPr>
              <w:jc w:val="center"/>
            </w:pPr>
            <w:r>
              <w:rPr>
                <w:b/>
                <w:color w:val="FFFFFF"/>
                <w:sz w:val="16"/>
              </w:rPr>
              <w:t>Content discipline</w:t>
            </w:r>
          </w:p>
        </w:tc>
      </w:tr>
      <w:tr w:rsidR="00307435" w14:paraId="05407112" w14:textId="77777777">
        <w:trPr>
          <w:jc w:val="center"/>
          <w:cantSplit/>
        </w:trPr>
        <w:tc>
          <w:tcPr>
            <w:tcW w:w="2304" w:type="dxa"/>
            <w:tcMar>
              <w:top w:w="80" w:type="dxa"/>
              <w:left w:w="80" w:type="dxa"/>
              <w:bottom w:w="80" w:type="dxa"/>
              <w:right w:w="80" w:type="dxa"/>
            </w:tcMar>
            <w:vAlign w:val="center"/>
          </w:tcPr>
          <w:p w14:paraId="789BDBAA" w14:textId="77777777" w:rsidR="00307435" w:rsidRDefault="00000000">
            <w:r>
              <w:rPr>
                <w:sz w:val="16"/>
              </w:rPr>
              <w:t>Introduction + related work</w:t>
            </w:r>
          </w:p>
        </w:tc>
        <w:tc>
          <w:tcPr>
            <w:tcW w:w="1656" w:type="dxa"/>
            <w:tcMar>
              <w:top w:w="80" w:type="dxa"/>
              <w:left w:w="80" w:type="dxa"/>
              <w:bottom w:w="80" w:type="dxa"/>
              <w:right w:w="80" w:type="dxa"/>
            </w:tcMar>
            <w:vAlign w:val="center"/>
          </w:tcPr>
          <w:p w14:paraId="0E46EF7D" w14:textId="77777777" w:rsidR="00307435" w:rsidRDefault="00000000">
            <w:r>
              <w:rPr>
                <w:sz w:val="16"/>
              </w:rPr>
              <w:t>0.9-1.1 pages</w:t>
            </w:r>
          </w:p>
        </w:tc>
        <w:tc>
          <w:tcPr>
            <w:tcW w:w="6048" w:type="dxa"/>
            <w:tcMar>
              <w:top w:w="80" w:type="dxa"/>
              <w:left w:w="80" w:type="dxa"/>
              <w:bottom w:w="80" w:type="dxa"/>
              <w:right w:w="80" w:type="dxa"/>
            </w:tcMar>
            <w:vAlign w:val="center"/>
          </w:tcPr>
          <w:p w14:paraId="525E4315" w14:textId="77777777" w:rsidR="00307435" w:rsidRDefault="00000000">
            <w:r>
              <w:rPr>
                <w:sz w:val="16"/>
              </w:rPr>
              <w:t>Motivate dynamic task arrival, embedded compute, and gap; 10-12 references.</w:t>
            </w:r>
          </w:p>
        </w:tc>
      </w:tr>
      <w:tr w:rsidR="00307435" w14:paraId="48AFD6A9" w14:textId="77777777">
        <w:trPr>
          <w:jc w:val="center"/>
          <w:cantSplit/>
        </w:trPr>
        <w:tc>
          <w:tcPr>
            <w:tcW w:w="2304" w:type="dxa"/>
            <w:shd w:val="clear" w:color="auto" w:fill="F3F7F8"/>
            <w:tcMar>
              <w:top w:w="80" w:type="dxa"/>
              <w:left w:w="80" w:type="dxa"/>
              <w:bottom w:w="80" w:type="dxa"/>
              <w:right w:w="80" w:type="dxa"/>
            </w:tcMar>
            <w:vAlign w:val="center"/>
          </w:tcPr>
          <w:p w14:paraId="143E7D5C" w14:textId="77777777" w:rsidR="00307435" w:rsidRDefault="00000000">
            <w:r>
              <w:rPr>
                <w:sz w:val="16"/>
              </w:rPr>
              <w:t>Method + policies + timing</w:t>
            </w:r>
          </w:p>
        </w:tc>
        <w:tc>
          <w:tcPr>
            <w:tcW w:w="1656" w:type="dxa"/>
            <w:shd w:val="clear" w:color="auto" w:fill="F3F7F8"/>
            <w:tcMar>
              <w:top w:w="80" w:type="dxa"/>
              <w:left w:w="80" w:type="dxa"/>
              <w:bottom w:w="80" w:type="dxa"/>
              <w:right w:w="80" w:type="dxa"/>
            </w:tcMar>
            <w:vAlign w:val="center"/>
          </w:tcPr>
          <w:p w14:paraId="3C5BE047" w14:textId="77777777" w:rsidR="00307435" w:rsidRDefault="00000000">
            <w:r>
              <w:rPr>
                <w:sz w:val="16"/>
              </w:rPr>
              <w:t>1.0-1.2 pages</w:t>
            </w:r>
          </w:p>
        </w:tc>
        <w:tc>
          <w:tcPr>
            <w:tcW w:w="6048" w:type="dxa"/>
            <w:shd w:val="clear" w:color="auto" w:fill="F3F7F8"/>
            <w:tcMar>
              <w:top w:w="80" w:type="dxa"/>
              <w:left w:w="80" w:type="dxa"/>
              <w:bottom w:w="80" w:type="dxa"/>
              <w:right w:w="80" w:type="dxa"/>
            </w:tcMar>
            <w:vAlign w:val="center"/>
          </w:tcPr>
          <w:p w14:paraId="2BB7E3ED" w14:textId="77777777" w:rsidR="00307435" w:rsidRDefault="00000000">
            <w:r>
              <w:rPr>
                <w:sz w:val="16"/>
              </w:rPr>
              <w:t>One compact timeline diagram or policy table; causal timing semantics.</w:t>
            </w:r>
          </w:p>
        </w:tc>
      </w:tr>
      <w:tr w:rsidR="00307435" w14:paraId="6501101F" w14:textId="77777777">
        <w:trPr>
          <w:jc w:val="center"/>
          <w:cantSplit/>
        </w:trPr>
        <w:tc>
          <w:tcPr>
            <w:tcW w:w="2304" w:type="dxa"/>
            <w:tcMar>
              <w:top w:w="80" w:type="dxa"/>
              <w:left w:w="80" w:type="dxa"/>
              <w:bottom w:w="80" w:type="dxa"/>
              <w:right w:w="80" w:type="dxa"/>
            </w:tcMar>
            <w:vAlign w:val="center"/>
          </w:tcPr>
          <w:p w14:paraId="1CCAE9E3" w14:textId="77777777" w:rsidR="00307435" w:rsidRDefault="00000000">
            <w:r>
              <w:rPr>
                <w:sz w:val="16"/>
              </w:rPr>
              <w:t>Experimental design + statistics</w:t>
            </w:r>
          </w:p>
        </w:tc>
        <w:tc>
          <w:tcPr>
            <w:tcW w:w="1656" w:type="dxa"/>
            <w:tcMar>
              <w:top w:w="80" w:type="dxa"/>
              <w:left w:w="80" w:type="dxa"/>
              <w:bottom w:w="80" w:type="dxa"/>
              <w:right w:w="80" w:type="dxa"/>
            </w:tcMar>
            <w:vAlign w:val="center"/>
          </w:tcPr>
          <w:p w14:paraId="2F7B70CC" w14:textId="77777777" w:rsidR="00307435" w:rsidRDefault="00000000">
            <w:r>
              <w:rPr>
                <w:sz w:val="16"/>
              </w:rPr>
              <w:t>0.7-0.8 pages</w:t>
            </w:r>
          </w:p>
        </w:tc>
        <w:tc>
          <w:tcPr>
            <w:tcW w:w="6048" w:type="dxa"/>
            <w:tcMar>
              <w:top w:w="80" w:type="dxa"/>
              <w:left w:w="80" w:type="dxa"/>
              <w:bottom w:w="80" w:type="dxa"/>
              <w:right w:w="80" w:type="dxa"/>
            </w:tcMar>
            <w:vAlign w:val="center"/>
          </w:tcPr>
          <w:p w14:paraId="2DA318F4" w14:textId="77777777" w:rsidR="00307435" w:rsidRDefault="00000000">
            <w:r>
              <w:rPr>
                <w:sz w:val="16"/>
              </w:rPr>
              <w:t>Matrix, trace pairing, online-task unit, hardware n=4 warning.</w:t>
            </w:r>
          </w:p>
        </w:tc>
      </w:tr>
      <w:tr w:rsidR="00307435" w14:paraId="4812D4B6" w14:textId="77777777">
        <w:trPr>
          <w:jc w:val="center"/>
          <w:cantSplit/>
        </w:trPr>
        <w:tc>
          <w:tcPr>
            <w:tcW w:w="2304" w:type="dxa"/>
            <w:shd w:val="clear" w:color="auto" w:fill="F3F7F8"/>
            <w:tcMar>
              <w:top w:w="80" w:type="dxa"/>
              <w:left w:w="80" w:type="dxa"/>
              <w:bottom w:w="80" w:type="dxa"/>
              <w:right w:w="80" w:type="dxa"/>
            </w:tcMar>
            <w:vAlign w:val="center"/>
          </w:tcPr>
          <w:p w14:paraId="74D45A0A" w14:textId="77777777" w:rsidR="00307435" w:rsidRDefault="00000000">
            <w:r>
              <w:rPr>
                <w:sz w:val="16"/>
              </w:rPr>
              <w:t>Results + discussion</w:t>
            </w:r>
          </w:p>
        </w:tc>
        <w:tc>
          <w:tcPr>
            <w:tcW w:w="1656" w:type="dxa"/>
            <w:shd w:val="clear" w:color="auto" w:fill="F3F7F8"/>
            <w:tcMar>
              <w:top w:w="80" w:type="dxa"/>
              <w:left w:w="80" w:type="dxa"/>
              <w:bottom w:w="80" w:type="dxa"/>
              <w:right w:w="80" w:type="dxa"/>
            </w:tcMar>
            <w:vAlign w:val="center"/>
          </w:tcPr>
          <w:p w14:paraId="118F173D" w14:textId="77777777" w:rsidR="00307435" w:rsidRDefault="00000000">
            <w:r>
              <w:rPr>
                <w:sz w:val="16"/>
              </w:rPr>
              <w:t>1.7-2.0 pages</w:t>
            </w:r>
          </w:p>
        </w:tc>
        <w:tc>
          <w:tcPr>
            <w:tcW w:w="6048" w:type="dxa"/>
            <w:shd w:val="clear" w:color="auto" w:fill="F3F7F8"/>
            <w:tcMar>
              <w:top w:w="80" w:type="dxa"/>
              <w:left w:w="80" w:type="dxa"/>
              <w:bottom w:w="80" w:type="dxa"/>
              <w:right w:w="80" w:type="dxa"/>
            </w:tcMar>
            <w:vAlign w:val="center"/>
          </w:tcPr>
          <w:p w14:paraId="397B3E53" w14:textId="77777777" w:rsidR="00307435" w:rsidRDefault="00000000">
            <w:r>
              <w:rPr>
                <w:sz w:val="16"/>
              </w:rPr>
              <w:t>Two figures, one table, five focused result paragraphs.</w:t>
            </w:r>
          </w:p>
        </w:tc>
      </w:tr>
      <w:tr w:rsidR="00307435" w14:paraId="79B44F4F" w14:textId="77777777">
        <w:trPr>
          <w:jc w:val="center"/>
          <w:cantSplit/>
        </w:trPr>
        <w:tc>
          <w:tcPr>
            <w:tcW w:w="2304" w:type="dxa"/>
            <w:tcMar>
              <w:top w:w="80" w:type="dxa"/>
              <w:left w:w="80" w:type="dxa"/>
              <w:bottom w:w="80" w:type="dxa"/>
              <w:right w:w="80" w:type="dxa"/>
            </w:tcMar>
            <w:vAlign w:val="center"/>
          </w:tcPr>
          <w:p w14:paraId="15772CCD" w14:textId="77777777" w:rsidR="00307435" w:rsidRDefault="00000000">
            <w:r>
              <w:rPr>
                <w:sz w:val="16"/>
              </w:rPr>
              <w:t>Conclusion + limitations</w:t>
            </w:r>
          </w:p>
        </w:tc>
        <w:tc>
          <w:tcPr>
            <w:tcW w:w="1656" w:type="dxa"/>
            <w:tcMar>
              <w:top w:w="80" w:type="dxa"/>
              <w:left w:w="80" w:type="dxa"/>
              <w:bottom w:w="80" w:type="dxa"/>
              <w:right w:w="80" w:type="dxa"/>
            </w:tcMar>
            <w:vAlign w:val="center"/>
          </w:tcPr>
          <w:p w14:paraId="17FE706B" w14:textId="77777777" w:rsidR="00307435" w:rsidRDefault="00000000">
            <w:r>
              <w:rPr>
                <w:sz w:val="16"/>
              </w:rPr>
              <w:t>0.3-0.4 pages</w:t>
            </w:r>
          </w:p>
        </w:tc>
        <w:tc>
          <w:tcPr>
            <w:tcW w:w="6048" w:type="dxa"/>
            <w:tcMar>
              <w:top w:w="80" w:type="dxa"/>
              <w:left w:w="80" w:type="dxa"/>
              <w:bottom w:w="80" w:type="dxa"/>
              <w:right w:w="80" w:type="dxa"/>
            </w:tcMar>
            <w:vAlign w:val="center"/>
          </w:tcPr>
          <w:p w14:paraId="172B7857" w14:textId="77777777" w:rsidR="00307435" w:rsidRDefault="00000000">
            <w:r>
              <w:rPr>
                <w:sz w:val="16"/>
              </w:rPr>
              <w:t>One principle, one hardware caveat, one future adaptive trigger sentence.</w:t>
            </w:r>
          </w:p>
        </w:tc>
      </w:tr>
      <w:tr w:rsidR="00307435" w14:paraId="1FCEDA53" w14:textId="77777777">
        <w:trPr>
          <w:jc w:val="center"/>
          <w:cantSplit/>
        </w:trPr>
        <w:tc>
          <w:tcPr>
            <w:tcW w:w="2304" w:type="dxa"/>
            <w:shd w:val="clear" w:color="auto" w:fill="F3F7F8"/>
            <w:tcMar>
              <w:top w:w="80" w:type="dxa"/>
              <w:left w:w="80" w:type="dxa"/>
              <w:bottom w:w="80" w:type="dxa"/>
              <w:right w:w="80" w:type="dxa"/>
            </w:tcMar>
            <w:vAlign w:val="center"/>
          </w:tcPr>
          <w:p w14:paraId="15538243" w14:textId="77777777" w:rsidR="00307435" w:rsidRDefault="00000000">
            <w:r>
              <w:rPr>
                <w:sz w:val="16"/>
              </w:rPr>
              <w:t>References</w:t>
            </w:r>
          </w:p>
        </w:tc>
        <w:tc>
          <w:tcPr>
            <w:tcW w:w="1656" w:type="dxa"/>
            <w:shd w:val="clear" w:color="auto" w:fill="F3F7F8"/>
            <w:tcMar>
              <w:top w:w="80" w:type="dxa"/>
              <w:left w:w="80" w:type="dxa"/>
              <w:bottom w:w="80" w:type="dxa"/>
              <w:right w:w="80" w:type="dxa"/>
            </w:tcMar>
            <w:vAlign w:val="center"/>
          </w:tcPr>
          <w:p w14:paraId="3FB901DB" w14:textId="77777777" w:rsidR="00307435" w:rsidRDefault="00000000">
            <w:r>
              <w:rPr>
                <w:sz w:val="16"/>
              </w:rPr>
              <w:t>0.8-1.0 pages</w:t>
            </w:r>
          </w:p>
        </w:tc>
        <w:tc>
          <w:tcPr>
            <w:tcW w:w="6048" w:type="dxa"/>
            <w:shd w:val="clear" w:color="auto" w:fill="F3F7F8"/>
            <w:tcMar>
              <w:top w:w="80" w:type="dxa"/>
              <w:left w:w="80" w:type="dxa"/>
              <w:bottom w:w="80" w:type="dxa"/>
              <w:right w:w="80" w:type="dxa"/>
            </w:tcMar>
            <w:vAlign w:val="center"/>
          </w:tcPr>
          <w:p w14:paraId="37890D45" w14:textId="77777777" w:rsidR="00307435" w:rsidRDefault="00000000">
            <w:r>
              <w:rPr>
                <w:sz w:val="16"/>
              </w:rPr>
              <w:t>Use compact core set; do not cite every inspiration source.</w:t>
            </w:r>
          </w:p>
        </w:tc>
      </w:tr>
    </w:tbl>
    <w:p w14:paraId="5D9A55DA" w14:textId="77777777" w:rsidR="00307435" w:rsidRDefault="00307435">
      <w:pPr>
        <w:spacing w:after="0"/>
      </w:pPr>
    </w:p>
    <w:p>
      <w:pPr>
        <w:pStyle w:val="Heading2"/>
        <w:keepNext/>
      </w:pPr>
      <w:r>
        <w:t>10.4 Copy-ready Results wording</w:t>
      </w:r>
    </w:p>
    <w:tbl>
      <w:tblPr>
        <w:tblW w:w="0" w:type="auto"/>
        <w:jc w:val="center"/>
        <w:tblLook w:val="04A0" w:firstRow="1" w:lastRow="0" w:firstColumn="1" w:lastColumn="0" w:noHBand="0" w:noVBand="1"/>
      </w:tblPr>
      <w:tblGrid>
        <w:gridCol w:w="10282"/>
      </w:tblGrid>
      <w:tr w:rsidR="00307435" w14:paraId="544A843F" w14:textId="77777777">
        <w:trPr>
          <w:jc w:val="center"/>
          <w:cantSplit/>
        </w:trPr>
        <w:tc>
          <w:tcPr>
            <w:tcW w:w="10282" w:type="dxa"/>
            <w:shd w:val="clear" w:color="auto" w:fill="F3F7F8"/>
            <w:tcMar>
              <w:top w:w="140" w:type="dxa"/>
              <w:left w:w="160" w:type="dxa"/>
              <w:bottom w:w="140" w:type="dxa"/>
              <w:right w:w="160" w:type="dxa"/>
            </w:tcMar>
          </w:tcPr>
          <w:p w14:paraId="182BE2F5" w14:textId="77777777" w:rsidR="00307435" w:rsidRDefault="00000000">
            <w:r>
              <w:rPr>
                <w:b/>
                <w:color w:val="183A5A"/>
              </w:rPr>
              <w:t>AGX result paragraph</w:t>
            </w:r>
          </w:p>
          <w:p w14:paraId="66AEA05A" w14:textId="77777777" w:rsidR="00307435" w:rsidRDefault="00000000">
            <w:pPr>
              <w:spacing w:after="0"/>
            </w:pPr>
            <w:r>
              <w:t xml:space="preserve">Count B=4 exhibited a load-dependent service-computation tradeoff. At low load, paired trial-median online release-to-completion latency increased by 3.04-3.61 s across the four allocators, and all contrasts remained significant after the preplanned Holm procedure. At medium load the penalty fell to 0.48-1.67 s while AGX allocator work fell by 16.3-25.2%. At high load, B=4 saved 13.2-41.3% of provider-matched allocator work, while no median service-latency contrast was </w:t>
            </w:r>
            <w:r>
              <w:lastRenderedPageBreak/>
              <w:t>detected. After averaging allocator effects within each common trace, the B=4 high-minus-low change was -2.45 s (Friedman p=0.0024), confirming that the service penalty decreases as arrival pressure rises.</w:t>
            </w:r>
          </w:p>
        </w:tc>
      </w:tr>
    </w:tbl>
    <w:p w14:paraId="49C03FC6" w14:textId="77777777" w:rsidR="00307435" w:rsidRDefault="00307435">
      <w:pPr>
        <w:spacing w:after="0"/>
      </w:pPr>
    </w:p>
    <w:tbl>
      <w:tblPr>
        <w:tblW w:w="0" w:type="auto"/>
        <w:jc w:val="center"/>
        <w:tblLook w:val="04A0" w:firstRow="1" w:lastRow="0" w:firstColumn="1" w:lastColumn="0" w:noHBand="0" w:noVBand="1"/>
      </w:tblPr>
      <w:tblGrid>
        <w:gridCol w:w="10282"/>
      </w:tblGrid>
      <w:tr w:rsidR="00307435" w14:paraId="116A2826" w14:textId="77777777">
        <w:trPr>
          <w:jc w:val="center"/>
          <w:cantSplit/>
        </w:trPr>
        <w:tc>
          <w:tcPr>
            <w:tcW w:w="10282" w:type="dxa"/>
            <w:shd w:val="clear" w:color="auto" w:fill="F3F7F8"/>
            <w:tcMar>
              <w:top w:w="140" w:type="dxa"/>
              <w:left w:w="160" w:type="dxa"/>
              <w:bottom w:w="140" w:type="dxa"/>
              <w:right w:w="160" w:type="dxa"/>
            </w:tcMar>
          </w:tcPr>
          <w:p w14:paraId="6F5B756E" w14:textId="77777777" w:rsidR="00307435" w:rsidRDefault="00000000">
            <w:r>
              <w:rPr>
                <w:b/>
                <w:color w:val="183A5A"/>
              </w:rPr>
              <w:t>Hardware result paragraph</w:t>
            </w:r>
          </w:p>
          <w:p w14:paraId="22B4E962" w14:textId="77777777" w:rsidR="00307435" w:rsidRDefault="00000000">
            <w:pPr>
              <w:spacing w:after="0"/>
            </w:pPr>
            <w:r>
              <w:t>The four-trace RP2040 core showed a descriptive crossover. Trace-averaged B=4 effects were +3.10 to +3.91 s at low load and +0.93 to +3.20 s at medium load, but -29.63 to -24.34 s at high load; every high-load trace favored coalescing. High-load allocator-specific medians ranged from -2.90 s for CBAA to -94.69 s for HIPC. The magnitude was concentrated in the compute-heavy HIPC and PI allocators, and Q95 remained unfavorable for ACBBA and CBAA, so the hardware result supports a compute-pressure-dependent operating regime rather than a universal allocator benefit.</w:t>
            </w:r>
          </w:p>
        </w:tc>
      </w:tr>
    </w:tbl>
    <w:p w14:paraId="30930196" w14:textId="77777777" w:rsidR="00307435" w:rsidRDefault="00307435">
      <w:pPr>
        <w:spacing w:after="0"/>
      </w:pPr>
    </w:p>
    <w:tbl>
      <w:tblPr>
        <w:tblW w:w="0" w:type="auto"/>
        <w:jc w:val="center"/>
        <w:tblLook w:val="04A0" w:firstRow="1" w:lastRow="0" w:firstColumn="1" w:lastColumn="0" w:noHBand="0" w:noVBand="1"/>
      </w:tblPr>
      <w:tblGrid>
        <w:gridCol w:w="10282"/>
      </w:tblGrid>
      <w:tr w:rsidR="00307435" w14:paraId="028D04F6" w14:textId="77777777">
        <w:trPr>
          <w:jc w:val="center"/>
          <w:cantSplit/>
        </w:trPr>
        <w:tc>
          <w:tcPr>
            <w:tcW w:w="10282" w:type="dxa"/>
            <w:shd w:val="clear" w:color="auto" w:fill="F3F7F8"/>
            <w:tcMar>
              <w:top w:w="140" w:type="dxa"/>
              <w:left w:w="160" w:type="dxa"/>
              <w:bottom w:w="140" w:type="dxa"/>
              <w:right w:w="160" w:type="dxa"/>
            </w:tcMar>
          </w:tcPr>
          <w:p w14:paraId="12B0B1C9" w14:textId="77777777" w:rsidR="00307435" w:rsidRDefault="00000000">
            <w:r>
              <w:rPr>
                <w:b/>
                <w:color w:val="183A5A"/>
              </w:rPr>
              <w:t>Mechanism paragraph</w:t>
            </w:r>
          </w:p>
          <w:p w14:paraId="1FA11AC7" w14:textId="77777777" w:rsidR="00307435" w:rsidRDefault="00000000">
            <w:pPr>
              <w:spacing w:after="0"/>
            </w:pPr>
            <w:r>
              <w:t>High-load coalescing did not eliminate scheduler waiting. B=4 added 0.85-1.13 s of mean release-to-admission delay on RP2040, but ACBBA, HIPC, and PI recovered more time after admission than the policy added before admission. HIPC recovered approximately 40.1 s before first assignment and 54.1 s from assignment to completion, yielding a -93.0 s mean end-to-end service effect. Because the latter component includes motion and changed allocation paths, this decomposition is diagnostic rather than a formal compute-delay attribution.</w:t>
            </w:r>
          </w:p>
        </w:tc>
      </w:tr>
    </w:tbl>
    <w:p w14:paraId="7703FB79" w14:textId="77777777" w:rsidR="00307435" w:rsidRDefault="00307435">
      <w:pPr>
        <w:spacing w:after="0"/>
      </w:pPr>
    </w:p>
    <w:p>
      <w:pPr>
        <w:pStyle w:val="Heading1"/>
        <w:keepNext/>
        <w:spacing w:before="240" w:after="100"/>
      </w:pPr>
      <w:r>
        <w:t>11. Claim hierarchy and wording controls</w:t>
      </w:r>
    </w:p>
    <w:tbl>
      <w:tblPr>
        <w:tblStyle w:val="TableGrid"/>
        <w:tblW w:w="0" w:type="auto"/>
        <w:jc w:val="center"/>
        <w:tblLook w:val="04A0" w:firstRow="1" w:lastRow="0" w:firstColumn="1" w:lastColumn="0" w:noHBand="0" w:noVBand="1"/>
      </w:tblPr>
      <w:tblGrid>
        <w:gridCol w:w="1800"/>
        <w:gridCol w:w="4320"/>
        <w:gridCol w:w="4248"/>
      </w:tblGrid>
      <w:tr w:rsidR="00307435" w14:paraId="2B4EFDCF" w14:textId="77777777">
        <w:trPr>
          <w:tblHeader/>
          <w:jc w:val="center"/>
          <w:cantSplit/>
        </w:trPr>
        <w:tc>
          <w:tcPr>
            <w:tcW w:w="1800" w:type="dxa"/>
            <w:shd w:val="clear" w:color="auto" w:fill="183A5A"/>
            <w:tcMar>
              <w:top w:w="80" w:type="dxa"/>
              <w:left w:w="80" w:type="dxa"/>
              <w:bottom w:w="80" w:type="dxa"/>
              <w:right w:w="80" w:type="dxa"/>
            </w:tcMar>
            <w:vAlign w:val="center"/>
          </w:tcPr>
          <w:p w14:paraId="3C563523" w14:textId="77777777" w:rsidR="00307435" w:rsidRDefault="00000000">
            <w:pPr>
              <w:jc w:val="center"/>
            </w:pPr>
            <w:r>
              <w:rPr>
                <w:b/>
                <w:color w:val="FFFFFF"/>
                <w:sz w:val="15"/>
              </w:rPr>
              <w:t>Strength</w:t>
            </w:r>
          </w:p>
        </w:tc>
        <w:tc>
          <w:tcPr>
            <w:tcW w:w="4320" w:type="dxa"/>
            <w:shd w:val="clear" w:color="auto" w:fill="183A5A"/>
            <w:tcMar>
              <w:top w:w="80" w:type="dxa"/>
              <w:left w:w="80" w:type="dxa"/>
              <w:bottom w:w="80" w:type="dxa"/>
              <w:right w:w="80" w:type="dxa"/>
            </w:tcMar>
            <w:vAlign w:val="center"/>
          </w:tcPr>
          <w:p w14:paraId="524162D8" w14:textId="77777777" w:rsidR="00307435" w:rsidRDefault="00000000">
            <w:pPr>
              <w:jc w:val="center"/>
            </w:pPr>
            <w:r>
              <w:rPr>
                <w:b/>
                <w:color w:val="FFFFFF"/>
                <w:sz w:val="15"/>
              </w:rPr>
              <w:t>Paper-safe claim</w:t>
            </w:r>
          </w:p>
        </w:tc>
        <w:tc>
          <w:tcPr>
            <w:tcW w:w="4248" w:type="dxa"/>
            <w:shd w:val="clear" w:color="auto" w:fill="183A5A"/>
            <w:tcMar>
              <w:top w:w="80" w:type="dxa"/>
              <w:left w:w="80" w:type="dxa"/>
              <w:bottom w:w="80" w:type="dxa"/>
              <w:right w:w="80" w:type="dxa"/>
            </w:tcMar>
            <w:vAlign w:val="center"/>
          </w:tcPr>
          <w:p w14:paraId="3179DE39" w14:textId="77777777" w:rsidR="00307435" w:rsidRDefault="00000000">
            <w:pPr>
              <w:jc w:val="center"/>
            </w:pPr>
            <w:r>
              <w:rPr>
                <w:b/>
                <w:color w:val="FFFFFF"/>
                <w:sz w:val="15"/>
              </w:rPr>
              <w:t>Required qualification</w:t>
            </w:r>
          </w:p>
        </w:tc>
      </w:tr>
      <w:tr w:rsidR="00307435" w14:paraId="19CB3A45" w14:textId="77777777">
        <w:trPr>
          <w:jc w:val="center"/>
          <w:cantSplit/>
        </w:trPr>
        <w:tc>
          <w:tcPr>
            <w:tcW w:w="1800" w:type="dxa"/>
            <w:tcMar>
              <w:top w:w="80" w:type="dxa"/>
              <w:left w:w="80" w:type="dxa"/>
              <w:bottom w:w="80" w:type="dxa"/>
              <w:right w:w="80" w:type="dxa"/>
            </w:tcMar>
            <w:vAlign w:val="center"/>
          </w:tcPr>
          <w:p w14:paraId="106BC485" w14:textId="77777777" w:rsidR="00307435" w:rsidRDefault="00000000">
            <w:r>
              <w:rPr>
                <w:sz w:val="15"/>
              </w:rPr>
              <w:t>Strong / general</w:t>
            </w:r>
          </w:p>
        </w:tc>
        <w:tc>
          <w:tcPr>
            <w:tcW w:w="4320" w:type="dxa"/>
            <w:tcMar>
              <w:top w:w="80" w:type="dxa"/>
              <w:left w:w="80" w:type="dxa"/>
              <w:bottom w:w="80" w:type="dxa"/>
              <w:right w:w="80" w:type="dxa"/>
            </w:tcMar>
            <w:vAlign w:val="center"/>
          </w:tcPr>
          <w:p w14:paraId="115EDF63" w14:textId="77777777" w:rsidR="00307435" w:rsidRDefault="00000000">
            <w:r>
              <w:rPr>
                <w:sz w:val="15"/>
              </w:rPr>
              <w:t>The service cost of B=4 decreases with arrival load.</w:t>
            </w:r>
          </w:p>
        </w:tc>
        <w:tc>
          <w:tcPr>
            <w:tcW w:w="4248" w:type="dxa"/>
            <w:tcMar>
              <w:top w:w="80" w:type="dxa"/>
              <w:left w:w="80" w:type="dxa"/>
              <w:bottom w:w="80" w:type="dxa"/>
              <w:right w:w="80" w:type="dxa"/>
            </w:tcMar>
            <w:vAlign w:val="center"/>
          </w:tcPr>
          <w:p w14:paraId="7FAC8DDC" w14:textId="77777777" w:rsidR="00307435" w:rsidRDefault="00000000">
            <w:r>
              <w:rPr>
                <w:sz w:val="15"/>
              </w:rPr>
              <w:t>Supported by trace-blocked AGX load test and consistent low-to-high pattern.</w:t>
            </w:r>
          </w:p>
        </w:tc>
      </w:tr>
      <w:tr w:rsidR="00307435" w14:paraId="4FEE3D1E" w14:textId="77777777">
        <w:trPr>
          <w:jc w:val="center"/>
          <w:cantSplit/>
        </w:trPr>
        <w:tc>
          <w:tcPr>
            <w:tcW w:w="1800" w:type="dxa"/>
            <w:shd w:val="clear" w:color="auto" w:fill="F3F7F8"/>
            <w:tcMar>
              <w:top w:w="80" w:type="dxa"/>
              <w:left w:w="80" w:type="dxa"/>
              <w:bottom w:w="80" w:type="dxa"/>
              <w:right w:w="80" w:type="dxa"/>
            </w:tcMar>
            <w:vAlign w:val="center"/>
          </w:tcPr>
          <w:p w14:paraId="24871A99" w14:textId="77777777" w:rsidR="00307435" w:rsidRDefault="00000000">
            <w:r>
              <w:rPr>
                <w:sz w:val="15"/>
              </w:rPr>
              <w:t>Strong / general</w:t>
            </w:r>
          </w:p>
        </w:tc>
        <w:tc>
          <w:tcPr>
            <w:tcW w:w="4320" w:type="dxa"/>
            <w:shd w:val="clear" w:color="auto" w:fill="F3F7F8"/>
            <w:tcMar>
              <w:top w:w="80" w:type="dxa"/>
              <w:left w:w="80" w:type="dxa"/>
              <w:bottom w:w="80" w:type="dxa"/>
              <w:right w:w="80" w:type="dxa"/>
            </w:tcMar>
            <w:vAlign w:val="center"/>
          </w:tcPr>
          <w:p w14:paraId="6E141587" w14:textId="77777777" w:rsidR="00307435" w:rsidRDefault="00000000">
            <w:r>
              <w:rPr>
                <w:sz w:val="15"/>
              </w:rPr>
              <w:t>At high AGX load, B=4 saves allocator work with no detected median service difference.</w:t>
            </w:r>
          </w:p>
        </w:tc>
        <w:tc>
          <w:tcPr>
            <w:tcW w:w="4248" w:type="dxa"/>
            <w:shd w:val="clear" w:color="auto" w:fill="F3F7F8"/>
            <w:tcMar>
              <w:top w:w="80" w:type="dxa"/>
              <w:left w:w="80" w:type="dxa"/>
              <w:bottom w:w="80" w:type="dxa"/>
              <w:right w:w="80" w:type="dxa"/>
            </w:tcMar>
            <w:vAlign w:val="center"/>
          </w:tcPr>
          <w:p w14:paraId="138AD3DB" w14:textId="77777777" w:rsidR="00307435" w:rsidRDefault="00000000">
            <w:r>
              <w:rPr>
                <w:sz w:val="15"/>
              </w:rPr>
              <w:t>Do not replace “no detected difference” with “equivalent.”</w:t>
            </w:r>
          </w:p>
        </w:tc>
      </w:tr>
      <w:tr w:rsidR="00307435" w14:paraId="7A5DC82D" w14:textId="77777777">
        <w:trPr>
          <w:jc w:val="center"/>
          <w:cantSplit/>
        </w:trPr>
        <w:tc>
          <w:tcPr>
            <w:tcW w:w="1800" w:type="dxa"/>
            <w:tcMar>
              <w:top w:w="80" w:type="dxa"/>
              <w:left w:w="80" w:type="dxa"/>
              <w:bottom w:w="80" w:type="dxa"/>
              <w:right w:w="80" w:type="dxa"/>
            </w:tcMar>
            <w:vAlign w:val="center"/>
          </w:tcPr>
          <w:p w14:paraId="01AB8976" w14:textId="77777777" w:rsidR="00307435" w:rsidRDefault="00000000">
            <w:r>
              <w:rPr>
                <w:sz w:val="15"/>
              </w:rPr>
              <w:t>Moderate / hardware</w:t>
            </w:r>
          </w:p>
        </w:tc>
        <w:tc>
          <w:tcPr>
            <w:tcW w:w="4320" w:type="dxa"/>
            <w:tcMar>
              <w:top w:w="80" w:type="dxa"/>
              <w:left w:w="80" w:type="dxa"/>
              <w:bottom w:w="80" w:type="dxa"/>
              <w:right w:w="80" w:type="dxa"/>
            </w:tcMar>
            <w:vAlign w:val="center"/>
          </w:tcPr>
          <w:p w14:paraId="2CC51403" w14:textId="77777777" w:rsidR="00307435" w:rsidRDefault="00000000">
            <w:r>
              <w:rPr>
                <w:sz w:val="15"/>
              </w:rPr>
              <w:t>High-load B=4 can accelerate online task service on constrained hardware.</w:t>
            </w:r>
          </w:p>
        </w:tc>
        <w:tc>
          <w:tcPr>
            <w:tcW w:w="4248" w:type="dxa"/>
            <w:tcMar>
              <w:top w:w="80" w:type="dxa"/>
              <w:left w:w="80" w:type="dxa"/>
              <w:bottom w:w="80" w:type="dxa"/>
              <w:right w:w="80" w:type="dxa"/>
            </w:tcMar>
            <w:vAlign w:val="center"/>
          </w:tcPr>
          <w:p w14:paraId="1F9D8E03" w14:textId="77777777" w:rsidR="00307435" w:rsidRDefault="00000000">
            <w:r>
              <w:rPr>
                <w:sz w:val="15"/>
              </w:rPr>
              <w:t>Four matched traces; all trace-averaged effects favor B=4; descriptive only.</w:t>
            </w:r>
          </w:p>
        </w:tc>
      </w:tr>
      <w:tr w:rsidR="00307435" w14:paraId="22054809" w14:textId="77777777">
        <w:trPr>
          <w:jc w:val="center"/>
          <w:cantSplit/>
        </w:trPr>
        <w:tc>
          <w:tcPr>
            <w:tcW w:w="1800" w:type="dxa"/>
            <w:shd w:val="clear" w:color="auto" w:fill="F3F7F8"/>
            <w:tcMar>
              <w:top w:w="80" w:type="dxa"/>
              <w:left w:w="80" w:type="dxa"/>
              <w:bottom w:w="80" w:type="dxa"/>
              <w:right w:w="80" w:type="dxa"/>
            </w:tcMar>
            <w:vAlign w:val="center"/>
          </w:tcPr>
          <w:p w14:paraId="7AD5644D" w14:textId="77777777" w:rsidR="00307435" w:rsidRDefault="00000000">
            <w:r>
              <w:rPr>
                <w:sz w:val="15"/>
              </w:rPr>
              <w:t>Moderate / mechanism</w:t>
            </w:r>
          </w:p>
        </w:tc>
        <w:tc>
          <w:tcPr>
            <w:tcW w:w="4320" w:type="dxa"/>
            <w:shd w:val="clear" w:color="auto" w:fill="F3F7F8"/>
            <w:tcMar>
              <w:top w:w="80" w:type="dxa"/>
              <w:left w:w="80" w:type="dxa"/>
              <w:bottom w:w="80" w:type="dxa"/>
              <w:right w:w="80" w:type="dxa"/>
            </w:tcMar>
            <w:vAlign w:val="center"/>
          </w:tcPr>
          <w:p w14:paraId="6775C4D9" w14:textId="77777777" w:rsidR="00307435" w:rsidRDefault="00000000">
            <w:r>
              <w:rPr>
                <w:sz w:val="15"/>
              </w:rPr>
              <w:t>Saved post-admission time can exceed intentional admission waiting.</w:t>
            </w:r>
          </w:p>
        </w:tc>
        <w:tc>
          <w:tcPr>
            <w:tcW w:w="4248" w:type="dxa"/>
            <w:shd w:val="clear" w:color="auto" w:fill="F3F7F8"/>
            <w:tcMar>
              <w:top w:w="80" w:type="dxa"/>
              <w:left w:w="80" w:type="dxa"/>
              <w:bottom w:w="80" w:type="dxa"/>
              <w:right w:w="80" w:type="dxa"/>
            </w:tcMar>
            <w:vAlign w:val="center"/>
          </w:tcPr>
          <w:p w14:paraId="2C0DA1CF" w14:textId="77777777" w:rsidR="00307435" w:rsidRDefault="00000000">
            <w:r>
              <w:rPr>
                <w:sz w:val="15"/>
              </w:rPr>
              <w:t>Supported for ACBBA, HIPC, and PI in mean decomposition.</w:t>
            </w:r>
          </w:p>
        </w:tc>
      </w:tr>
      <w:tr w:rsidR="00307435" w14:paraId="1B3BD958" w14:textId="77777777">
        <w:trPr>
          <w:jc w:val="center"/>
          <w:cantSplit/>
        </w:trPr>
        <w:tc>
          <w:tcPr>
            <w:tcW w:w="1800" w:type="dxa"/>
            <w:tcMar>
              <w:top w:w="80" w:type="dxa"/>
              <w:left w:w="80" w:type="dxa"/>
              <w:bottom w:w="80" w:type="dxa"/>
              <w:right w:w="80" w:type="dxa"/>
            </w:tcMar>
            <w:vAlign w:val="center"/>
          </w:tcPr>
          <w:p w14:paraId="3FA93FD6" w14:textId="77777777" w:rsidR="00307435" w:rsidRDefault="00000000">
            <w:r>
              <w:rPr>
                <w:sz w:val="15"/>
              </w:rPr>
              <w:t>Qualified / design</w:t>
            </w:r>
          </w:p>
        </w:tc>
        <w:tc>
          <w:tcPr>
            <w:tcW w:w="4320" w:type="dxa"/>
            <w:tcMar>
              <w:top w:w="80" w:type="dxa"/>
              <w:left w:w="80" w:type="dxa"/>
              <w:bottom w:w="80" w:type="dxa"/>
              <w:right w:w="80" w:type="dxa"/>
            </w:tcMar>
            <w:vAlign w:val="center"/>
          </w:tcPr>
          <w:p w14:paraId="5B02C1EB" w14:textId="77777777" w:rsidR="00307435" w:rsidRDefault="00000000">
            <w:r>
              <w:rPr>
                <w:sz w:val="15"/>
              </w:rPr>
              <w:t>A five-second bound reduces sparse-arrival harm.</w:t>
            </w:r>
          </w:p>
        </w:tc>
        <w:tc>
          <w:tcPr>
            <w:tcW w:w="4248" w:type="dxa"/>
            <w:tcMar>
              <w:top w:w="80" w:type="dxa"/>
              <w:left w:w="80" w:type="dxa"/>
              <w:bottom w:w="80" w:type="dxa"/>
              <w:right w:w="80" w:type="dxa"/>
            </w:tcMar>
            <w:vAlign w:val="center"/>
          </w:tcPr>
          <w:p w14:paraId="13D631A9" w14:textId="77777777" w:rsidR="00307435" w:rsidRDefault="00000000">
            <w:r>
              <w:rPr>
                <w:sz w:val="15"/>
              </w:rPr>
              <w:t>It reduces but does not eliminate the penalty; no high-load RP2040 bounded evidence.</w:t>
            </w:r>
          </w:p>
        </w:tc>
      </w:tr>
      <w:tr w:rsidR="00307435" w14:paraId="25A86AB2" w14:textId="77777777">
        <w:trPr>
          <w:jc w:val="center"/>
          <w:cantSplit/>
        </w:trPr>
        <w:tc>
          <w:tcPr>
            <w:tcW w:w="1800" w:type="dxa"/>
            <w:shd w:val="clear" w:color="auto" w:fill="F3F7F8"/>
            <w:tcMar>
              <w:top w:w="80" w:type="dxa"/>
              <w:left w:w="80" w:type="dxa"/>
              <w:bottom w:w="80" w:type="dxa"/>
              <w:right w:w="80" w:type="dxa"/>
            </w:tcMar>
            <w:vAlign w:val="center"/>
          </w:tcPr>
          <w:p w14:paraId="620DBA3E" w14:textId="77777777" w:rsidR="00307435" w:rsidRDefault="00000000">
            <w:r>
              <w:rPr>
                <w:sz w:val="15"/>
              </w:rPr>
              <w:t>Qualified / algorithm</w:t>
            </w:r>
          </w:p>
        </w:tc>
        <w:tc>
          <w:tcPr>
            <w:tcW w:w="4320" w:type="dxa"/>
            <w:shd w:val="clear" w:color="auto" w:fill="F3F7F8"/>
            <w:tcMar>
              <w:top w:w="80" w:type="dxa"/>
              <w:left w:w="80" w:type="dxa"/>
              <w:bottom w:w="80" w:type="dxa"/>
              <w:right w:w="80" w:type="dxa"/>
            </w:tcMar>
            <w:vAlign w:val="center"/>
          </w:tcPr>
          <w:p w14:paraId="43AEBBFB" w14:textId="77777777" w:rsidR="00307435" w:rsidRDefault="00000000">
            <w:r>
              <w:rPr>
                <w:sz w:val="15"/>
              </w:rPr>
              <w:t>Compute-heavy allocators benefit more.</w:t>
            </w:r>
          </w:p>
        </w:tc>
        <w:tc>
          <w:tcPr>
            <w:tcW w:w="4248" w:type="dxa"/>
            <w:shd w:val="clear" w:color="auto" w:fill="F3F7F8"/>
            <w:tcMar>
              <w:top w:w="80" w:type="dxa"/>
              <w:left w:w="80" w:type="dxa"/>
              <w:bottom w:w="80" w:type="dxa"/>
              <w:right w:w="80" w:type="dxa"/>
            </w:tcMar>
            <w:vAlign w:val="center"/>
          </w:tcPr>
          <w:p w14:paraId="216E75C2" w14:textId="77777777" w:rsidR="00307435" w:rsidRDefault="00000000">
            <w:r>
              <w:rPr>
                <w:sz w:val="15"/>
              </w:rPr>
              <w:t>HIPC dominates; PI contributes; exact complexity interaction not formally modeled.</w:t>
            </w:r>
          </w:p>
        </w:tc>
      </w:tr>
      <w:tr w:rsidR="00307435" w14:paraId="2573B2EA" w14:textId="77777777">
        <w:trPr>
          <w:jc w:val="center"/>
          <w:cantSplit/>
        </w:trPr>
        <w:tc>
          <w:tcPr>
            <w:tcW w:w="1800" w:type="dxa"/>
            <w:tcMar>
              <w:top w:w="80" w:type="dxa"/>
              <w:left w:w="80" w:type="dxa"/>
              <w:bottom w:w="80" w:type="dxa"/>
              <w:right w:w="80" w:type="dxa"/>
            </w:tcMar>
            <w:vAlign w:val="center"/>
          </w:tcPr>
          <w:p w14:paraId="4911F2A0" w14:textId="77777777" w:rsidR="00307435" w:rsidRDefault="00000000">
            <w:r>
              <w:rPr>
                <w:sz w:val="15"/>
              </w:rPr>
              <w:t>Supporting / architecture</w:t>
            </w:r>
          </w:p>
        </w:tc>
        <w:tc>
          <w:tcPr>
            <w:tcW w:w="4320" w:type="dxa"/>
            <w:tcMar>
              <w:top w:w="80" w:type="dxa"/>
              <w:left w:w="80" w:type="dxa"/>
              <w:bottom w:w="80" w:type="dxa"/>
              <w:right w:w="80" w:type="dxa"/>
            </w:tcMar>
            <w:vAlign w:val="center"/>
          </w:tcPr>
          <w:p w14:paraId="5095B44C" w14:textId="77777777" w:rsidR="00307435" w:rsidRDefault="00000000">
            <w:r>
              <w:rPr>
                <w:sz w:val="15"/>
              </w:rPr>
              <w:t>Fewer epochs do not guarantee fewer calls.</w:t>
            </w:r>
          </w:p>
        </w:tc>
        <w:tc>
          <w:tcPr>
            <w:tcW w:w="4248" w:type="dxa"/>
            <w:tcMar>
              <w:top w:w="80" w:type="dxa"/>
              <w:left w:w="80" w:type="dxa"/>
              <w:bottom w:w="80" w:type="dxa"/>
              <w:right w:w="80" w:type="dxa"/>
            </w:tcMar>
            <w:vAlign w:val="center"/>
          </w:tcPr>
          <w:p w14:paraId="1A32AF17" w14:textId="77777777" w:rsidR="00307435" w:rsidRDefault="00000000">
            <w:r>
              <w:rPr>
                <w:sz w:val="15"/>
              </w:rPr>
              <w:t>True in this scheduler; exact mechanism is architecture-dependent.</w:t>
            </w:r>
          </w:p>
        </w:tc>
      </w:tr>
      <w:tr w:rsidR="00307435" w14:paraId="34A97171" w14:textId="77777777">
        <w:trPr>
          <w:jc w:val="center"/>
          <w:cantSplit/>
        </w:trPr>
        <w:tc>
          <w:tcPr>
            <w:tcW w:w="1800" w:type="dxa"/>
            <w:shd w:val="clear" w:color="auto" w:fill="F3F7F8"/>
            <w:tcMar>
              <w:top w:w="80" w:type="dxa"/>
              <w:left w:w="80" w:type="dxa"/>
              <w:bottom w:w="80" w:type="dxa"/>
              <w:right w:w="80" w:type="dxa"/>
            </w:tcMar>
            <w:vAlign w:val="center"/>
          </w:tcPr>
          <w:p w14:paraId="62A37F44" w14:textId="77777777" w:rsidR="00307435" w:rsidRDefault="00000000">
            <w:r>
              <w:rPr>
                <w:sz w:val="15"/>
              </w:rPr>
              <w:t>Exploratory</w:t>
            </w:r>
          </w:p>
        </w:tc>
        <w:tc>
          <w:tcPr>
            <w:tcW w:w="4320" w:type="dxa"/>
            <w:shd w:val="clear" w:color="auto" w:fill="F3F7F8"/>
            <w:tcMar>
              <w:top w:w="80" w:type="dxa"/>
              <w:left w:w="80" w:type="dxa"/>
              <w:bottom w:w="80" w:type="dxa"/>
              <w:right w:w="80" w:type="dxa"/>
            </w:tcMar>
            <w:vAlign w:val="center"/>
          </w:tcPr>
          <w:p w14:paraId="35563FC0" w14:textId="77777777" w:rsidR="00307435" w:rsidRDefault="00000000">
            <w:r>
              <w:rPr>
                <w:sz w:val="15"/>
              </w:rPr>
              <w:t>Coalescing changes CBAA liveness.</w:t>
            </w:r>
          </w:p>
        </w:tc>
        <w:tc>
          <w:tcPr>
            <w:tcW w:w="4248" w:type="dxa"/>
            <w:shd w:val="clear" w:color="auto" w:fill="F3F7F8"/>
            <w:tcMar>
              <w:top w:w="80" w:type="dxa"/>
              <w:left w:w="80" w:type="dxa"/>
              <w:bottom w:w="80" w:type="dxa"/>
              <w:right w:w="80" w:type="dxa"/>
            </w:tcMar>
            <w:vAlign w:val="center"/>
          </w:tcPr>
          <w:p w14:paraId="48D87FBE" w14:textId="77777777" w:rsidR="00307435" w:rsidRDefault="00000000">
            <w:r>
              <w:rPr>
                <w:sz w:val="15"/>
              </w:rPr>
              <w:t>Finite stagnation horizon and completion selection require caution.</w:t>
            </w:r>
          </w:p>
        </w:tc>
      </w:tr>
    </w:tbl>
    <w:p w14:paraId="6371D896" w14:textId="77777777" w:rsidR="00307435" w:rsidRDefault="00307435">
      <w:pPr>
        <w:spacing w:after="0"/>
      </w:pPr>
    </w:p>
    <w:p>
      <w:pPr>
        <w:pStyle w:val="Heading2"/>
        <w:keepNext/>
      </w:pPr>
      <w:r>
        <w:t>11.1 Wording that should not appear</w:t>
      </w:r>
    </w:p>
    <w:p w14:paraId="0021B4F5" w14:textId="77777777" w:rsidR="00307435" w:rsidRDefault="00000000">
      <w:pPr>
        <w:pStyle w:val="ListBullet"/>
      </w:pPr>
      <w:r>
        <w:t>“Coalescing always reduces computation.” It increases AGX work at low load and can change calls differently from epochs.</w:t>
      </w:r>
    </w:p>
    <w:p w14:paraId="2827D05B" w14:textId="77777777" w:rsidR="00307435" w:rsidRDefault="00000000">
      <w:pPr>
        <w:pStyle w:val="ListBullet"/>
      </w:pPr>
      <w:r>
        <w:t>“B=4 improves task latency on AGX at high load.” The high-load median effects were not detected; non-detection is not proof of benefit or equality.</w:t>
      </w:r>
    </w:p>
    <w:p w14:paraId="1A70F320" w14:textId="77777777" w:rsidR="00307435" w:rsidRDefault="00000000">
      <w:pPr>
        <w:pStyle w:val="ListBullet"/>
      </w:pPr>
      <w:r>
        <w:t>“The hardware experiment has n=104 independent trials.” It has four unique traces repeated across factorial conditions.</w:t>
      </w:r>
    </w:p>
    <w:p w14:paraId="7A2BE019" w14:textId="77777777" w:rsidR="00307435" w:rsidRDefault="00000000">
      <w:pPr>
        <w:pStyle w:val="ListBullet"/>
      </w:pPr>
      <w:r>
        <w:t>“The high-load hardware effect is statistically significant.” No hardware hypothesis test is justified or reported.</w:t>
      </w:r>
    </w:p>
    <w:p w14:paraId="0041183F" w14:textId="77777777" w:rsidR="00307435" w:rsidRDefault="00000000">
      <w:pPr>
        <w:pStyle w:val="ListBullet"/>
      </w:pPr>
      <w:r>
        <w:t>“Processor work saved is mission time saved.” Work is summed over calls and logical robots and can overlap in simulated time.</w:t>
      </w:r>
    </w:p>
    <w:p w14:paraId="5C4BD16C" w14:textId="77777777" w:rsidR="00307435" w:rsidRDefault="00000000">
      <w:pPr>
        <w:pStyle w:val="ListBullet"/>
      </w:pPr>
      <w:r>
        <w:t>“The decomposition proves that computation caused the entire gain.” Assignment-to-completion includes route and task-choice effects.</w:t>
      </w:r>
    </w:p>
    <w:p w14:paraId="63AE0057" w14:textId="77777777" w:rsidR="00307435" w:rsidRDefault="00000000">
      <w:pPr>
        <w:pStyle w:val="ListBullet"/>
      </w:pPr>
      <w:r>
        <w:lastRenderedPageBreak/>
        <w:t>“Bounded B=4 is the universally best policy.” It mitigates low-load harm in this matrix; it is not fully tested at high hardware load.</w:t>
      </w:r>
    </w:p>
    <w:p w14:paraId="254FE53F" w14:textId="77777777" w:rsidR="00307435" w:rsidRDefault="00000000">
      <w:pPr>
        <w:pStyle w:val="ListBullet"/>
      </w:pPr>
      <w:r>
        <w:t>“Coalescing fixes CBAA failures.” CBAA latency is conditional on both-completed pairs and liveness remains secondary.</w:t>
      </w:r>
    </w:p>
    <w:p>
      <w:pPr>
        <w:pStyle w:val="Heading1"/>
        <w:keepNext/>
        <w:spacing w:before="240" w:after="100"/>
      </w:pPr>
      <w:r>
        <w:t>12. Exact source and derivation map</w:t>
      </w:r>
    </w:p>
    <w:tbl>
      <w:tblPr>
        <w:tblStyle w:val="TableGrid"/>
        <w:tblW w:w="0" w:type="auto"/>
        <w:jc w:val="center"/>
        <w:tblLook w:val="04A0" w:firstRow="1" w:lastRow="0" w:firstColumn="1" w:lastColumn="0" w:noHBand="0" w:noVBand="1"/>
      </w:tblPr>
      <w:tblGrid>
        <w:gridCol w:w="2149"/>
        <w:gridCol w:w="3662"/>
        <w:gridCol w:w="4631"/>
      </w:tblGrid>
      <w:tr w:rsidR="00307435" w14:paraId="666B834C" w14:textId="77777777">
        <w:trPr>
          <w:tblHeader/>
          <w:jc w:val="center"/>
          <w:cantSplit/>
        </w:trPr>
        <w:tc>
          <w:tcPr>
            <w:tcW w:w="2160" w:type="dxa"/>
            <w:shd w:val="clear" w:color="auto" w:fill="183A5A"/>
            <w:tcMar>
              <w:top w:w="80" w:type="dxa"/>
              <w:left w:w="80" w:type="dxa"/>
              <w:bottom w:w="80" w:type="dxa"/>
              <w:right w:w="80" w:type="dxa"/>
            </w:tcMar>
            <w:vAlign w:val="center"/>
          </w:tcPr>
          <w:p w14:paraId="5F2138C2" w14:textId="77777777" w:rsidR="00307435" w:rsidRDefault="00000000">
            <w:pPr>
              <w:jc w:val="center"/>
            </w:pPr>
            <w:r>
              <w:rPr>
                <w:b/>
                <w:color w:val="FFFFFF"/>
                <w:sz w:val="14"/>
              </w:rPr>
              <w:t>Result / purpose</w:t>
            </w:r>
          </w:p>
        </w:tc>
        <w:tc>
          <w:tcPr>
            <w:tcW w:w="3672" w:type="dxa"/>
            <w:shd w:val="clear" w:color="auto" w:fill="183A5A"/>
            <w:tcMar>
              <w:top w:w="80" w:type="dxa"/>
              <w:left w:w="80" w:type="dxa"/>
              <w:bottom w:w="80" w:type="dxa"/>
              <w:right w:w="80" w:type="dxa"/>
            </w:tcMar>
            <w:vAlign w:val="center"/>
          </w:tcPr>
          <w:p w14:paraId="188B41B2" w14:textId="77777777" w:rsidR="00307435" w:rsidRDefault="00000000">
            <w:pPr>
              <w:jc w:val="center"/>
            </w:pPr>
            <w:r>
              <w:rPr>
                <w:b/>
                <w:color w:val="FFFFFF"/>
                <w:sz w:val="14"/>
              </w:rPr>
              <w:t>Primary file(s)</w:t>
            </w:r>
          </w:p>
        </w:tc>
        <w:tc>
          <w:tcPr>
            <w:tcW w:w="4680" w:type="dxa"/>
            <w:shd w:val="clear" w:color="auto" w:fill="183A5A"/>
            <w:tcMar>
              <w:top w:w="80" w:type="dxa"/>
              <w:left w:w="80" w:type="dxa"/>
              <w:bottom w:w="80" w:type="dxa"/>
              <w:right w:w="80" w:type="dxa"/>
            </w:tcMar>
            <w:vAlign w:val="center"/>
          </w:tcPr>
          <w:p w14:paraId="31640DA0" w14:textId="77777777" w:rsidR="00307435" w:rsidRDefault="00000000">
            <w:pPr>
              <w:jc w:val="center"/>
            </w:pPr>
            <w:r>
              <w:rPr>
                <w:b/>
                <w:color w:val="FFFFFF"/>
                <w:sz w:val="14"/>
              </w:rPr>
              <w:t>How the number is derived</w:t>
            </w:r>
          </w:p>
        </w:tc>
      </w:tr>
      <w:tr w:rsidR="00307435" w14:paraId="6F2D3EBF" w14:textId="77777777">
        <w:trPr>
          <w:jc w:val="center"/>
          <w:cantSplit/>
        </w:trPr>
        <w:tc>
          <w:tcPr>
            <w:tcW w:w="2160" w:type="dxa"/>
            <w:tcMar>
              <w:top w:w="80" w:type="dxa"/>
              <w:left w:w="80" w:type="dxa"/>
              <w:bottom w:w="80" w:type="dxa"/>
              <w:right w:w="80" w:type="dxa"/>
            </w:tcMar>
            <w:vAlign w:val="center"/>
          </w:tcPr>
          <w:p w14:paraId="4598E216" w14:textId="77777777" w:rsidR="00307435" w:rsidRDefault="00000000">
            <w:r>
              <w:rPr>
                <w:sz w:val="14"/>
              </w:rPr>
              <w:t>Experiment matrix and provenance</w:t>
            </w:r>
          </w:p>
        </w:tc>
        <w:tc>
          <w:tcPr>
            <w:tcW w:w="3672" w:type="dxa"/>
            <w:tcMar>
              <w:top w:w="80" w:type="dxa"/>
              <w:left w:w="80" w:type="dxa"/>
              <w:bottom w:w="80" w:type="dxa"/>
              <w:right w:w="80" w:type="dxa"/>
            </w:tcMar>
            <w:vAlign w:val="center"/>
          </w:tcPr>
          <w:p w14:paraId="152639EA" w14:textId="77777777" w:rsidR="00307435" w:rsidRDefault="00000000">
            <w:r>
              <w:rPr>
                <w:sz w:val="14"/>
              </w:rPr>
              <w:t>export_manifest.json; BUILD_REPORT.md; matrix_coverage.csv</w:t>
            </w:r>
          </w:p>
        </w:tc>
        <w:tc>
          <w:tcPr>
            <w:tcW w:w="4680" w:type="dxa"/>
            <w:tcMar>
              <w:top w:w="80" w:type="dxa"/>
              <w:left w:w="80" w:type="dxa"/>
              <w:bottom w:w="80" w:type="dxa"/>
              <w:right w:w="80" w:type="dxa"/>
            </w:tcMar>
            <w:vAlign w:val="center"/>
          </w:tcPr>
          <w:p w14:paraId="76888A44" w14:textId="77777777" w:rsidR="00307435" w:rsidRDefault="00000000">
            <w:r>
              <w:rPr>
                <w:sz w:val="14"/>
              </w:rPr>
              <w:t>Counts, hashes, campaign roots, 35/0 validation status, zero reconciliation mismatches.</w:t>
            </w:r>
          </w:p>
        </w:tc>
      </w:tr>
      <w:tr w:rsidR="00307435" w14:paraId="2F8D1224" w14:textId="77777777">
        <w:trPr>
          <w:jc w:val="center"/>
          <w:cantSplit/>
        </w:trPr>
        <w:tc>
          <w:tcPr>
            <w:tcW w:w="2160" w:type="dxa"/>
            <w:shd w:val="clear" w:color="auto" w:fill="F3F7F8"/>
            <w:tcMar>
              <w:top w:w="80" w:type="dxa"/>
              <w:left w:w="80" w:type="dxa"/>
              <w:bottom w:w="80" w:type="dxa"/>
              <w:right w:w="80" w:type="dxa"/>
            </w:tcMar>
            <w:vAlign w:val="center"/>
          </w:tcPr>
          <w:p w14:paraId="35CD22E4" w14:textId="77777777" w:rsidR="00307435" w:rsidRDefault="00000000">
            <w:r>
              <w:rPr>
                <w:sz w:val="14"/>
              </w:rPr>
              <w:t>Trial-level task and mechanism metrics</w:t>
            </w:r>
          </w:p>
        </w:tc>
        <w:tc>
          <w:tcPr>
            <w:tcW w:w="3672" w:type="dxa"/>
            <w:shd w:val="clear" w:color="auto" w:fill="F3F7F8"/>
            <w:tcMar>
              <w:top w:w="80" w:type="dxa"/>
              <w:left w:w="80" w:type="dxa"/>
              <w:bottom w:w="80" w:type="dxa"/>
              <w:right w:w="80" w:type="dxa"/>
            </w:tcMar>
            <w:vAlign w:val="center"/>
          </w:tcPr>
          <w:p w14:paraId="19C06843" w14:textId="77777777" w:rsidR="00307435" w:rsidRDefault="00000000">
            <w:r>
              <w:rPr>
                <w:sz w:val="14"/>
              </w:rPr>
              <w:t>trial_mechanism_summary.csv</w:t>
            </w:r>
          </w:p>
        </w:tc>
        <w:tc>
          <w:tcPr>
            <w:tcW w:w="4680" w:type="dxa"/>
            <w:shd w:val="clear" w:color="auto" w:fill="F3F7F8"/>
            <w:tcMar>
              <w:top w:w="80" w:type="dxa"/>
              <w:left w:w="80" w:type="dxa"/>
              <w:bottom w:w="80" w:type="dxa"/>
              <w:right w:w="80" w:type="dxa"/>
            </w:tcMar>
            <w:vAlign w:val="center"/>
          </w:tcPr>
          <w:p w14:paraId="056C873E" w14:textId="77777777" w:rsidR="00307435" w:rsidRDefault="00000000">
            <w:r>
              <w:rPr>
                <w:sz w:val="14"/>
              </w:rPr>
              <w:t>One row per causal/zero trial; online/all/initial latency summaries, work, calls, epochs, completion, steps.</w:t>
            </w:r>
          </w:p>
        </w:tc>
      </w:tr>
      <w:tr w:rsidR="00307435" w14:paraId="79BE4AB6" w14:textId="77777777">
        <w:trPr>
          <w:jc w:val="center"/>
          <w:cantSplit/>
        </w:trPr>
        <w:tc>
          <w:tcPr>
            <w:tcW w:w="2160" w:type="dxa"/>
            <w:tcMar>
              <w:top w:w="80" w:type="dxa"/>
              <w:left w:w="80" w:type="dxa"/>
              <w:bottom w:w="80" w:type="dxa"/>
              <w:right w:w="80" w:type="dxa"/>
            </w:tcMar>
            <w:vAlign w:val="center"/>
          </w:tcPr>
          <w:p w14:paraId="51FDC6E5" w14:textId="77777777" w:rsidR="00307435" w:rsidRDefault="00000000">
            <w:r>
              <w:rPr>
                <w:sz w:val="14"/>
              </w:rPr>
              <w:t>Primary AGX policy inference</w:t>
            </w:r>
          </w:p>
        </w:tc>
        <w:tc>
          <w:tcPr>
            <w:tcW w:w="3672" w:type="dxa"/>
            <w:tcMar>
              <w:top w:w="80" w:type="dxa"/>
              <w:left w:w="80" w:type="dxa"/>
              <w:bottom w:w="80" w:type="dxa"/>
              <w:right w:w="80" w:type="dxa"/>
            </w:tcMar>
            <w:vAlign w:val="center"/>
          </w:tcPr>
          <w:p w14:paraId="0FC4148A" w14:textId="77777777" w:rsidR="00307435" w:rsidRDefault="00000000">
            <w:r>
              <w:rPr>
                <w:sz w:val="14"/>
              </w:rPr>
              <w:t>task_latency_inference.csv</w:t>
            </w:r>
          </w:p>
        </w:tc>
        <w:tc>
          <w:tcPr>
            <w:tcW w:w="4680" w:type="dxa"/>
            <w:tcMar>
              <w:top w:w="80" w:type="dxa"/>
              <w:left w:w="80" w:type="dxa"/>
              <w:bottom w:w="80" w:type="dxa"/>
              <w:right w:w="80" w:type="dxa"/>
            </w:tcMar>
            <w:vAlign w:val="center"/>
          </w:tcPr>
          <w:p w14:paraId="7054A156" w14:textId="77777777" w:rsidR="00307435" w:rsidRDefault="00000000">
            <w:r>
              <w:rPr>
                <w:sz w:val="14"/>
              </w:rPr>
              <w:t>Filter: causal, agx_host_proxy, B=4 vs Eager, online median/Q95, both-completed pairs. Friedman, Wilcoxon-Holm, bootstrap CI.</w:t>
            </w:r>
          </w:p>
        </w:tc>
      </w:tr>
      <w:tr w:rsidR="00307435" w14:paraId="042DAADB" w14:textId="77777777">
        <w:trPr>
          <w:jc w:val="center"/>
          <w:cantSplit/>
        </w:trPr>
        <w:tc>
          <w:tcPr>
            <w:tcW w:w="2160" w:type="dxa"/>
            <w:shd w:val="clear" w:color="auto" w:fill="F3F7F8"/>
            <w:tcMar>
              <w:top w:w="80" w:type="dxa"/>
              <w:left w:w="80" w:type="dxa"/>
              <w:bottom w:w="80" w:type="dxa"/>
              <w:right w:w="80" w:type="dxa"/>
            </w:tcMar>
            <w:vAlign w:val="center"/>
          </w:tcPr>
          <w:p w14:paraId="14452CAB" w14:textId="77777777" w:rsidR="00307435" w:rsidRDefault="00000000">
            <w:r>
              <w:rPr>
                <w:sz w:val="14"/>
              </w:rPr>
              <w:t>Main AGX tradeoff figure</w:t>
            </w:r>
          </w:p>
        </w:tc>
        <w:tc>
          <w:tcPr>
            <w:tcW w:w="3672" w:type="dxa"/>
            <w:shd w:val="clear" w:color="auto" w:fill="F3F7F8"/>
            <w:tcMar>
              <w:top w:w="80" w:type="dxa"/>
              <w:left w:w="80" w:type="dxa"/>
              <w:bottom w:w="80" w:type="dxa"/>
              <w:right w:w="80" w:type="dxa"/>
            </w:tcMar>
            <w:vAlign w:val="center"/>
          </w:tcPr>
          <w:p w14:paraId="3CCF5C09" w14:textId="77777777" w:rsidR="00307435" w:rsidRDefault="00000000">
            <w:r>
              <w:rPr>
                <w:sz w:val="14"/>
              </w:rPr>
              <w:t>figure_data_main_agx_tradeoff.csv</w:t>
            </w:r>
          </w:p>
        </w:tc>
        <w:tc>
          <w:tcPr>
            <w:tcW w:w="4680" w:type="dxa"/>
            <w:shd w:val="clear" w:color="auto" w:fill="F3F7F8"/>
            <w:tcMar>
              <w:top w:w="80" w:type="dxa"/>
              <w:left w:w="80" w:type="dxa"/>
              <w:bottom w:w="80" w:type="dxa"/>
              <w:right w:w="80" w:type="dxa"/>
            </w:tcMar>
            <w:vAlign w:val="center"/>
          </w:tcPr>
          <w:p w14:paraId="7A0A9CC8" w14:textId="77777777" w:rsidR="00307435" w:rsidRDefault="00000000">
            <w:r>
              <w:rPr>
                <w:sz w:val="14"/>
              </w:rPr>
              <w:t>X = paired median online service Delta; Y = percent AGX work saved; labels by allocator/load.</w:t>
            </w:r>
          </w:p>
        </w:tc>
      </w:tr>
      <w:tr w:rsidR="00307435" w14:paraId="25FC0808" w14:textId="77777777">
        <w:trPr>
          <w:jc w:val="center"/>
          <w:cantSplit/>
        </w:trPr>
        <w:tc>
          <w:tcPr>
            <w:tcW w:w="2160" w:type="dxa"/>
            <w:tcMar>
              <w:top w:w="80" w:type="dxa"/>
              <w:left w:w="80" w:type="dxa"/>
              <w:bottom w:w="80" w:type="dxa"/>
              <w:right w:w="80" w:type="dxa"/>
            </w:tcMar>
            <w:vAlign w:val="center"/>
          </w:tcPr>
          <w:p w14:paraId="67005352" w14:textId="77777777" w:rsidR="00307435" w:rsidRDefault="00000000">
            <w:r>
              <w:rPr>
                <w:sz w:val="14"/>
              </w:rPr>
              <w:t>Exact RP2040 core</w:t>
            </w:r>
          </w:p>
        </w:tc>
        <w:tc>
          <w:tcPr>
            <w:tcW w:w="3672" w:type="dxa"/>
            <w:tcMar>
              <w:top w:w="80" w:type="dxa"/>
              <w:left w:w="80" w:type="dxa"/>
              <w:bottom w:w="80" w:type="dxa"/>
              <w:right w:w="80" w:type="dxa"/>
            </w:tcMar>
            <w:vAlign w:val="center"/>
          </w:tcPr>
          <w:p w14:paraId="128960BC" w14:textId="77777777" w:rsidR="00307435" w:rsidRDefault="00000000">
            <w:r>
              <w:rPr>
                <w:sz w:val="14"/>
              </w:rPr>
              <w:t>hardware_b4_online_service_latency.csv</w:t>
            </w:r>
          </w:p>
        </w:tc>
        <w:tc>
          <w:tcPr>
            <w:tcW w:w="4680" w:type="dxa"/>
            <w:tcMar>
              <w:top w:w="80" w:type="dxa"/>
              <w:left w:w="80" w:type="dxa"/>
              <w:bottom w:w="80" w:type="dxa"/>
              <w:right w:w="80" w:type="dxa"/>
            </w:tcMar>
            <w:vAlign w:val="center"/>
          </w:tcPr>
          <w:p w14:paraId="3B50CE02" w14:textId="77777777" w:rsidR="00307435" w:rsidRDefault="00000000">
            <w:r>
              <w:rPr>
                <w:sz w:val="14"/>
              </w:rPr>
              <w:t>Exactly 48 Eager/B=4 pairs; board match, all four trace values, median/Q95/mean, work, calls, mission, steps.</w:t>
            </w:r>
          </w:p>
        </w:tc>
      </w:tr>
      <w:tr w:rsidR="00307435" w14:paraId="6E6C8F88" w14:textId="77777777">
        <w:trPr>
          <w:jc w:val="center"/>
          <w:cantSplit/>
        </w:trPr>
        <w:tc>
          <w:tcPr>
            <w:tcW w:w="2160" w:type="dxa"/>
            <w:shd w:val="clear" w:color="auto" w:fill="F3F7F8"/>
            <w:tcMar>
              <w:top w:w="80" w:type="dxa"/>
              <w:left w:w="80" w:type="dxa"/>
              <w:bottom w:w="80" w:type="dxa"/>
              <w:right w:w="80" w:type="dxa"/>
            </w:tcMar>
            <w:vAlign w:val="center"/>
          </w:tcPr>
          <w:p w14:paraId="50CCE48F" w14:textId="77777777" w:rsidR="00307435" w:rsidRDefault="00000000">
            <w:r>
              <w:rPr>
                <w:sz w:val="14"/>
              </w:rPr>
              <w:t>Hardware crossover figure</w:t>
            </w:r>
          </w:p>
        </w:tc>
        <w:tc>
          <w:tcPr>
            <w:tcW w:w="3672" w:type="dxa"/>
            <w:shd w:val="clear" w:color="auto" w:fill="F3F7F8"/>
            <w:tcMar>
              <w:top w:w="80" w:type="dxa"/>
              <w:left w:w="80" w:type="dxa"/>
              <w:bottom w:w="80" w:type="dxa"/>
              <w:right w:w="80" w:type="dxa"/>
            </w:tcMar>
            <w:vAlign w:val="center"/>
          </w:tcPr>
          <w:p w14:paraId="5F6930FE" w14:textId="77777777" w:rsidR="00307435" w:rsidRDefault="00000000">
            <w:r>
              <w:rPr>
                <w:sz w:val="14"/>
              </w:rPr>
              <w:t>figure_data_hardware_crossover.csv</w:t>
            </w:r>
          </w:p>
        </w:tc>
        <w:tc>
          <w:tcPr>
            <w:tcW w:w="4680" w:type="dxa"/>
            <w:shd w:val="clear" w:color="auto" w:fill="F3F7F8"/>
            <w:tcMar>
              <w:top w:w="80" w:type="dxa"/>
              <w:left w:w="80" w:type="dxa"/>
              <w:bottom w:w="80" w:type="dxa"/>
              <w:right w:w="80" w:type="dxa"/>
            </w:tcMar>
            <w:vAlign w:val="center"/>
          </w:tcPr>
          <w:p w14:paraId="61896174" w14:textId="77777777" w:rsidR="00307435" w:rsidRDefault="00000000">
            <w:r>
              <w:rPr>
                <w:sz w:val="14"/>
              </w:rPr>
              <w:t>Contains exact rows plus algorithm and trace-averaged summaries.</w:t>
            </w:r>
          </w:p>
        </w:tc>
      </w:tr>
      <w:tr w:rsidR="00307435" w14:paraId="49D3B4B9" w14:textId="77777777">
        <w:trPr>
          <w:jc w:val="center"/>
          <w:cantSplit/>
        </w:trPr>
        <w:tc>
          <w:tcPr>
            <w:tcW w:w="2160" w:type="dxa"/>
            <w:tcMar>
              <w:top w:w="80" w:type="dxa"/>
              <w:left w:w="80" w:type="dxa"/>
              <w:bottom w:w="80" w:type="dxa"/>
              <w:right w:w="80" w:type="dxa"/>
            </w:tcMar>
            <w:vAlign w:val="center"/>
          </w:tcPr>
          <w:p w14:paraId="55CB3FED" w14:textId="77777777" w:rsidR="00307435" w:rsidRDefault="00000000">
            <w:r>
              <w:rPr>
                <w:sz w:val="14"/>
              </w:rPr>
              <w:t>Latency decomposition</w:t>
            </w:r>
          </w:p>
        </w:tc>
        <w:tc>
          <w:tcPr>
            <w:tcW w:w="3672" w:type="dxa"/>
            <w:tcMar>
              <w:top w:w="80" w:type="dxa"/>
              <w:left w:w="80" w:type="dxa"/>
              <w:bottom w:w="80" w:type="dxa"/>
              <w:right w:w="80" w:type="dxa"/>
            </w:tcMar>
            <w:vAlign w:val="center"/>
          </w:tcPr>
          <w:p w14:paraId="71605A1C" w14:textId="77777777" w:rsidR="00307435" w:rsidRDefault="00000000">
            <w:r>
              <w:rPr>
                <w:sz w:val="14"/>
              </w:rPr>
              <w:t>task_latency_decomposition_summary.csv</w:t>
            </w:r>
          </w:p>
        </w:tc>
        <w:tc>
          <w:tcPr>
            <w:tcW w:w="4680" w:type="dxa"/>
            <w:tcMar>
              <w:top w:w="80" w:type="dxa"/>
              <w:left w:w="80" w:type="dxa"/>
              <w:bottom w:w="80" w:type="dxa"/>
              <w:right w:w="80" w:type="dxa"/>
            </w:tcMar>
            <w:vAlign w:val="center"/>
          </w:tcPr>
          <w:p w14:paraId="186DDD69" w14:textId="77777777" w:rsidR="00307435" w:rsidRDefault="00000000">
            <w:r>
              <w:rPr>
                <w:sz w:val="14"/>
              </w:rPr>
              <w:t>Paired mean component Deltas and ratio-of-sums shares; use any-source assignment.</w:t>
            </w:r>
          </w:p>
        </w:tc>
      </w:tr>
      <w:tr w:rsidR="00307435" w14:paraId="082A4253" w14:textId="77777777">
        <w:trPr>
          <w:jc w:val="center"/>
          <w:cantSplit/>
        </w:trPr>
        <w:tc>
          <w:tcPr>
            <w:tcW w:w="2160" w:type="dxa"/>
            <w:shd w:val="clear" w:color="auto" w:fill="F3F7F8"/>
            <w:tcMar>
              <w:top w:w="80" w:type="dxa"/>
              <w:left w:w="80" w:type="dxa"/>
              <w:bottom w:w="80" w:type="dxa"/>
              <w:right w:w="80" w:type="dxa"/>
            </w:tcMar>
            <w:vAlign w:val="center"/>
          </w:tcPr>
          <w:p w14:paraId="59C90428" w14:textId="77777777" w:rsidR="00307435" w:rsidRDefault="00000000">
            <w:r>
              <w:rPr>
                <w:sz w:val="14"/>
              </w:rPr>
              <w:t>Bounded policy</w:t>
            </w:r>
          </w:p>
        </w:tc>
        <w:tc>
          <w:tcPr>
            <w:tcW w:w="3672" w:type="dxa"/>
            <w:shd w:val="clear" w:color="auto" w:fill="F3F7F8"/>
            <w:tcMar>
              <w:top w:w="80" w:type="dxa"/>
              <w:left w:w="80" w:type="dxa"/>
              <w:bottom w:w="80" w:type="dxa"/>
              <w:right w:w="80" w:type="dxa"/>
            </w:tcMar>
            <w:vAlign w:val="center"/>
          </w:tcPr>
          <w:p w14:paraId="0FB16267" w14:textId="77777777" w:rsidR="00307435" w:rsidRDefault="00000000">
            <w:r>
              <w:rPr>
                <w:sz w:val="14"/>
              </w:rPr>
              <w:t>figure_data_bounded_policy.csv; policy_pairwise_same_provider_extended.csv</w:t>
            </w:r>
          </w:p>
        </w:tc>
        <w:tc>
          <w:tcPr>
            <w:tcW w:w="4680" w:type="dxa"/>
            <w:shd w:val="clear" w:color="auto" w:fill="F3F7F8"/>
            <w:tcMar>
              <w:top w:w="80" w:type="dxa"/>
              <w:left w:w="80" w:type="dxa"/>
              <w:bottom w:w="80" w:type="dxa"/>
              <w:right w:w="80" w:type="dxa"/>
            </w:tcMar>
            <w:vAlign w:val="center"/>
          </w:tcPr>
          <w:p w14:paraId="2318C42A" w14:textId="77777777" w:rsidR="00307435" w:rsidRDefault="00000000">
            <w:r>
              <w:rPr>
                <w:sz w:val="14"/>
              </w:rPr>
              <w:t>Eager/B=4/bounded same-provider comparisons by allocator and load.</w:t>
            </w:r>
          </w:p>
        </w:tc>
      </w:tr>
      <w:tr w:rsidR="00307435" w14:paraId="7D605AEE" w14:textId="77777777">
        <w:trPr>
          <w:jc w:val="center"/>
          <w:cantSplit/>
        </w:trPr>
        <w:tc>
          <w:tcPr>
            <w:tcW w:w="2160" w:type="dxa"/>
            <w:tcMar>
              <w:top w:w="80" w:type="dxa"/>
              <w:left w:w="80" w:type="dxa"/>
              <w:bottom w:w="80" w:type="dxa"/>
              <w:right w:w="80" w:type="dxa"/>
            </w:tcMar>
            <w:vAlign w:val="center"/>
          </w:tcPr>
          <w:p w14:paraId="583F0D11" w14:textId="77777777" w:rsidR="00307435" w:rsidRDefault="00000000">
            <w:r>
              <w:rPr>
                <w:sz w:val="14"/>
              </w:rPr>
              <w:t>Call/epoch mechanism</w:t>
            </w:r>
          </w:p>
        </w:tc>
        <w:tc>
          <w:tcPr>
            <w:tcW w:w="3672" w:type="dxa"/>
            <w:tcMar>
              <w:top w:w="80" w:type="dxa"/>
              <w:left w:w="80" w:type="dxa"/>
              <w:bottom w:w="80" w:type="dxa"/>
              <w:right w:w="80" w:type="dxa"/>
            </w:tcMar>
            <w:vAlign w:val="center"/>
          </w:tcPr>
          <w:p w14:paraId="05E537BF" w14:textId="77777777" w:rsidR="00307435" w:rsidRDefault="00000000">
            <w:r>
              <w:rPr>
                <w:sz w:val="14"/>
              </w:rPr>
              <w:t>call_epoch_trial_summary.csv; epoch_level_causal_part01.csv.gz; epoch_level_zero_part01.csv.gz</w:t>
            </w:r>
          </w:p>
        </w:tc>
        <w:tc>
          <w:tcPr>
            <w:tcW w:w="4680" w:type="dxa"/>
            <w:tcMar>
              <w:top w:w="80" w:type="dxa"/>
              <w:left w:w="80" w:type="dxa"/>
              <w:bottom w:w="80" w:type="dxa"/>
              <w:right w:w="80" w:type="dxa"/>
            </w:tcMar>
            <w:vAlign w:val="center"/>
          </w:tcPr>
          <w:p w14:paraId="45984373" w14:textId="77777777" w:rsidR="00307435" w:rsidRDefault="00000000">
            <w:r>
              <w:rPr>
                <w:sz w:val="14"/>
              </w:rPr>
              <w:t>Call class, epoch reason, first-round/post-closure status, active tasks, goal changes, provider work.</w:t>
            </w:r>
          </w:p>
        </w:tc>
      </w:tr>
      <w:tr w:rsidR="00307435" w14:paraId="3AC9B656" w14:textId="77777777">
        <w:trPr>
          <w:jc w:val="center"/>
          <w:cantSplit/>
        </w:trPr>
        <w:tc>
          <w:tcPr>
            <w:tcW w:w="2160" w:type="dxa"/>
            <w:shd w:val="clear" w:color="auto" w:fill="F3F7F8"/>
            <w:tcMar>
              <w:top w:w="80" w:type="dxa"/>
              <w:left w:w="80" w:type="dxa"/>
              <w:bottom w:w="80" w:type="dxa"/>
              <w:right w:w="80" w:type="dxa"/>
            </w:tcMar>
            <w:vAlign w:val="center"/>
          </w:tcPr>
          <w:p w14:paraId="748D5997" w14:textId="77777777" w:rsidR="00307435" w:rsidRDefault="00000000">
            <w:r>
              <w:rPr>
                <w:sz w:val="14"/>
              </w:rPr>
              <w:t>Hardware complexity/parity</w:t>
            </w:r>
          </w:p>
        </w:tc>
        <w:tc>
          <w:tcPr>
            <w:tcW w:w="3672" w:type="dxa"/>
            <w:shd w:val="clear" w:color="auto" w:fill="F3F7F8"/>
            <w:tcMar>
              <w:top w:w="80" w:type="dxa"/>
              <w:left w:w="80" w:type="dxa"/>
              <w:bottom w:w="80" w:type="dxa"/>
              <w:right w:w="80" w:type="dxa"/>
            </w:tcMar>
            <w:vAlign w:val="center"/>
          </w:tcPr>
          <w:p w14:paraId="6DB2DCE1" w14:textId="77777777" w:rsidR="00307435" w:rsidRDefault="00000000">
            <w:r>
              <w:rPr>
                <w:sz w:val="14"/>
              </w:rPr>
              <w:t>hardware_call_complexity_summary.csv; hardware_call_level.csv.gz; hardware_summary.csv</w:t>
            </w:r>
          </w:p>
        </w:tc>
        <w:tc>
          <w:tcPr>
            <w:tcW w:w="4680" w:type="dxa"/>
            <w:shd w:val="clear" w:color="auto" w:fill="F3F7F8"/>
            <w:tcMar>
              <w:top w:w="80" w:type="dxa"/>
              <w:left w:w="80" w:type="dxa"/>
              <w:bottom w:w="80" w:type="dxa"/>
              <w:right w:w="80" w:type="dxa"/>
            </w:tcMar>
            <w:vAlign w:val="center"/>
          </w:tcPr>
          <w:p w14:paraId="01D09AA7" w14:textId="77777777" w:rsidR="00307435" w:rsidRDefault="00000000">
            <w:r>
              <w:rPr>
                <w:sz w:val="14"/>
              </w:rPr>
              <w:t>RP2040/AGX ratios, per-call complexity, parity and provider metadata.</w:t>
            </w:r>
          </w:p>
        </w:tc>
      </w:tr>
      <w:tr w:rsidR="00307435" w14:paraId="16402286" w14:textId="77777777">
        <w:trPr>
          <w:jc w:val="center"/>
          <w:cantSplit/>
        </w:trPr>
        <w:tc>
          <w:tcPr>
            <w:tcW w:w="2160" w:type="dxa"/>
            <w:tcMar>
              <w:top w:w="80" w:type="dxa"/>
              <w:left w:w="80" w:type="dxa"/>
              <w:bottom w:w="80" w:type="dxa"/>
              <w:right w:w="80" w:type="dxa"/>
            </w:tcMar>
            <w:vAlign w:val="center"/>
          </w:tcPr>
          <w:p w14:paraId="6764C786" w14:textId="77777777" w:rsidR="00307435" w:rsidRDefault="00000000">
            <w:r>
              <w:rPr>
                <w:sz w:val="14"/>
              </w:rPr>
              <w:t>Completion/liveness</w:t>
            </w:r>
          </w:p>
        </w:tc>
        <w:tc>
          <w:tcPr>
            <w:tcW w:w="3672" w:type="dxa"/>
            <w:tcMar>
              <w:top w:w="80" w:type="dxa"/>
              <w:left w:w="80" w:type="dxa"/>
              <w:bottom w:w="80" w:type="dxa"/>
              <w:right w:w="80" w:type="dxa"/>
            </w:tcMar>
            <w:vAlign w:val="center"/>
          </w:tcPr>
          <w:p w14:paraId="20475F0F" w14:textId="77777777" w:rsidR="00307435" w:rsidRDefault="00000000">
            <w:r>
              <w:rPr>
                <w:sz w:val="14"/>
              </w:rPr>
              <w:t>cbaa_liveness_summary.csv; cbaa_divergence_summary.csv; legitimate_noncompletions.csv</w:t>
            </w:r>
          </w:p>
        </w:tc>
        <w:tc>
          <w:tcPr>
            <w:tcW w:w="4680" w:type="dxa"/>
            <w:tcMar>
              <w:top w:w="80" w:type="dxa"/>
              <w:left w:w="80" w:type="dxa"/>
              <w:bottom w:w="80" w:type="dxa"/>
              <w:right w:w="80" w:type="dxa"/>
            </w:tcMar>
            <w:vAlign w:val="center"/>
          </w:tcPr>
          <w:p w14:paraId="6D169432" w14:textId="77777777" w:rsidR="00307435" w:rsidRDefault="00000000">
            <w:r>
              <w:rPr>
                <w:sz w:val="14"/>
              </w:rPr>
              <w:t>Completion denominators, CBAA stagnation, divergence context.</w:t>
            </w:r>
          </w:p>
        </w:tc>
      </w:tr>
      <w:tr w:rsidR="00307435" w14:paraId="75D16405" w14:textId="77777777">
        <w:trPr>
          <w:jc w:val="center"/>
          <w:cantSplit/>
        </w:trPr>
        <w:tc>
          <w:tcPr>
            <w:tcW w:w="2160" w:type="dxa"/>
            <w:shd w:val="clear" w:color="auto" w:fill="F3F7F8"/>
            <w:tcMar>
              <w:top w:w="80" w:type="dxa"/>
              <w:left w:w="80" w:type="dxa"/>
              <w:bottom w:w="80" w:type="dxa"/>
              <w:right w:w="80" w:type="dxa"/>
            </w:tcMar>
            <w:vAlign w:val="center"/>
          </w:tcPr>
          <w:p w14:paraId="357938EF" w14:textId="77777777" w:rsidR="00307435" w:rsidRDefault="00000000">
            <w:r>
              <w:rPr>
                <w:sz w:val="14"/>
              </w:rPr>
              <w:t>Architecture semantics</w:t>
            </w:r>
          </w:p>
        </w:tc>
        <w:tc>
          <w:tcPr>
            <w:tcW w:w="3672" w:type="dxa"/>
            <w:shd w:val="clear" w:color="auto" w:fill="F3F7F8"/>
            <w:tcMar>
              <w:top w:w="80" w:type="dxa"/>
              <w:left w:w="80" w:type="dxa"/>
              <w:bottom w:w="80" w:type="dxa"/>
              <w:right w:w="80" w:type="dxa"/>
            </w:tcMar>
            <w:vAlign w:val="center"/>
          </w:tcPr>
          <w:p w14:paraId="068A02E4" w14:textId="77777777" w:rsidR="00307435" w:rsidRDefault="00000000">
            <w:r>
              <w:rPr>
                <w:sz w:val="14"/>
              </w:rPr>
              <w:t>ARCHITECTURE_CLARIFICATION.md</w:t>
            </w:r>
          </w:p>
        </w:tc>
        <w:tc>
          <w:tcPr>
            <w:tcW w:w="4680" w:type="dxa"/>
            <w:shd w:val="clear" w:color="auto" w:fill="F3F7F8"/>
            <w:tcMar>
              <w:top w:w="80" w:type="dxa"/>
              <w:left w:w="80" w:type="dxa"/>
              <w:bottom w:w="80" w:type="dxa"/>
              <w:right w:w="80" w:type="dxa"/>
            </w:tcMar>
            <w:vAlign w:val="center"/>
          </w:tcPr>
          <w:p w14:paraId="779DA50A" w14:textId="77777777" w:rsidR="00307435" w:rsidRDefault="00000000">
            <w:r>
              <w:rPr>
                <w:sz w:val="14"/>
              </w:rPr>
              <w:t>Repository file:line evidence for timing, concurrency, policy triggers, work definitions, hardware bridge, zero-compute semantics.</w:t>
            </w:r>
          </w:p>
        </w:tc>
      </w:tr>
      <w:tr w:rsidR="00307435" w14:paraId="2B50F513" w14:textId="77777777">
        <w:trPr>
          <w:jc w:val="center"/>
          <w:cantSplit/>
        </w:trPr>
        <w:tc>
          <w:tcPr>
            <w:tcW w:w="2160" w:type="dxa"/>
            <w:tcMar>
              <w:top w:w="80" w:type="dxa"/>
              <w:left w:w="80" w:type="dxa"/>
              <w:bottom w:w="80" w:type="dxa"/>
              <w:right w:w="80" w:type="dxa"/>
            </w:tcMar>
            <w:vAlign w:val="center"/>
          </w:tcPr>
          <w:p w14:paraId="7CF70986" w14:textId="77777777" w:rsidR="00307435" w:rsidRDefault="00000000">
            <w:r>
              <w:rPr>
                <w:sz w:val="14"/>
              </w:rPr>
              <w:t>Compact analysis validation</w:t>
            </w:r>
          </w:p>
        </w:tc>
        <w:tc>
          <w:tcPr>
            <w:tcW w:w="3672" w:type="dxa"/>
            <w:tcMar>
              <w:top w:w="80" w:type="dxa"/>
              <w:left w:w="80" w:type="dxa"/>
              <w:bottom w:w="80" w:type="dxa"/>
              <w:right w:w="80" w:type="dxa"/>
            </w:tcMar>
            <w:vAlign w:val="center"/>
          </w:tcPr>
          <w:p w14:paraId="2C3567AC" w14:textId="77777777" w:rsidR="00307435" w:rsidRDefault="00000000">
            <w:r>
              <w:rPr>
                <w:sz w:val="14"/>
              </w:rPr>
              <w:t>task_latency_analysis_validation.csv; analysis_metadata.json</w:t>
            </w:r>
          </w:p>
        </w:tc>
        <w:tc>
          <w:tcPr>
            <w:tcW w:w="4680" w:type="dxa"/>
            <w:tcMar>
              <w:top w:w="80" w:type="dxa"/>
              <w:left w:w="80" w:type="dxa"/>
              <w:bottom w:w="80" w:type="dxa"/>
              <w:right w:w="80" w:type="dxa"/>
            </w:tcMar>
            <w:vAlign w:val="center"/>
          </w:tcPr>
          <w:p w14:paraId="17D6ED0E" w14:textId="77777777" w:rsidR="00307435" w:rsidRDefault="00000000">
            <w:r>
              <w:rPr>
                <w:sz w:val="14"/>
              </w:rPr>
              <w:t>170/0 compact checks, seed 20260814, 10,000 bootstraps, source hashes.</w:t>
            </w:r>
          </w:p>
        </w:tc>
      </w:tr>
    </w:tbl>
    <w:p w14:paraId="5BD69C36" w14:textId="77777777" w:rsidR="00307435" w:rsidRDefault="00307435">
      <w:pPr>
        <w:spacing w:after="0"/>
      </w:pPr>
    </w:p>
    <w:p>
      <w:pPr>
        <w:pStyle w:val="Heading2"/>
        <w:keepNext/>
      </w:pPr>
      <w:r>
        <w:t>12.1 Companion data excerpts</w:t>
      </w:r>
    </w:p>
    <w:p w14:paraId="027F1164" w14:textId="77777777" w:rsidR="00307435" w:rsidRDefault="00000000">
      <w:r>
        <w:t>The companion package contains compact CSVs for the exact AGX B=4 table, the 48 hardware pairs, the trace-averaged crossover, the high-load algorithm summary, bounded mitigation, decomposition, and CBAA completion rates. These are intended for independent checking and MATLAB/LaTeX figure regeneration; the original large task-level exports remain the authoritative source.</w:t>
      </w:r>
    </w:p>
    <w:p>
      <w:pPr>
        <w:pStyle w:val="Heading1"/>
        <w:keepNext/>
        <w:spacing w:before="240" w:after="100"/>
      </w:pPr>
      <w:r>
        <w:t>13. Final handoff checklist for the paper writer</w:t>
      </w:r>
    </w:p>
    <w:p w14:paraId="026654F5" w14:textId="77777777" w:rsidR="00307435" w:rsidRDefault="00000000">
      <w:pPr>
        <w:pStyle w:val="ListBullet"/>
      </w:pPr>
      <w:r>
        <w:t>Declare online release-to-completion trial median as the primary mission outcome and trial Q95 as the tail check.</w:t>
      </w:r>
    </w:p>
    <w:p w14:paraId="2AD5EA49" w14:textId="77777777" w:rsidR="00307435" w:rsidRDefault="00000000">
      <w:pPr>
        <w:pStyle w:val="ListBullet"/>
      </w:pPr>
      <w:r>
        <w:t>Define processor work as summed per-call processor-seconds and explicitly state that it is not mission wall delay.</w:t>
      </w:r>
    </w:p>
    <w:p w14:paraId="6B89BD99" w14:textId="77777777" w:rsidR="00307435" w:rsidRDefault="00000000">
      <w:pPr>
        <w:pStyle w:val="ListBullet"/>
      </w:pPr>
      <w:r>
        <w:t>Use only same-provider policy comparisons and keep AGX and RP2040 separate.</w:t>
      </w:r>
    </w:p>
    <w:p w14:paraId="1E3B8794" w14:textId="77777777" w:rsidR="00307435" w:rsidRDefault="00000000">
      <w:pPr>
        <w:pStyle w:val="ListBullet"/>
      </w:pPr>
      <w:r>
        <w:t>State that trace, not task/call/epoch, is the replication unit.</w:t>
      </w:r>
    </w:p>
    <w:p w14:paraId="6CCCE8F1" w14:textId="77777777" w:rsidR="00307435" w:rsidRDefault="00000000">
      <w:pPr>
        <w:pStyle w:val="ListBullet"/>
      </w:pPr>
      <w:r>
        <w:t>Show Figure 3 (AGX tradeoff), Figure 4 (RP2040 crossover), and one compact high-load hardware table.</w:t>
      </w:r>
    </w:p>
    <w:p w14:paraId="0C115DE4" w14:textId="77777777" w:rsidR="00307435" w:rsidRDefault="00000000">
      <w:pPr>
        <w:pStyle w:val="ListBullet"/>
      </w:pPr>
      <w:r>
        <w:t>Report all four hardware trace values or their plotted lines; no hardware p-values.</w:t>
      </w:r>
    </w:p>
    <w:p w14:paraId="114B9C84" w14:textId="77777777" w:rsidR="00307435" w:rsidRDefault="00000000">
      <w:pPr>
        <w:pStyle w:val="ListBullet"/>
      </w:pPr>
      <w:r>
        <w:t>Use “no detected median difference” for AGX high load; do not claim equivalence.</w:t>
      </w:r>
    </w:p>
    <w:p w14:paraId="1CC03FA2" w14:textId="77777777" w:rsidR="00307435" w:rsidRDefault="00000000">
      <w:pPr>
        <w:pStyle w:val="ListBullet"/>
      </w:pPr>
      <w:r>
        <w:lastRenderedPageBreak/>
        <w:t>State that bounded W=5 limits scheduler pending age at admission, not release-to-completion latency.</w:t>
      </w:r>
    </w:p>
    <w:p w14:paraId="1655EEDD" w14:textId="77777777" w:rsidR="00307435" w:rsidRDefault="00000000">
      <w:pPr>
        <w:pStyle w:val="ListBullet"/>
      </w:pPr>
      <w:r>
        <w:t>Keep epoch/call reversal to one mechanistic paragraph and mark its architecture dependence.</w:t>
      </w:r>
    </w:p>
    <w:p w14:paraId="79B952EC" w14:textId="77777777" w:rsidR="00307435" w:rsidRDefault="00000000">
      <w:pPr>
        <w:pStyle w:val="ListBullet"/>
      </w:pPr>
      <w:r>
        <w:t>Place CBAA completion context next to any CBAA latency statement.</w:t>
      </w:r>
    </w:p>
    <w:p w14:paraId="55AF223E" w14:textId="77777777" w:rsidR="00307435" w:rsidRDefault="00000000">
      <w:pPr>
        <w:pStyle w:val="ListBullet"/>
      </w:pPr>
      <w:r>
        <w:t>Conclude with the adaptive operating principle: stronger coalescing under dense arrivals and high measured compute pressure; weaker or bounded coalescing under sparse arrivals.</w:t>
      </w:r>
    </w:p>
    <w:tbl>
      <w:tblPr>
        <w:tblW w:w="0" w:type="auto"/>
        <w:jc w:val="center"/>
        <w:tblLook w:val="04A0" w:firstRow="1" w:lastRow="0" w:firstColumn="1" w:lastColumn="0" w:noHBand="0" w:noVBand="1"/>
      </w:tblPr>
      <w:tblGrid>
        <w:gridCol w:w="10282"/>
      </w:tblGrid>
      <w:tr w:rsidR="00307435" w14:paraId="783B1DC4" w14:textId="77777777">
        <w:trPr>
          <w:jc w:val="center"/>
          <w:cantSplit/>
        </w:trPr>
        <w:tc>
          <w:tcPr>
            <w:tcW w:w="10282" w:type="dxa"/>
            <w:shd w:val="clear" w:color="auto" w:fill="E6F2F2"/>
            <w:tcMar>
              <w:top w:w="140" w:type="dxa"/>
              <w:left w:w="160" w:type="dxa"/>
              <w:bottom w:w="140" w:type="dxa"/>
              <w:right w:w="160" w:type="dxa"/>
            </w:tcMar>
          </w:tcPr>
          <w:p w14:paraId="3AC17DC4" w14:textId="77777777" w:rsidR="00307435" w:rsidRDefault="00000000">
            <w:r>
              <w:rPr>
                <w:b/>
                <w:color w:val="167D7F"/>
              </w:rPr>
              <w:t>One-sentence conclusion for the final paper</w:t>
            </w:r>
          </w:p>
          <w:p w14:paraId="2C02887E" w14:textId="77777777" w:rsidR="00307435" w:rsidRDefault="00000000">
            <w:pPr>
              <w:spacing w:after="0"/>
            </w:pPr>
            <w:r>
              <w:t>Reallocation coalescing is not a universally beneficial batching rule; it becomes useful when arrival density and allocator compute pressure are high enough that the post-admission work it removes exceeds the service delay it intentionally introduces.</w:t>
            </w:r>
          </w:p>
        </w:tc>
      </w:tr>
    </w:tbl>
    <w:p w14:paraId="0EF1D9CC" w14:textId="77777777" w:rsidR="00307435" w:rsidRDefault="00307435">
      <w:pPr>
        <w:spacing w:after="0"/>
      </w:pPr>
    </w:p>
    <w:p>
      <w:r>
        <w:br w:type="page"/>
      </w:r>
    </w:p>
    <w:p>
      <w:pPr>
        <w:pStyle w:val="Heading1"/>
        <w:keepNext/>
        <w:spacing w:before="240" w:after="100"/>
      </w:pPr>
      <w:r>
        <w:t>Appendix A. Related-work references and source-quality notes</w:t>
      </w:r>
    </w:p>
    <w:p>
      <w:pPr>
        <w:pStyle w:val="Reference"/>
      </w:pPr>
      <w:r>
        <w:t>[1] X. Bai, M. Cao, and W. Yan, “Event- and time-triggered dynamic task assignments for multiple vehicles,” Autonomous Robots, vol. 44, no. 5, pp. 877–888, 2020. (Peer-reviewed journal.)</w:t>
      </w:r>
    </w:p>
    <w:p>
      <w:pPr>
        <w:pStyle w:val="Reference"/>
      </w:pPr>
      <w:r>
        <w:t>[2] C. Hu, Y. Li, and G. Qu, “Integrated dynamic task allocation via event-triggered for tracking ground moving targets by UAVs in urban,” Robotics and Autonomous Systems, vol. 193, Art. no. 105061, 2025. (Peer-reviewed journal; comparison in this report is limited to publisher/abstract-accessible claims.)</w:t>
      </w:r>
    </w:p>
    <w:p>
      <w:pPr>
        <w:pStyle w:val="Reference"/>
      </w:pPr>
      <w:r>
        <w:t>[3] C. Nam and D. A. Shell, “Bundling Policies for Sequential Stochastic Tasks in Multi-robot Systems,” in Distributed Autonomous Robotic Systems, Springer Proceedings in Advanced Robotics, vol. 6, pp. 237–252, 2018. (Peer-reviewed DARS chapter.)</w:t>
      </w:r>
    </w:p>
    <w:p>
      <w:pPr>
        <w:pStyle w:val="Reference"/>
      </w:pPr>
      <w:r>
        <w:t>[4] V. M. Tuck, P.-W. Chen, G. Fainekos, B. Hoxha, H. Okamoto, S. S. Sastry, and S. A. Seshia, “SMT-Based Dynamic Multi-Robot Task Allocation,” in NASA Formal Methods 2024, LNCS 14627, pp. 331–351, 2024. (Peer-reviewed conference proceedings.)</w:t>
      </w:r>
    </w:p>
    <w:p>
      <w:pPr>
        <w:pStyle w:val="Reference"/>
      </w:pPr>
      <w:r>
        <w:t>[5] N. Buckman, J. P. How, and H.-L. Choi, “Partial Replanning for Decentralized Dynamic Task Allocation,” in AIAA Scitech 2019 Forum, 2019. (Peer-reviewed conference paper; open author manuscript available.)</w:t>
      </w:r>
    </w:p>
    <w:p>
      <w:pPr>
        <w:pStyle w:val="Reference"/>
      </w:pPr>
      <w:r>
        <w:t>[6] D. Thorne and B. T. Lopez, “Multi-Robot Task Assignment and Path Finding for Time-Sensitive Missions with Online Task Generation,” arXiv:2310.06153, 2023. (Preprint.)</w:t>
      </w:r>
    </w:p>
    <w:p>
      <w:pPr>
        <w:pStyle w:val="Reference"/>
      </w:pPr>
      <w:r>
        <w:t>[7] S. Choudhury, J. K. Gupta, M. J. Kochenderfer, D. Sadigh, and J. Bohg, “Dynamic Multi-Robot Task Allocation under Uncertainty and Temporal Constraints,” Autonomous Robots, vol. 46, no. 1, pp. 231–247, 2022. (Peer-reviewed journal.)</w:t>
      </w:r>
    </w:p>
    <w:p>
      <w:pPr>
        <w:pStyle w:val="Reference"/>
      </w:pPr>
      <w:r>
        <w:t>[8] P. Forte, A. Mannucci, H. Andreasson, and F. Pecora, “Online Task Assignment and Coordination in Multi-Robot Fleets,” IEEE Robotics and Automation Letters, vol. 6, no. 3, pp. 4584–4591, 2021. (Peer-reviewed journal letter.)</w:t>
      </w:r>
    </w:p>
    <w:p>
      <w:pPr>
        <w:pStyle w:val="Reference"/>
      </w:pPr>
      <w:r>
        <w:t>[9] F. Aznar, M. Pujol, and Á. Díez, “Event-Triggered Adaptive Consensus for Multi-Robot Task Allocation,” arXiv:2604.06813, 2026. (Recent preprint; use as state-of-the-art context, not sole foundation.)</w:t>
      </w:r>
    </w:p>
    <w:p>
      <w:pPr>
        <w:pStyle w:val="Reference"/>
      </w:pPr>
      <w:r>
        <w:t>[10] V. Sao, T. D. Ho, S. Bhore, and P. B. Sujit, “Event Driven CBBA with Reduced Communication,” in 2025 International Conference on Unmanned Aircraft Systems (ICUAS), 2025. (Peer-reviewed conference paper; arXiv version available.)</w:t>
      </w:r>
    </w:p>
    <w:p>
      <w:pPr>
        <w:pStyle w:val="Reference"/>
      </w:pPr>
      <w:r>
        <w:t>[11] J. Li, S. Bakshi, J. Chu, S. Li, and D. Chen, “Auction-Based Task Allocation with Energy-Conscientious Trajectory Optimization for AMR Fleets,” arXiv:2603.21545, 2026. (Recent preprint.)</w:t>
      </w:r>
    </w:p>
    <w:p>
      <w:pPr>
        <w:pStyle w:val="Reference"/>
      </w:pPr>
      <w:r>
        <w:t>[12] A. Botros, B. Gilhuly, N. Wilde, A. Sadeghi, J. Alonso-Mora, and S. L. Smith, “Optimizing Task Waiting Times in Dynamic Vehicle Routing,” IEEE Robotics and Automation Letters, vol. 8, no. 9, pp. 5520–5527, 2023. (Peer-reviewed journal letter; important metric/load precedent.)</w:t>
      </w:r>
    </w:p>
    <w:p>
      <w:pPr>
        <w:pStyle w:val="Reference"/>
      </w:pPr>
      <w:r>
        <w:t>[13] A. Tai, I. Smolyar, M. Wei, and D. Tsafrir, “Optimizing Storage Performance with Calibrated Interrupts,” in 15th USENIX Symposium on Operating Systems Design and Implementation (OSDI), pp. 129–145, 2021. (Peer-reviewed systems conference; conceptual analogue.)</w:t>
      </w:r>
    </w:p>
    <w:p>
      <w:pPr>
        <w:pStyle w:val="Reference"/>
      </w:pPr>
      <w:r>
        <w:t>[14] R. Bansal, D. He, N. Ranawaka Arachchige, Z. Chen, S. Kim, K. Rong, and D. Xu, “Action Chunk Scheduling for Batched Robot Policy Serving,” arXiv:2608.00337, 2026. (Very recent preprint; relevant closed-loop robot-serving analogue.)</w:t>
      </w:r>
    </w:p>
    <w:p>
      <w:pPr>
        <w:pStyle w:val="Reference"/>
      </w:pPr>
      <w:r>
        <w:t>[15] M. G. Mendoza, P.-Y. Su, B. L. Ferguson, and S. S. Sastry, “Dynamic Multi-Robot Task Allocation under Uncertainty and Communication Constraints: A Game-Theoretic Approach,” arXiv:2604.11954, 2026. (Recent preprint; optional broader dynamic/decentralized compute context.)</w:t>
      </w:r>
    </w:p>
    <w:p>
      <w:r>
        <w:br w:type="page"/>
      </w:r>
    </w:p>
    <w:p>
      <w:pPr>
        <w:pStyle w:val="Heading1"/>
      </w:pPr>
      <w:r>
        <w:t>Appendix B. Corrected-Architecture Pilot Findings and Expected Impact</w:t>
      </w:r>
    </w:p>
    <w:p>
      <w:r>
        <w:t>Status: preliminary pilot evidence only. The corrected full experiment has not yet been run, so the values below guide the design but do not replace the final inferential results.</w:t>
      </w:r>
    </w:p>
    <w:p>
      <w:pPr>
        <w:pStyle w:val="Heading2"/>
      </w:pPr>
      <w:r>
        <w:t>B.1 Architecture correction and pilot scope</w:t>
      </w:r>
    </w:p>
    <w:p>
      <w:r>
        <w:t>The simulator and allocator boundary were revised because the prior online architecture could admit pending tasks during completion or allocator calls, destructively reset allocator state, and expose task information outside the robot messaging path. Those behaviors prevented strict coalescing bounds from being the treatment actually measured. The corrected architecture uses exact ordinary batches, a physically gated terminal residual, message-only task discovery, non-destructive admission, persistent execution bundles, autonomous event-driven recovery, and allocator-transaction timing that excludes transport and serialization. CBAA remains a single-current-task allocator but now considers the complete locally known pool and preserves its winning bid while moving.</w:t>
      </w:r>
    </w:p>
    <w:p>
      <w:r>
        <w:t>The replacement pilot completed 512 technically valid jobs: 200 rate-confirmation jobs, 288 policy-sweep jobs, and 24 zero-compute diagnostics. It observed no piggyback admissions or final-release flushes.</w:t>
      </w:r>
    </w:p>
    <w:p>
      <w:pPr>
        <w:pStyle w:val="Heading2"/>
      </w:pPr>
      <w:r>
        <w:t>B.2 Preliminary pilot selections</w:t>
      </w:r>
    </w:p>
    <w:p>
      <w:pPr>
        <w:pStyle w:val="ListBullet"/>
        <w:spacing w:after="58"/>
      </w:pPr>
      <w:r>
        <w:t>Final loads: 0.075, 0.30, and 0.60 task arrivals per mission-second.</w:t>
      </w:r>
    </w:p>
    <w:p>
      <w:pPr>
        <w:pStyle w:val="ListBullet"/>
        <w:spacing w:after="58"/>
      </w:pPr>
      <w:r>
        <w:t>Final policies: Eager, Count B2, Count B4, Count B8, and Bounded B4/W10.</w:t>
      </w:r>
    </w:p>
    <w:p>
      <w:pPr>
        <w:pStyle w:val="ListBullet"/>
        <w:spacing w:after="58"/>
      </w:pPr>
      <w:r>
        <w:t>Bounded B4/W10 versus Eager reduced allocator processor work by about 4.9%, 4.3%, and 1.7% at low, medium, and high load, while increasing mean task latency by about 33.5%, 15.4%, and 5.1%.</w:t>
      </w:r>
    </w:p>
    <w:p>
      <w:pPr>
        <w:pStyle w:val="ListBullet"/>
        <w:spacing w:after="58"/>
      </w:pPr>
      <w:r>
        <w:t>Count B4 showed a more aggressive and less uniform tradeoff: work changed by about -10.8%, +2.8%, and -10.2%, while latency increased by about 135.7%, 26.9%, and 14.4% across the same loads.</w:t>
      </w:r>
    </w:p>
    <w:p>
      <w:pPr>
        <w:pStyle w:val="ListBullet"/>
        <w:spacing w:after="58"/>
      </w:pPr>
      <w:r>
        <w:t>The high-load setting remains useful because it exposes liveness sensitivity: B4/W10 completed 12/12 pilot jobs, while Eager completed 11/12. This is a diagnostic signal, not a final ranking.</w:t>
      </w:r>
    </w:p>
    <w:p>
      <w:pPr>
        <w:pStyle w:val="Heading2"/>
      </w:pPr>
      <w:r>
        <w:t>B.3 Expected changes to the experiment plan</w:t>
      </w:r>
    </w:p>
    <w:p>
      <w:r>
        <w:t>The full AGX design will retain four allocators, three loads, and five policies. Each condition will receive 50 paired traces in both host-causal and zero-time treatments, executed as 25 traces for every condition in Round 1 and the remaining 25 traces for every condition in Round 2. Round 1 verification will occur before Round 2 but will not restrict or select the second-half matrix. The three-board RP2040 subset remains Eager and Count B4 on four paired traces, for 96 hardware missions total. Old results will not be pooled with the corrected dataset.</w:t>
      </w:r>
    </w:p>
    <w:p>
      <w:pPr>
        <w:pStyle w:val="Heading2"/>
      </w:pPr>
      <w:r>
        <w:t>B.4 Expected changes to the current findings</w:t>
      </w:r>
    </w:p>
    <w:p>
      <w:r>
        <w:t>Numeric conclusions in the current report that depend on the pre-correction reallocation behavior should be treated as superseded until the full matrix is complete. Under strict coalescing, epoch counts should become policy-determined rather than completion-driven, latency penalties should be more visible, and compute savings may remain modest or non-monotonic because larger task pools can increase the cost of a single allocator transaction. CBAA results may change materially because movement no longer refreshes its winning bid. Allocator-specific completion rules—suffix release for ACBBA/HIPC and itemwise repair for PI—may also create legitimate differences in claim churn and recovery behavior. The corrected experiment is therefore expected to revise both effect sizes and some algorithm rankings, while more cleanly isolating the actual cost-versus-latency tradeoff of coalescing.</w:t>
      </w:r>
    </w:p>
    <w:p>
      <w:pPr>
        <w:pStyle w:val="Heading2"/>
      </w:pPr>
      <w:r>
        <w:t>B.5 Final analysis priorities</w:t>
      </w:r>
    </w:p>
    <w:p>
      <w:pPr>
        <w:pStyle w:val="ListBullet"/>
        <w:spacing w:after="58"/>
      </w:pPr>
      <w:r>
        <w:t>First establish mission completion, failure classification, and recovery incidence.</w:t>
      </w:r>
    </w:p>
    <w:p>
      <w:pPr>
        <w:pStyle w:val="ListBullet"/>
        <w:spacing w:after="58"/>
      </w:pPr>
      <w:r>
        <w:t>Use mission-total allocator processor work as the principal compute outcome.</w:t>
      </w:r>
    </w:p>
    <w:p>
      <w:pPr>
        <w:pStyle w:val="ListBullet"/>
        <w:spacing w:after="58"/>
      </w:pPr>
      <w:r>
        <w:t>Use mean and 95th-percentile release-to-completion latency as the principal responsiveness outcomes.</w:t>
      </w:r>
    </w:p>
    <w:p>
      <w:pPr>
        <w:pStyle w:val="ListBullet"/>
        <w:spacing w:after="58"/>
      </w:pPr>
      <w:r>
        <w:t>Report mission time and team steps as operational outcomes.</w:t>
      </w:r>
    </w:p>
    <w:p>
      <w:pPr>
        <w:pStyle w:val="ListBullet"/>
        <w:spacing w:after="58"/>
      </w:pPr>
      <w:r>
        <w:t>Treat traces—not tasks—as the independent replicates, pair every comparison to Eager on the same manifest, and do not compare raw bundle-claim counts as if they had identical meaning across allocators.</w:t>
      </w:r>
    </w:p>
    <w:sectPr w:rsidR="00307435" w:rsidSect="00034616">
      <w:headerReference w:type="default" r:id="rId16"/>
      <w:footerReference w:type="default" r:id="rId17"/>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F9BD" w14:textId="77777777" w:rsidR="00F7141B" w:rsidRDefault="00F7141B">
      <w:pPr>
        <w:spacing w:after="0" w:line="240" w:lineRule="auto"/>
      </w:pPr>
      <w:r>
        <w:separator/>
      </w:r>
    </w:p>
  </w:endnote>
  <w:endnote w:type="continuationSeparator" w:id="0">
    <w:p w14:paraId="6B74CAFE" w14:textId="77777777" w:rsidR="00F7141B" w:rsidRDefault="00F71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1389" w14:textId="77777777" w:rsidR="00307435" w:rsidRDefault="00000000">
    <w:pPr>
      <w:pStyle w:val="Footer"/>
      <w:jc w:val="right"/>
    </w:pPr>
    <w:r>
      <w:rPr>
        <w:color w:val="5A6670"/>
        <w:sz w:val="15"/>
      </w:rPr>
      <w:t xml:space="preserve">Page </w:t>
    </w:r>
    <w:r>
      <w:rPr>
        <w:color w:val="5A6670"/>
        <w:sz w:val="15"/>
      </w:rPr>
      <w:fldChar w:fldCharType="begin"/>
    </w:r>
    <w:r>
      <w:rPr>
        <w:color w:val="5A6670"/>
        <w:sz w:val="15"/>
      </w:rPr>
      <w:instrText xml:space="preserve"> PAGE </w:instrText>
    </w:r>
    <w:r w:rsidR="009E453D">
      <w:rPr>
        <w:color w:val="5A6670"/>
        <w:sz w:val="15"/>
      </w:rPr>
      <w:fldChar w:fldCharType="separate"/>
    </w:r>
    <w:r w:rsidR="009E453D">
      <w:rPr>
        <w:noProof/>
        <w:color w:val="5A6670"/>
        <w:sz w:val="15"/>
      </w:rPr>
      <w:t>1</w:t>
    </w:r>
    <w:r>
      <w:rPr>
        <w:color w:val="5A667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B8FD2" w14:textId="77777777" w:rsidR="00F7141B" w:rsidRDefault="00F7141B">
      <w:pPr>
        <w:spacing w:after="0" w:line="240" w:lineRule="auto"/>
      </w:pPr>
      <w:r>
        <w:separator/>
      </w:r>
    </w:p>
  </w:footnote>
  <w:footnote w:type="continuationSeparator" w:id="0">
    <w:p w14:paraId="489A3E3F" w14:textId="77777777" w:rsidR="00F7141B" w:rsidRDefault="00F71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C3FF" w14:textId="77777777" w:rsidR="00307435" w:rsidRDefault="00000000">
    <w:pPr>
      <w:pStyle w:val="Header"/>
      <w:jc w:val="center"/>
    </w:pPr>
    <w:r>
      <w:t>IPCCC CONSOLIDATED REPORT  |  MRTA REALLOCATION COALESCING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6805">
    <w:abstractNumId w:val="8"/>
  </w:num>
  <w:num w:numId="2" w16cid:durableId="94986168">
    <w:abstractNumId w:val="6"/>
  </w:num>
  <w:num w:numId="3" w16cid:durableId="1028213461">
    <w:abstractNumId w:val="5"/>
  </w:num>
  <w:num w:numId="4" w16cid:durableId="1658341040">
    <w:abstractNumId w:val="4"/>
  </w:num>
  <w:num w:numId="5" w16cid:durableId="1665819801">
    <w:abstractNumId w:val="7"/>
  </w:num>
  <w:num w:numId="6" w16cid:durableId="1200434404">
    <w:abstractNumId w:val="3"/>
  </w:num>
  <w:num w:numId="7" w16cid:durableId="515391031">
    <w:abstractNumId w:val="2"/>
  </w:num>
  <w:num w:numId="8" w16cid:durableId="149447971">
    <w:abstractNumId w:val="1"/>
  </w:num>
  <w:num w:numId="9" w16cid:durableId="206906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435"/>
    <w:rsid w:val="00326F90"/>
    <w:rsid w:val="00650EA0"/>
    <w:rsid w:val="00700E1C"/>
    <w:rsid w:val="007C3300"/>
    <w:rsid w:val="009E453D"/>
    <w:rsid w:val="00AA1D8D"/>
    <w:rsid w:val="00B37685"/>
    <w:rsid w:val="00B47730"/>
    <w:rsid w:val="00CB0664"/>
    <w:rsid w:val="00D454FB"/>
    <w:rsid w:val="00F71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43CA5"/>
  <w14:defaultImageDpi w14:val="300"/>
  <w15:docId w15:val="{8CD3FF9F-A260-4CAA-8030-64697D7B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Liberation Sans" w:eastAsia="Liberation Sans" w:hAnsi="Liberation Sans"/>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67D7F"/>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83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83A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167D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pPr>
      <w:spacing w:after="60"/>
    </w:pPr>
    <w:rPr>
      <w:rFonts w:ascii="Liberation Sans" w:hAnsi="Liberation Sans"/>
      <w:i/>
      <w:color w:val="5A6670"/>
      <w:sz w:val="15"/>
    </w:rPr>
  </w:style>
  <w:style w:type="paragraph" w:customStyle="1" w:styleId="CodeBlock">
    <w:name w:val="Code Block"/>
    <w:pPr>
      <w:spacing w:after="80"/>
      <w:ind w:left="360" w:right="216"/>
    </w:pPr>
    <w:rPr>
      <w:rFonts w:ascii="Liberation Mono" w:hAnsi="Liberation Mono"/>
      <w:sz w:val="16"/>
    </w:rPr>
  </w:style>
  <w:style w:type="paragraph" w:customStyle="1" w:styleId="Reference">
    <w:name w:val="Reference"/>
    <w:pPr>
      <w:spacing w:after="50"/>
      <w:ind w:left="259" w:hanging="259"/>
    </w:pPr>
    <w:rPr>
      <w:rFonts w:ascii="Liberation Sans" w:hAnsi="Liberation Sans"/>
      <w:sz w:val="15"/>
    </w:rPr>
  </w:style>
  <w:style w:type="paragraph" w:customStyle="1" w:styleId="TableText">
    <w:name w:val="Table Text"/>
    <w:pPr>
      <w:spacing w:after="60" w:line="240" w:lineRule="auto"/>
    </w:pPr>
    <w:rPr>
      <w:rFonts w:ascii="Liberation Sans" w:hAnsi="Liberation Sans"/>
      <w:color w:val="26323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5223</Words>
  <Characters>29775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IPCCC Reallocation-Coalescing Writer Report</vt:lpstr>
    </vt:vector>
  </TitlesOfParts>
  <Manager/>
  <Company/>
  <LinksUpToDate>false</LinksUpToDate>
  <CharactersWithSpaces>34929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IPCCC Paper Development Report: Reallocation Coalescing</dc:title>
  <dc:subject>Experiment, results, related work, novelty, and writing plan for the IPCCC short paper</dc:subject>
  <dc:creator>Project research synthesis</dc:creator>
  <cp:keywords>MRTA, reallocation coalescing, embedded systems, RP2040, AGX Orin, online task allocation</cp:keywords>
  <dc:description>generated by python-docx</dc:description>
  <cp:lastModifiedBy>james lott</cp:lastModifiedBy>
  <cp:revision>2</cp:revision>
  <dcterms:created xsi:type="dcterms:W3CDTF">2013-12-23T23:15:00Z</dcterms:created>
  <dcterms:modified xsi:type="dcterms:W3CDTF">2026-08-14T15:19:00Z</dcterms:modified>
  <cp:category/>
</cp:coreProperties>
</file>