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999999"/>
          <w:sz w:val="17"/>
          <w:szCs w:val="17"/>
        </w:rPr>
        <w:t xml:space="preserve">Confidential</w:t>
      </w:r>
    </w:p>
    <w:p>
      <w:pPr>
        <w:pBdr>
          <w:bottom w:val="single" w:color="CC0000" w:sz="18" w:space="1"/>
        </w:pBdr>
        <w:spacing w:after="0" w:before="0"/>
      </w:pPr>
    </w:p>
    <w:p>
      <w:pPr>
        <w:spacing w:after="0" w:before="200"/>
      </w:pPr>
    </w:p>
    <w:p>
      <w:pPr>
        <w:spacing w:after="60" w:before="0"/>
      </w:pPr>
      <w:r>
        <w:rPr>
          <w:rFonts w:ascii="Arial" w:cs="Arial" w:eastAsia="Arial" w:hAnsi="Arial"/>
          <w:b/>
          <w:bCs/>
          <w:color w:val="CC0000"/>
          <w:sz w:val="52"/>
          <w:szCs w:val="52"/>
        </w:rPr>
        <w:t xml:space="preserve">Change Log</w:t>
      </w:r>
    </w:p>
    <w:p>
      <w:pPr>
        <w:spacing w:after="60" w:before="0"/>
      </w:pPr>
      <w:r>
        <w:rPr>
          <w:rFonts w:ascii="Arial" w:cs="Arial" w:eastAsia="Arial" w:hAnsi="Arial"/>
          <w:color w:val="333333"/>
          <w:sz w:val="26"/>
          <w:szCs w:val="26"/>
        </w:rPr>
        <w:t xml:space="preserve">Mortgage Hybrid IRB Models – Implementation</w:t>
      </w:r>
    </w:p>
    <w:p>
      <w:pPr>
        <w:spacing w:after="240" w:before="0"/>
      </w:pPr>
      <w:r>
        <w:rPr>
          <w:rFonts w:ascii="Arial" w:cs="Arial" w:eastAsia="Arial" w:hAnsi="Arial"/>
          <w:color w:val="888888"/>
          <w:sz w:val="20"/>
          <w:szCs w:val="20"/>
        </w:rPr>
        <w:t xml:space="preserve">Santander Technology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bCs/>
                <w:color w:val="333333"/>
                <w:sz w:val="18"/>
                <w:szCs w:val="18"/>
              </w:rPr>
              <w:t xml:space="preserve">Document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Mortgage Hybrid IRB Models – Change Log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bCs/>
                <w:color w:val="333333"/>
                <w:sz w:val="18"/>
                <w:szCs w:val="18"/>
              </w:rPr>
              <w:t xml:space="preserve">Version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1.0  –  May 2026</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bCs/>
                <w:color w:val="333333"/>
                <w:sz w:val="18"/>
                <w:szCs w:val="18"/>
              </w:rPr>
              <w:t xml:space="preserve">Status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Final</w:t>
            </w:r>
          </w:p>
        </w:tc>
      </w:tr>
    </w:tbl>
    <w:p>
      <w:pPr>
        <w:spacing w:after="0" w:before="0"/>
      </w:pPr>
      <w:r>
        <w:br w:type="page"/>
      </w:r>
    </w:p>
    <w:p>
      <w:pPr>
        <w:pStyle w:val="Heading1"/>
        <w:spacing w:after="80" w:before="120"/>
      </w:pPr>
      <w:r>
        <w:rPr>
          <w:rFonts w:ascii="Arial" w:cs="Arial" w:eastAsia="Arial" w:hAnsi="Arial"/>
          <w:b/>
          <w:bCs/>
          <w:color w:val="CC0000"/>
          <w:sz w:val="36"/>
          <w:szCs w:val="36"/>
        </w:rPr>
        <w:t>Introduction</w:t>
      </w:r>
    </w:p>
    <w:p>
      <w:pPr>
        <w:pBdr>
          <w:bottom w:val="single" w:color="CC0000" w:sz="12" w:space="1"/>
        </w:pBdr>
        <w:spacing w:after="140" w:before="0"/>
      </w:pPr>
    </w:p>
    <w:p>
      <w:pPr>
        <w:jc w:val="both"/>
        <w:spacing w:after="100" w:before="60"/>
      </w:pPr>
      <w:r>
        <w:rPr>
          <w:rFonts w:ascii="Arial" w:cs="Arial" w:eastAsia="Arial" w:hAnsi="Arial"/>
          <w:color w:val="333333"/>
          <w:sz w:val="20"/>
          <w:szCs w:val="20"/>
        </w:rPr>
        <w:t xml:space="preserve">This document records two issues identified during the implementation of the Mortgage Hybrid IRB Models into the new system. Both were discovered while comparing the results produced by the new system against the expected reference values.</w:t>
      </w:r>
    </w:p>
    <w:p>
      <w:pPr>
        <w:jc w:val="both"/>
        <w:spacing w:after="100" w:before="60"/>
      </w:pPr>
      <w:r>
        <w:rPr>
          <w:rFonts w:ascii="Arial" w:cs="Arial" w:eastAsia="Arial" w:hAnsi="Arial"/>
          <w:b/>
          <w:bCs/>
          <w:color w:val="333333"/>
          <w:sz w:val="20"/>
          <w:szCs w:val="20"/>
        </w:rPr>
        <w:t xml:space="preserve">The first issue, related to AVM factors, was identified, fixed and signed off. </w:t>
      </w:r>
      <w:r>
        <w:rPr>
          <w:rFonts w:ascii="Arial" w:cs="Arial" w:eastAsia="Arial" w:hAnsi="Arial"/>
          <w:color w:val="333333"/>
          <w:sz w:val="20"/>
          <w:szCs w:val="20"/>
        </w:rPr>
        <w:t>AVM factors are figures used to estimate how much a property’s value has changed since it was last formally valued. The system was using the wrong calculation method and was missing some historical data. Both were corrected and the results were accepted.</w:t>
      </w:r>
    </w:p>
    <w:p>
      <w:pPr>
        <w:jc w:val="both"/>
        <w:spacing w:after="100" w:before="60"/>
      </w:pPr>
      <w:r>
        <w:rPr>
          <w:rFonts w:ascii="Arial" w:cs="Arial" w:eastAsia="Arial" w:hAnsi="Arial"/>
          <w:b/>
          <w:bCs/>
          <w:color w:val="333333"/>
          <w:sz w:val="20"/>
          <w:szCs w:val="20"/>
        </w:rPr>
        <w:t xml:space="preserve">The second issue, related to LGD on Properties in Possession, was identified and fully understood but not fixed. </w:t>
      </w:r>
      <w:r>
        <w:rPr>
          <w:rFonts w:ascii="Arial" w:cs="Arial" w:eastAsia="Arial" w:hAnsi="Arial"/>
          <w:color w:val="333333"/>
          <w:sz w:val="20"/>
          <w:szCs w:val="20"/>
        </w:rPr>
        <w:t xml:space="preserve">LGD (Loss Given Default) is the estimated percentage of a loan that the bank would lose if a customer could not repay. For around 131 properties that the bank had taken possession of, the system was calculating an LGD of 100% instead of the expected ~7%. Correcting this would increase the bank’s Regulatory Capital requirement by approximately £1.5m, which means a formal process is required before any change can be made. The decision was taken not to implement it at this time. This document records the issue so it can be addressed in a future release.</w:t>
      </w:r>
    </w:p>
    <w:p>
      <w:pPr>
        <w:spacing w:after="0" w:before="0"/>
      </w:pPr>
      <w:r>
        <w:br w:type="page"/>
      </w:r>
    </w:p>
    <w:p>
      <w:pPr>
        <w:pStyle w:val="Heading1"/>
        <w:spacing w:after="80" w:before="120"/>
      </w:pPr>
      <w:r>
        <w:rPr>
          <w:rFonts w:ascii="Arial" w:cs="Arial" w:eastAsia="Arial" w:hAnsi="Arial"/>
          <w:b/>
          <w:bCs/>
          <w:color w:val="CC0000"/>
          <w:sz w:val="36"/>
          <w:szCs w:val="36"/>
        </w:rPr>
        <w:t xml:space="preserve">1.  AVM Factors</w:t>
      </w:r>
    </w:p>
    <w:p>
      <w:pPr>
        <w:pBdr>
          <w:bottom w:val="single" w:color="CC0000" w:sz="12" w:space="1"/>
        </w:pBd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E8F5E9" w:val="clear"/>
            <w:tcMar>
              <w:top w:type="dxa" w:w="140"/>
              <w:left w:type="dxa" w:w="200"/>
              <w:bottom w:type="dxa" w:w="140"/>
              <w:right w:type="dxa" w:w="200"/>
            </w:tcMar>
          </w:tcPr>
          <w:p>
            <w:r>
              <w:rPr>
                <w:rFonts w:ascii="Arial" w:cs="Arial" w:eastAsia="Arial" w:hAnsi="Arial"/>
                <w:b/>
                <w:bCs/>
                <w:color w:val="2E7D32"/>
                <w:sz w:val="20"/>
                <w:szCs w:val="20"/>
              </w:rPr>
              <w:t xml:space="preserve">✔  IMPLEMENTED</w:t>
            </w:r>
            <w:r>
              <w:rPr>
                <w:rFonts w:ascii="Arial" w:cs="Arial" w:eastAsia="Arial" w:hAnsi="Arial"/>
                <w:color w:val="333333"/>
                <w:sz w:val="20"/>
                <w:szCs w:val="20"/>
              </w:rPr>
              <w:t xml:space="preserve">  –  Signed off by Barnaby Black (Methodology) on 15 May 2026</w:t>
            </w:r>
          </w:p>
        </w:tc>
      </w:tr>
    </w:tbl>
    <w:p>
      <w:pPr>
        <w:spacing w:after="0" w:before="120"/>
      </w:pPr>
    </w:p>
    <w:p>
      <w:pPr>
        <w:pStyle w:val="Heading2"/>
        <w:spacing w:after="80" w:before="240"/>
      </w:pPr>
      <w:r>
        <w:rPr>
          <w:rFonts w:ascii="Arial" w:cs="Arial" w:eastAsia="Arial" w:hAnsi="Arial"/>
          <w:b/>
          <w:bCs/>
          <w:color w:val="CC0000"/>
          <w:sz w:val="24"/>
          <w:szCs w:val="24"/>
        </w:rPr>
        <w:t xml:space="preserve">What happened</w:t>
      </w:r>
    </w:p>
    <w:p>
      <w:pPr>
        <w:spacing w:after="80" w:before="60"/>
        <w:jc w:val="both"/>
      </w:pPr>
      <w:r>
        <w:rPr>
          <w:rFonts w:ascii="Arial" w:cs="Arial" w:eastAsia="Arial" w:hAnsi="Arial"/>
          <w:color w:val="333333"/>
          <w:sz w:val="20"/>
          <w:szCs w:val="20"/>
        </w:rPr>
        <w:t xml:space="preserve">During reconciliation, differences were found between the AVM factors calculated in the new system and the reference values. After investigation, two issues were identified:</w:t>
      </w:r>
    </w:p>
    <w:p>
      <w:pPr>
        <w:spacing w:after="0" w:before="40"/>
      </w:pPr>
    </w:p>
    <w:p>
      <w:pPr>
        <w:pStyle w:val="ListParagraph"/>
        <w:numPr>
          <w:ilvl w:val="0"/>
          <w:numId w:val="2"/>
        </w:numPr>
        <w:spacing w:after="40" w:before="40"/>
      </w:pPr>
      <w:r>
        <w:rPr>
          <w:rFonts w:ascii="Arial" w:cs="Arial" w:eastAsia="Arial" w:hAnsi="Arial"/>
          <w:b/>
          <w:bCs/>
          <w:color w:val="333333"/>
          <w:sz w:val="20"/>
          <w:szCs w:val="20"/>
        </w:rPr>
        <w:t xml:space="preserve">Wrong calculation method. </w:t>
      </w:r>
      <w:r>
        <w:rPr>
          <w:rFonts w:ascii="Arial" w:cs="Arial" w:eastAsia="Arial" w:hAnsi="Arial"/>
          <w:color w:val="333333"/>
          <w:sz w:val="20"/>
          <w:szCs w:val="20"/>
        </w:rPr>
        <w:t xml:space="preserve">The system was using an average to derive the representative property valuation per region. The correct method is the median.</w:t>
      </w:r>
    </w:p>
    <w:p>
      <w:pPr>
        <w:pStyle w:val="ListParagraph"/>
        <w:numPr>
          <w:ilvl w:val="0"/>
          <w:numId w:val="2"/>
        </w:numPr>
        <w:spacing w:after="40" w:before="40"/>
      </w:pPr>
      <w:r>
        <w:rPr>
          <w:rFonts w:ascii="Arial" w:cs="Arial" w:eastAsia="Arial" w:hAnsi="Arial"/>
          <w:b/>
          <w:bCs/>
          <w:color w:val="333333"/>
          <w:sz w:val="20"/>
          <w:szCs w:val="20"/>
        </w:rPr>
        <w:t xml:space="preserve">Missing historical data. </w:t>
      </w:r>
      <w:r>
        <w:rPr>
          <w:rFonts w:ascii="Arial" w:cs="Arial" w:eastAsia="Arial" w:hAnsi="Arial"/>
          <w:color w:val="333333"/>
          <w:sz w:val="20"/>
          <w:szCs w:val="20"/>
        </w:rPr>
        <w:t xml:space="preserve">When a property has no valuation entry for a given month, the system was leaving it blank. The correct behaviour is to carry forward the last known valuation.</w:t>
      </w:r>
    </w:p>
    <w:p>
      <w:pPr>
        <w:spacing w:after="0" w:before="80"/>
      </w:pPr>
    </w:p>
    <w:p>
      <w:pPr>
        <w:spacing w:after="80" w:before="60"/>
        <w:jc w:val="both"/>
      </w:pPr>
      <w:r>
        <w:rPr>
          <w:rFonts w:ascii="Arial" w:cs="Arial" w:eastAsia="Arial" w:hAnsi="Arial"/>
          <w:color w:val="333333"/>
          <w:sz w:val="20"/>
          <w:szCs w:val="20"/>
        </w:rPr>
        <w:t xml:space="preserve">Both issues were fixed. After the correction, all 13 AVM factors matched the reference values to within 0.04%, a difference explained by rounding between systems and accepted as immaterial.</w:t>
      </w:r>
    </w:p>
    <w:p>
      <w:pPr>
        <w:spacing w:after="0" w:before="120"/>
      </w:pPr>
    </w:p>
    <w:p>
      <w:pPr>
        <w:pStyle w:val="Heading2"/>
        <w:spacing w:after="80" w:before="240"/>
      </w:pPr>
      <w:r>
        <w:rPr>
          <w:rFonts w:ascii="Arial" w:cs="Arial" w:eastAsia="Arial" w:hAnsi="Arial"/>
          <w:b/>
          <w:bCs/>
          <w:color w:val="CC0000"/>
          <w:sz w:val="24"/>
          <w:szCs w:val="24"/>
        </w:rPr>
        <w:t xml:space="preserve">Key emails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4"/>
              <w:left w:val="single" w:color="CCCCCC" w:sz="4"/>
              <w:bottom w:val="single" w:color="CCCCCC" w:sz="4"/>
              <w:right w:val="single" w:color="CCCCCC" w:sz="4"/>
            </w:tcBorders>
            <w:shd w:fill="CC0000" w:val="clear"/>
            <w:tcMar>
              <w:top w:type="dxa" w:w="100"/>
              <w:left w:type="dxa" w:w="140"/>
              <w:bottom w:type="dxa" w:w="100"/>
              <w:right w:type="dxa" w:w="140"/>
            </w:tcMar>
            <w:vAlign w:val="center"/>
          </w:tcPr>
          <w:p>
            <w:r>
              <w:rPr>
                <w:rFonts w:ascii="Arial" w:cs="Arial" w:eastAsia="Arial" w:hAnsi="Arial"/>
                <w:b/>
                <w:bCs/>
                <w:color w:val="FFFFFF"/>
                <w:sz w:val="18"/>
                <w:szCs w:val="18"/>
              </w:rPr>
              <w:t xml:space="preserve">Date</w:t>
            </w:r>
          </w:p>
        </w:tc>
        <w:tc>
          <w:tcPr>
            <w:tcW w:type="dxa" w:w="2400"/>
            <w:tcBorders>
              <w:top w:val="single" w:color="CCCCCC" w:sz="4"/>
              <w:left w:val="single" w:color="CCCCCC" w:sz="4"/>
              <w:bottom w:val="single" w:color="CCCCCC" w:sz="4"/>
              <w:right w:val="single" w:color="CCCCCC" w:sz="4"/>
            </w:tcBorders>
            <w:shd w:fill="CC0000" w:val="clear"/>
            <w:tcMar>
              <w:top w:type="dxa" w:w="100"/>
              <w:left w:type="dxa" w:w="140"/>
              <w:bottom w:type="dxa" w:w="100"/>
              <w:right w:type="dxa" w:w="140"/>
            </w:tcMar>
            <w:vAlign w:val="center"/>
          </w:tcPr>
          <w:p>
            <w:r>
              <w:rPr>
                <w:rFonts w:ascii="Arial" w:cs="Arial" w:eastAsia="Arial" w:hAnsi="Arial"/>
                <w:b/>
                <w:bCs/>
                <w:color w:val="FFFFFF"/>
                <w:sz w:val="18"/>
                <w:szCs w:val="18"/>
              </w:rPr>
              <w:t xml:space="preserve">From</w:t>
            </w:r>
          </w:p>
        </w:tc>
        <w:tc>
          <w:tcPr>
            <w:tcW w:type="dxa" w:w="5360"/>
            <w:tcBorders>
              <w:top w:val="single" w:color="CCCCCC" w:sz="4"/>
              <w:left w:val="single" w:color="CCCCCC" w:sz="4"/>
              <w:bottom w:val="single" w:color="CCCCCC" w:sz="4"/>
              <w:right w:val="single" w:color="CCCCCC" w:sz="4"/>
            </w:tcBorders>
            <w:shd w:fill="CC0000" w:val="clear"/>
            <w:tcMar>
              <w:top w:type="dxa" w:w="100"/>
              <w:left w:type="dxa" w:w="140"/>
              <w:bottom w:type="dxa" w:w="100"/>
              <w:right w:type="dxa" w:w="140"/>
            </w:tcMar>
            <w:vAlign w:val="center"/>
          </w:tcPr>
          <w:p>
            <w:r>
              <w:rPr>
                <w:rFonts w:ascii="Arial" w:cs="Arial" w:eastAsia="Arial" w:hAnsi="Arial"/>
                <w:b/>
                <w:bCs/>
                <w:color w:val="FFFFFF"/>
                <w:sz w:val="18"/>
                <w:szCs w:val="18"/>
              </w:rPr>
              <w:t xml:space="preserve">What happened</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27 Mar 2026</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Rooks, Marco</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Identifies the discrepancy in AVM factors and flags that the system is not carrying forward historical valuations.</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30 Apr 2026</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Black, Barnaby</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Shares the reference SAS code and confirms the correct method is the median, not the average.</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08 May 2026</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Perez Paredes, Jorge</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Confirms both fixes have been applied. Notes a minor residual difference due to rounding between systems.</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15 May 2026</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Black, Barnaby</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b w:val="false"/>
                <w:bCs w:val="false"/>
                <w:color w:val="333333"/>
                <w:sz w:val="18"/>
                <w:szCs w:val="18"/>
              </w:rPr>
              <w:t xml:space="preserve">Sign-off: all 13 AVM factors accepted. Item closed.</w:t>
            </w:r>
          </w:p>
        </w:tc>
      </w:tr>
    </w:tbl>
    <w:p>
      <w:pPr>
        <w:spacing w:after="0" w:before="0"/>
      </w:pPr>
      <w:r>
        <w:br w:type="page"/>
      </w:r>
    </w:p>
    <w:p>
      <w:pPr>
        <w:pStyle w:val="Heading1"/>
        <w:spacing w:after="80" w:before="120"/>
      </w:pPr>
      <w:r>
        <w:rPr>
          <w:rFonts w:ascii="Arial" w:cs="Arial" w:eastAsia="Arial" w:hAnsi="Arial"/>
          <w:b/>
          <w:bCs/>
          <w:color w:val="CC0000"/>
          <w:sz w:val="36"/>
          <w:szCs w:val="36"/>
        </w:rPr>
        <w:t>2.  LGD on Properties in Possession</w:t>
      </w:r>
    </w:p>
    <w:p>
      <w:pPr>
        <w:pBdr>
          <w:bottom w:val="single" w:color="CC0000" w:sz="12" w:space="1"/>
        </w:pBdr>
        <w:spacing w:after="140" w:before="0"/>
      </w:pPr>
    </w:p>
    <w:tbl>
      <w:tblPr>
        <w:tblW w:type="dxa" w:w="9360"/>
        <w:tblBorders>
          <w:top w:val="single" w:color="FFC107" w:sz="4"/>
          <w:left w:val="thick" w:color="FFC107" w:sz="24"/>
          <w:bottom w:val="single" w:color="FFC107" w:sz="4"/>
          <w:right w:val="single" w:color="FFC107" w:sz="4"/>
        </w:tblBorders>
      </w:tblPr>
      <w:tblGrid>
        <w:gridCol w:w="9360"/>
      </w:tblGrid>
      <w:tr>
        <w:tc>
          <w:tcPr>
            <w:tcW w:type="dxa" w:w="9360"/>
            <w:tcBorders>
              <w:top w:val="single" w:color="FFC107" w:sz="4"/>
              <w:left w:val="thick" w:color="FFC107" w:sz="24"/>
              <w:bottom w:val="single" w:color="FFC107" w:sz="4"/>
              <w:right w:val="single" w:color="FFC107" w:sz="4"/>
            </w:tcBorders>
            <w:shd w:fill="FFF8E1" w:val="clear"/>
            <w:tcMar>
              <w:top w:type="dxa" w:w="140"/>
              <w:left w:type="dxa" w:w="200"/>
              <w:bottom w:type="dxa" w:w="140"/>
              <w:right w:type="dxa" w:w="200"/>
            </w:tcMar>
          </w:tcPr>
          <w:p>
            <w:r>
              <w:rPr>
                <w:rFonts w:ascii="Arial" w:cs="Arial" w:eastAsia="Arial" w:hAnsi="Arial"/>
                <w:b/>
                <w:bCs/>
                <w:color w:val="B45309"/>
                <w:sz w:val="20"/>
                <w:szCs w:val="20"/>
              </w:rPr>
              <w:t xml:space="preserve">✘  NOT IMPLEMENTED</w:t>
            </w:r>
            <w:r>
              <w:rPr>
                <w:rFonts w:ascii="Arial" w:cs="Arial" w:eastAsia="Arial" w:hAnsi="Arial"/>
                <w:color w:val="333333"/>
                <w:sz w:val="20"/>
                <w:szCs w:val="20"/>
              </w:rPr>
              <w:t xml:space="preserve">  –  Documented for audit purposes. Requires a future change request.</w:t>
            </w:r>
          </w:p>
        </w:tc>
      </w:tr>
    </w:tbl>
    <w:p>
      <w:pPr>
        <w:spacing w:after="0" w:before="120"/>
      </w:pPr>
    </w:p>
    <w:p>
      <w:pPr>
        <w:pStyle w:val="Heading2"/>
        <w:spacing w:after="80" w:before="240"/>
      </w:pPr>
      <w:r>
        <w:rPr>
          <w:rFonts w:ascii="Arial" w:cs="Arial" w:eastAsia="Arial" w:hAnsi="Arial"/>
          <w:b/>
          <w:bCs/>
          <w:color w:val="CC0000"/>
          <w:sz w:val="24"/>
          <w:szCs w:val="24"/>
        </w:rPr>
        <w:t>What happened</w:t>
      </w:r>
    </w:p>
    <w:p>
      <w:pPr>
        <w:jc w:val="both"/>
        <w:spacing w:after="100" w:before="60"/>
      </w:pPr>
      <w:r>
        <w:rPr>
          <w:rFonts w:ascii="Arial" w:cs="Arial" w:eastAsia="Arial" w:hAnsi="Arial"/>
          <w:color w:val="333333"/>
          <w:sz w:val="20"/>
          <w:szCs w:val="20"/>
        </w:rPr>
        <w:t xml:space="preserve">During the December 2025 reconciliation, around </w:t>
      </w:r>
      <w:r>
        <w:rPr>
          <w:rFonts w:ascii="Arial" w:cs="Arial" w:eastAsia="Arial" w:hAnsi="Arial"/>
          <w:b/>
          <w:bCs/>
          <w:color w:val="333333"/>
          <w:sz w:val="20"/>
          <w:szCs w:val="20"/>
        </w:rPr>
        <w:t>131 contracts</w:t>
      </w:r>
      <w:r>
        <w:rPr>
          <w:rFonts w:ascii="Arial" w:cs="Arial" w:eastAsia="Arial" w:hAnsi="Arial"/>
          <w:color w:val="333333"/>
          <w:sz w:val="20"/>
          <w:szCs w:val="20"/>
        </w:rPr>
        <w:t xml:space="preserve"> classed as Properties in Possession — properties the bank has taken physical possession of — had an LGD of </w:t>
      </w:r>
      <w:r>
        <w:rPr>
          <w:rFonts w:ascii="Arial" w:cs="Arial" w:eastAsia="Arial" w:hAnsi="Arial"/>
          <w:b/>
          <w:bCs/>
          <w:color w:val="333333"/>
          <w:sz w:val="20"/>
          <w:szCs w:val="20"/>
        </w:rPr>
        <w:t>100%</w:t>
      </w:r>
      <w:r>
        <w:rPr>
          <w:rFonts w:ascii="Arial" w:cs="Arial" w:eastAsia="Arial" w:hAnsi="Arial"/>
          <w:color w:val="333333"/>
          <w:sz w:val="20"/>
          <w:szCs w:val="20"/>
        </w:rPr>
        <w:t xml:space="preserve"> in the system, against an expected value of around </w:t>
      </w:r>
      <w:r>
        <w:rPr>
          <w:rFonts w:ascii="Arial" w:cs="Arial" w:eastAsia="Arial" w:hAnsi="Arial"/>
          <w:b/>
          <w:bCs/>
          <w:color w:val="333333"/>
          <w:sz w:val="20"/>
          <w:szCs w:val="20"/>
        </w:rPr>
        <w:t>7%</w:t>
      </w:r>
      <w:r>
        <w:rPr>
          <w:rFonts w:ascii="Arial" w:cs="Arial" w:eastAsia="Arial" w:hAnsi="Arial"/>
          <w:color w:val="333333"/>
          <w:sz w:val="20"/>
          <w:szCs w:val="20"/>
        </w:rPr>
        <w:t xml:space="preserve">. This inflated the overall default LGD from 12.76% to 13.84%.</w:t>
      </w:r>
    </w:p>
    <w:p>
      <w:pPr>
        <w:jc w:val="both"/>
        <w:spacing w:after="100" w:before="60"/>
      </w:pPr>
      <w:r>
        <w:rPr>
          <w:rFonts w:ascii="Arial" w:cs="Arial" w:eastAsia="Arial" w:hAnsi="Arial"/>
          <w:color w:val="333333"/>
          <w:sz w:val="20"/>
          <w:szCs w:val="20"/>
        </w:rPr>
        <w:t xml:space="preserve">The root cause is a data difference: in the original development environment, a PIP contract with no agreed sale price was recorded as </w:t>
      </w:r>
      <w:r>
        <w:rPr>
          <w:rFonts w:ascii="Arial" w:cs="Arial" w:eastAsia="Arial" w:hAnsi="Arial"/>
          <w:b/>
          <w:bCs/>
          <w:color w:val="333333"/>
          <w:sz w:val="20"/>
          <w:szCs w:val="20"/>
        </w:rPr>
        <w:t>“missing”</w:t>
      </w:r>
      <w:r>
        <w:rPr>
          <w:rFonts w:ascii="Arial" w:cs="Arial" w:eastAsia="Arial" w:hAnsi="Arial"/>
          <w:color w:val="333333"/>
          <w:sz w:val="20"/>
          <w:szCs w:val="20"/>
        </w:rPr>
        <w:t xml:space="preserve">. In the new system, that same situation is recorded as </w:t>
      </w:r>
      <w:r>
        <w:rPr>
          <w:rFonts w:ascii="Arial" w:cs="Arial" w:eastAsia="Arial" w:hAnsi="Arial"/>
          <w:b/>
          <w:bCs/>
          <w:color w:val="333333"/>
          <w:sz w:val="20"/>
          <w:szCs w:val="20"/>
        </w:rPr>
        <w:t>“zero”</w:t>
      </w:r>
      <w:r>
        <w:rPr>
          <w:rFonts w:ascii="Arial" w:cs="Arial" w:eastAsia="Arial" w:hAnsi="Arial"/>
          <w:color w:val="333333"/>
          <w:sz w:val="20"/>
          <w:szCs w:val="20"/>
        </w:rPr>
        <w:t xml:space="preserve">. The calculation treats zero as a valid sale price of £0, which drives the estimated loss to 100%.</w:t>
      </w:r>
    </w:p>
    <w:p>
      <w:pPr>
        <w:jc w:val="both"/>
        <w:spacing w:after="100" w:before="60"/>
      </w:pPr>
      <w:r>
        <w:rPr>
          <w:rFonts w:ascii="Arial" w:cs="Arial" w:eastAsia="Arial" w:hAnsi="Arial"/>
          <w:color w:val="333333"/>
          <w:sz w:val="20"/>
          <w:szCs w:val="20"/>
        </w:rPr>
        <w:t xml:space="preserve">The fix is technically simple — tell the system to ignore a sale price of zero, just as it ignores a missing one. However, applying this correction would increase Regulatory Capital by approximately </w:t>
      </w:r>
      <w:r>
        <w:rPr>
          <w:rFonts w:ascii="Arial" w:cs="Arial" w:eastAsia="Arial" w:hAnsi="Arial"/>
          <w:b/>
          <w:bCs/>
          <w:color w:val="CC0000"/>
          <w:sz w:val="20"/>
          <w:szCs w:val="20"/>
        </w:rPr>
        <w:t>£1.5m</w:t>
      </w:r>
      <w:r>
        <w:rPr>
          <w:rFonts w:ascii="Arial" w:cs="Arial" w:eastAsia="Arial" w:hAnsi="Arial"/>
          <w:color w:val="333333"/>
          <w:sz w:val="20"/>
          <w:szCs w:val="20"/>
        </w:rPr>
        <w:t xml:space="preserve"> (+£18.66m in Risk-Weighted Assets). A change of this size cannot be deployed without a formal process: scoping, testing, sign-off and independent review. </w:t>
      </w:r>
      <w:r>
        <w:rPr>
          <w:rFonts w:ascii="Arial" w:cs="Arial" w:eastAsia="Arial" w:hAnsi="Arial"/>
          <w:b/>
          <w:bCs/>
          <w:color w:val="333333"/>
          <w:sz w:val="20"/>
          <w:szCs w:val="20"/>
        </w:rPr>
        <w:t>The decision was taken not to implement the change at this time.</w:t>
      </w:r>
      <w:r>
        <w:rPr>
          <w:rFonts w:ascii="Arial" w:cs="Arial" w:eastAsia="Arial" w:hAnsi="Arial"/>
          <w:color w:val="333333"/>
          <w:sz w:val="20"/>
          <w:szCs w:val="20"/>
        </w:rPr>
        <w:t xml:space="preserve"> The issue is fully understood and documented here so it can be addressed in a future planned release.</w:t>
      </w:r>
    </w:p>
    <w:p>
      <w:pPr>
        <w:spacing w:after="0" w:before="120"/>
      </w:pPr>
    </w:p>
    <w:p>
      <w:pPr>
        <w:pStyle w:val="Heading2"/>
        <w:spacing w:after="80" w:before="240"/>
      </w:pPr>
      <w:r>
        <w:rPr>
          <w:rFonts w:ascii="Arial" w:cs="Arial" w:eastAsia="Arial" w:hAnsi="Arial"/>
          <w:b/>
          <w:bCs/>
          <w:color w:val="CC0000"/>
          <w:sz w:val="24"/>
          <w:szCs w:val="24"/>
        </w:rPr>
        <w:t>Key emails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4"/>
              <w:left w:val="single" w:color="CCCCCC" w:sz="4"/>
              <w:bottom w:val="single" w:color="CCCCCC" w:sz="4"/>
              <w:right w:val="single" w:color="CCCCCC" w:sz="4"/>
            </w:tcBorders>
            <w:shd w:fill="CC0000" w:val="clear"/>
            <w:tcMar>
              <w:top w:type="dxa" w:w="100"/>
              <w:left w:type="dxa" w:w="140"/>
              <w:bottom w:type="dxa" w:w="100"/>
              <w:right w:type="dxa" w:w="140"/>
            </w:tcMar>
            <w:vAlign w:val="center"/>
          </w:tcPr>
          <w:p>
            <w:r>
              <w:rPr>
                <w:rFonts w:ascii="Arial" w:cs="Arial" w:eastAsia="Arial" w:hAnsi="Arial"/>
                <w:b/>
                <w:bCs/>
                <w:color w:val="FFFFFF"/>
                <w:sz w:val="18"/>
                <w:szCs w:val="18"/>
              </w:rPr>
              <w:t>Date</w:t>
            </w:r>
          </w:p>
        </w:tc>
        <w:tc>
          <w:tcPr>
            <w:tcW w:type="dxa" w:w="2400"/>
            <w:tcBorders>
              <w:top w:val="single" w:color="CCCCCC" w:sz="4"/>
              <w:left w:val="single" w:color="CCCCCC" w:sz="4"/>
              <w:bottom w:val="single" w:color="CCCCCC" w:sz="4"/>
              <w:right w:val="single" w:color="CCCCCC" w:sz="4"/>
            </w:tcBorders>
            <w:shd w:fill="CC0000" w:val="clear"/>
            <w:tcMar>
              <w:top w:type="dxa" w:w="100"/>
              <w:left w:type="dxa" w:w="140"/>
              <w:bottom w:type="dxa" w:w="100"/>
              <w:right w:type="dxa" w:w="140"/>
            </w:tcMar>
            <w:vAlign w:val="center"/>
          </w:tcPr>
          <w:p>
            <w:r>
              <w:rPr>
                <w:rFonts w:ascii="Arial" w:cs="Arial" w:eastAsia="Arial" w:hAnsi="Arial"/>
                <w:b/>
                <w:bCs/>
                <w:color w:val="FFFFFF"/>
                <w:sz w:val="18"/>
                <w:szCs w:val="18"/>
              </w:rPr>
              <w:t>From</w:t>
            </w:r>
          </w:p>
        </w:tc>
        <w:tc>
          <w:tcPr>
            <w:tcW w:type="dxa" w:w="5360"/>
            <w:tcBorders>
              <w:top w:val="single" w:color="CCCCCC" w:sz="4"/>
              <w:left w:val="single" w:color="CCCCCC" w:sz="4"/>
              <w:bottom w:val="single" w:color="CCCCCC" w:sz="4"/>
              <w:right w:val="single" w:color="CCCCCC" w:sz="4"/>
            </w:tcBorders>
            <w:shd w:fill="CC0000" w:val="clear"/>
            <w:tcMar>
              <w:top w:type="dxa" w:w="100"/>
              <w:left w:type="dxa" w:w="140"/>
              <w:bottom w:type="dxa" w:w="100"/>
              <w:right w:type="dxa" w:w="140"/>
            </w:tcMar>
            <w:vAlign w:val="center"/>
          </w:tcPr>
          <w:p>
            <w:r>
              <w:rPr>
                <w:rFonts w:ascii="Arial" w:cs="Arial" w:eastAsia="Arial" w:hAnsi="Arial"/>
                <w:b/>
                <w:bCs/>
                <w:color w:val="FFFFFF"/>
                <w:sz w:val="18"/>
                <w:szCs w:val="18"/>
              </w:rPr>
              <w:t>What happened</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color w:val="333333"/>
                <w:sz w:val="18"/>
                <w:szCs w:val="18"/>
              </w:rPr>
              <w:t>07 May 2026</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color w:val="333333"/>
                <w:sz w:val="18"/>
                <w:szCs w:val="18"/>
              </w:rPr>
              <w:t>Black, Barnaby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color w:val="333333"/>
                <w:sz w:val="18"/>
                <w:szCs w:val="18"/>
              </w:rPr>
              <w:t>Flags that ~131 PIP contracts have LGD = 100% in the system vs ~7% expected. Asks for an explanation.</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color w:val="333333"/>
                <w:sz w:val="18"/>
                <w:szCs w:val="18"/>
              </w:rPr>
              <w:t>08 May 2026</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color w:val="333333"/>
                <w:sz w:val="18"/>
                <w:szCs w:val="18"/>
              </w:rPr>
              <w:t>Perez Paredes, Jorge</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color w:val="333333"/>
                <w:sz w:val="18"/>
                <w:szCs w:val="18"/>
              </w:rPr>
              <w:t>Root cause identified: the system treats a zero sale price as valid, setting the recovery value to £0 and driving LGD to 100%.</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color w:val="333333"/>
                <w:sz w:val="18"/>
                <w:szCs w:val="18"/>
              </w:rPr>
              <w:t>11 May 2026</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color w:val="333333"/>
                <w:sz w:val="18"/>
                <w:szCs w:val="18"/>
              </w:rPr>
              <w:t>Black, Barnaby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color w:val="333333"/>
                <w:sz w:val="18"/>
                <w:szCs w:val="18"/>
              </w:rPr>
              <w:t>Confirms the issue. Proposes the fix. Quantifies the impact: default LGD rises from 12.76% to 13.84%, capital impact ~£1.5m.</w:t>
            </w:r>
          </w:p>
        </w:tc>
      </w:tr>
      <w:tr>
        <w:tc>
          <w:tcPr>
            <w:tcW w:type="dxa" w:w="1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color w:val="333333"/>
                <w:sz w:val="18"/>
                <w:szCs w:val="18"/>
              </w:rPr>
              <w:t>13 May 2026</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color w:val="333333"/>
                <w:sz w:val="18"/>
                <w:szCs w:val="18"/>
              </w:rPr>
              <w:t>Perez Paredes, Jorge</w:t>
            </w:r>
          </w:p>
        </w:tc>
        <w:tc>
          <w:tcPr>
            <w:tcW w:type="dxa" w:w="5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r>
              <w:rPr>
                <w:rFonts w:ascii="Arial" w:cs="Arial" w:eastAsia="Arial" w:hAnsi="Arial"/>
                <w:color w:val="333333"/>
                <w:sz w:val="18"/>
                <w:szCs w:val="18"/>
              </w:rPr>
              <w:t>Confirms the fix is technically ready but flags it must go through a formal process given the capital impact. Requests a scoping meeting. No decision to proceed received. Change remains on hold.</w:t>
            </w:r>
          </w:p>
        </w:tc>
      </w:tr>
    </w:tbl>
    <w:p>
      <w:pPr>
        <w:spacing w:after="0" w:before="240"/>
      </w:pPr>
    </w:p>
    <w:p>
      <w:pPr>
        <w:spacing w:after="0" w:before="80"/>
        <w:pBdr>
          <w:top w:val="single" w:color="CCCCCC" w:sz="4" w:space="1"/>
        </w:pBdr>
      </w:pPr>
      <w:r>
        <w:rPr>
          <w:rFonts w:ascii="Arial" w:cs="Arial" w:eastAsia="Arial" w:hAnsi="Arial"/>
          <w:i/>
          <w:iCs/>
          <w:color w:val="999999"/>
          <w:sz w:val="20"/>
          <w:szCs w:val="20"/>
        </w:rPr>
        <w:t xml:space="preserve">End of document  –  Mortgage Hybrid IRB Models Change Log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500"/>
      </w:tabs>
      <w:spacing w:after="0" w:before="80"/>
    </w:pPr>
    <w:r>
      <w:rPr>
        <w:rFonts w:ascii="Arial" w:cs="Arial" w:eastAsia="Arial" w:hAnsi="Arial"/>
        <w:color w:val="999999"/>
        <w:sz w:val="16"/>
        <w:szCs w:val="16"/>
      </w:rPr>
      <w:t xml:space="preserve">Santander Technology</w:t>
    </w:r>
    <w:r>
      <w:rPr>
        <w:rFonts w:ascii="Arial" w:cs="Arial" w:eastAsia="Arial" w:hAnsi="Arial"/>
        <w:color w:val="999999"/>
        <w:sz w:val="16"/>
        <w:szCs w:val="16"/>
      </w:rPr>
      <w:t xml:space="preserve">	Page </w:t>
    </w:r>
    <w:r>
      <w:rPr>
        <w:rFonts w:ascii="Arial" w:cs="Arial" w:eastAsia="Arial" w:hAnsi="Arial"/>
        <w:color w:val="99999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1"/>
      </w:pBdr>
      <w:spacing w:after="100" w:before="0"/>
    </w:pPr>
    <w:r>
      <w:rPr>
        <w:rFonts w:ascii="Arial" w:cs="Arial" w:eastAsia="Arial" w:hAnsi="Arial"/>
        <w:color w:val="999999"/>
        <w:sz w:val="16"/>
        <w:szCs w:val="16"/>
      </w:rPr>
      <w:t xml:space="preserve">Confidential  |  </w:t>
    </w:r>
    <w:r>
      <w:rPr>
        <w:rFonts w:ascii="Arial" w:cs="Arial" w:eastAsia="Arial" w:hAnsi="Arial"/>
        <w:color w:val="333333"/>
        <w:sz w:val="16"/>
        <w:szCs w:val="16"/>
      </w:rPr>
      <w:t xml:space="preserve">Mortgage Hybrid IRB Models –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CC00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CC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2026-05-18T14:39:08.860Z</dcterms:created>
  <dcterms:modified xsi:type="dcterms:W3CDTF">2026-05-18T14:39:08.872Z</dcterms:modified>
</cp:coreProperties>
</file>

<file path=docProps/custom.xml><?xml version="1.0" encoding="utf-8"?>
<Properties xmlns="http://schemas.openxmlformats.org/officeDocument/2006/custom-properties" xmlns:vt="http://schemas.openxmlformats.org/officeDocument/2006/docPropsVTypes"/>
</file>