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Confidential</w:t>
      </w:r>
    </w:p>
    <w:p>
      <w:pPr>
        <w:pBdr>
          <w:bottom w:val="single" w:color="CC0000" w:sz="18" w:space="1"/>
        </w:pBdr>
        <w:spacing w:after="0" w:before="0"/>
      </w:pPr>
    </w:p>
    <w:p>
      <w:pPr>
        <w:spacing w:after="0" w:before="2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C0000"/>
          <w:sz w:val="52"/>
          <w:szCs w:val="52"/>
        </w:rPr>
        <w:t xml:space="preserve">Change Log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26"/>
          <w:szCs w:val="26"/>
        </w:rPr>
        <w:t xml:space="preserve">Mortgage Hybrid IRB Models – Implementation</w:t>
      </w:r>
    </w:p>
    <w:p>
      <w:pPr>
        <w:spacing w:after="2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Santander Technology  |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Mortgage Hybrid IRB Models – Change Log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  –  May 2026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Hybrid Mortgages Team (Santander Technology)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60" w:before="32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Introduction</w:t>
      </w:r>
    </w:p>
    <w:p>
      <w:pPr>
        <w:pBdr>
          <w:bottom w:val="single" w:color="CC0000" w:sz="12" w:space="1"/>
        </w:pBdr>
        <w:spacing w:after="160" w:before="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document records two issues identified during the implementation of the Mortgage Hybrid IRB Models into the new system (Santander UK Data Lake / Athena platform), discovered while comparing results produced by the new system against the reference values (May 2026 Working Group).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LGD on Properties in Possession (Not Implemented):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 discrepancy in how the system handles a missing sale price for properties the bank has taken possession of. Fully understood but not corrected due to a £1.5m Regulatory Capital impact. Documented here for audit purposes.</w:t>
      </w:r>
    </w:p>
    <w:p>
      <w:pPr>
        <w:spacing w:after="0" w:before="0"/>
      </w:pPr>
      <w:r>
        <w:br w:type="page"/>
      </w:r>
    </w:p>
    <w:p>
      <w:pPr>
        <w:pStyle w:val="Heading1"/>
        <w:spacing w:after="60" w:before="32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2.  LGD on Properties in Possession</w:t>
      </w:r>
    </w:p>
    <w:p>
      <w:pPr>
        <w:pBdr>
          <w:bottom w:val="single" w:color="CC0000" w:sz="12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thick" w:color="FFC107" w:sz="24"/>
              <w:bottom w:val="single" w:color="FFC107" w:sz="4"/>
              <w:right w:val="single" w:color="FFC107" w:sz="4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✘  NOT IMPLEMENTED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–  Documented for audit purposes. Requires a future change request.</w:t>
            </w:r>
          </w:p>
        </w:tc>
      </w:tr>
    </w:tbl>
    <w:p>
      <w:pPr>
        <w:spacing w:after="0" w:before="16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Issue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During the December 2025 reconciliation, around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131 contracts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classed as Properties in Possession (PIP) — properties the bank has taken physical possession of — had an LGD of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100%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in the system, against an expected value of around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7%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. This inflated the overall default LGD from 12.76% to 13.84%.</w:t>
      </w:r>
    </w:p>
    <w:p>
      <w:pPr>
        <w:spacing w:after="0"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root cause is a data difference: in the original development environment, a PIP contract with no agreed sale price was recorded as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"missing"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. In the new system, that same situation is recorded as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"zero"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. The calculation treats zero as a valid sale price of £0, setting the recovery value to £0 and driving the estimated loss to 100%.</w:t>
      </w:r>
    </w:p>
    <w:p>
      <w:pPr>
        <w:spacing w:after="0" w:before="10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Solution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fix is technically simple: add a condition to ignore a zero sale price, in the same way a missing value is already ignored. The original code and the proposed change are shown below.</w:t>
      </w:r>
    </w:p>
    <w:p>
      <w:pPr>
        <w:spacing w:after="0" w:before="80"/>
      </w:pPr>
    </w:p>
    <w:p>
      <w:pPr>
        <w:spacing w:after="20" w:before="60"/>
        <w:jc w:val="both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Original code: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default = 1 and pip_ind = 'Y' and sugg_sale_price ne . then do;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lgd_recovery_valuation = sugg_sale_price;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lgd_avm_hpi_flag = 'AVM';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else if current_avm_confidence in (., 0) or current_valuation_amt_avm in (., 0) then do;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lgd_recovery_valuation = current_valuation_amt;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lgd_avm_hpi_flag = 'HPI';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else do;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lgd_recovery_valuation = current_valuation_amt_avm;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lgd_avm_hpi_flag = 'AVM';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end;</w:t>
      </w:r>
    </w:p>
    <w:p>
      <w:pPr>
        <w:spacing w:after="0" w:before="80"/>
      </w:pPr>
    </w:p>
    <w:p>
      <w:pPr>
        <w:spacing w:after="20" w:before="60"/>
        <w:jc w:val="both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Proposed change (adding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sugg_sale_price &gt; 0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 to the first condition):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default = 1 and pip_ind = 'Y' and sugg_sale_price ne .</w:t>
      </w:r>
      <w:r>
        <w:rPr>
          <w:rFonts w:ascii="Courier New" w:cs="Courier New" w:eastAsia="Courier New" w:hAnsi="Courier New"/>
          <w:b/>
          <w:bCs/>
          <w:color w:val="CC0000"/>
          <w:sz w:val="18"/>
          <w:szCs w:val="18"/>
        </w:rPr>
        <w:t xml:space="preserve"> and sugg_sale_price &gt; 0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then do;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lgd_recovery_valuation = sugg_sale_price;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lgd_avm_hpi_flag = 'AVM';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else if current_avm_confidence in (., 0) or current_valuation_amt_avm in (., 0) then do;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lgd_recovery_valuation = current_valuation_amt;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lgd_avm_hpi_flag = 'HPI';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else do;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lgd_recovery_valuation = current_valuation_amt_avm;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lgd_avm_hpi_flag = 'AVM';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end;</w:t>
      </w:r>
    </w:p>
    <w:p>
      <w:pPr>
        <w:spacing w:after="0" w:before="10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Why it was not implemented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Although the fix is straightforward from a technical point of view, correcting this behaviour would increase the bank’s Regulatory Capital requirement by approximately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£1.5m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(+£18.66m in Risk-Weighted Assets). A change of this size cannot be deployed without a formal process: scoping, testing, sign-off and independent review.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The decision was taken not to implement the change at this time.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The issue is fully understood and documented here so it can be addressed in a future planned release with the appropriate governance process.</w:t>
      </w:r>
    </w:p>
    <w:p>
      <w:pPr>
        <w:spacing w:after="0" w:before="10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Key emails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C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C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C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07 May 2026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Black, Barnaby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Flags ~131 PIP contracts with LGD = 100% vs ~7% expected. Asks for an explanation.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08 May 2026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Perez Paredes, Jorge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Root cause identified: the system treats a zero sale price as valid, setting the recovery value to £0 and driving LGD to 100%.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11 May 2026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Black, Barnaby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Confirms the issue and proposes the fix. Quantifies the impact: default LGD rises from 12.76% to 13.84%, capital impact ~£1.5m (+£18.66m RWA).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13 May 2026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Perez Paredes, Jorge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Confirms the fix is technically ready but flags it must go through a formal process given the capital impact. Requests a scoping meeting.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>May 2026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>Working Group call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change was formally rejected on a call. Given the ~£1.5m Regulatory Capital impact, the decision was taken not to implement at this time. Issue remains documented for a future change request.</w:t>
            </w:r>
          </w:p>
        </w:tc>
      </w:tr>
    </w:tbl>
    <w:p>
      <w:pPr>
        <w:spacing w:after="0" w:before="80"/>
      </w:pPr>
    </w:p>
    <w:p>
      <w:pPr>
        <w:spacing w:after="0" w:before="60"/>
        <w:jc w:val="both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Full email thread: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 Mortgage Hybrid Implementation – Working Group.msg</w:t>
      </w:r>
    </w:p>
    <w:p>
      <w:pPr>
        <w:spacing w:after="0" w:before="200"/>
      </w:pPr>
    </w:p>
    <w:p>
      <w:pPr>
        <w:pBdr>
          <w:top w:val="single" w:color="CCCCCC" w:sz="4" w:space="1"/>
        </w:pBdr>
        <w:spacing w:after="0" w:before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 – Mortgage Hybrid IRB Models Change Log v1.0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8500"/>
      </w:tabs>
      <w:spacing w:after="0" w:before="80"/>
    </w:pPr>
    <w:r>
      <w:rPr>
        <w:rFonts w:ascii="Arial" w:cs="Arial" w:eastAsia="Arial" w:hAnsi="Arial"/>
        <w:color w:val="777777"/>
        <w:sz w:val="16"/>
        <w:szCs w:val="16"/>
      </w:rPr>
      <w:t xml:space="preserve">Santander Technology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6" w:space="1"/>
      </w:pBdr>
      <w:tabs>
        <w:tab w:val="right" w:pos="8500"/>
      </w:tabs>
      <w:spacing w:after="100" w:before="0"/>
    </w:pPr>
    <w:r>
      <w:rPr>
        <w:rFonts w:ascii="Arial" w:cs="Arial" w:eastAsia="Arial" w:hAnsi="Arial"/>
        <w:color w:val="777777"/>
        <w:sz w:val="16"/>
        <w:szCs w:val="16"/>
      </w:rPr>
      <w:t xml:space="preserve">Confidential  |  Mortgage Hybrid IRB Models – Change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320"/>
      <w:outlineLvl w:val="0"/>
    </w:pPr>
    <w:rPr>
      <w:rFonts w:ascii="Arial" w:cs="Arial" w:eastAsia="Arial" w:hAnsi="Arial"/>
      <w:b/>
      <w:bCs/>
      <w:color w:val="C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rFonts w:ascii="Arial" w:cs="Arial" w:eastAsia="Arial" w:hAnsi="Arial"/>
      <w:b/>
      <w:bCs/>
      <w:color w:val="CC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2026-05-19T10:33:45.739Z</dcterms:created>
  <dcterms:modified xsi:type="dcterms:W3CDTF">2026-05-19T10:33:45.752Z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