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EC0000"/>
          <w:sz w:val="20"/>
          <w:szCs w:val="20"/>
        </w:rPr>
        <w:t xml:space="preserve">HOMETRACK — CONTROLES DE DATOS</w:t>
      </w:r>
    </w:p>
    <w:p>
      <w:pPr>
        <w:spacing w:after="8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Acciones en Final validation required</w:t>
      </w:r>
    </w:p>
    <w:p>
      <w:pPr>
        <w:pBdr>
          <w:bottom w:val="single" w:color="EC0000" w:sz="12" w:space="6"/>
        </w:pBd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de trabajo interno — plantilla de recogida de evidencia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Este documento recoge las 6 filas del tracker que siguen en Final validation required. Cada apartado indica qué pide el tracker, qué información ya está disponible y qué queda por aportar. Las fichas en gris son para ir rellenando.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Condicionante actual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Las tablas hometrack_* de Athena están creadas pero vacías: por ahora solo existen las definiciones de tablas y columnas, sin datos cargados. Esto divide las 6 acciones en dos grupos: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9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/ header control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Abordable ahora — solo requiere metadatos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Nombres de tablas y referencias de ejecución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Abordable ahora — solo requiere catálogo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Price_UK mapping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Parcialmente abordable — el mapeo sí, la evidencia de valores no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EPR Quarterly format1/2 Year rule</w:t>
            </w:r>
          </w:p>
        </w:tc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Bloqueado — requiere ejecutar sobre datos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Timeliness y latest-period checks</w:t>
            </w:r>
          </w:p>
        </w:tc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Bloqueado — requiere entregas reales en SFTP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 count esperado y clave única</w:t>
            </w:r>
          </w:p>
        </w:tc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Bloqueado — requiere datos cargados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Conviene trasladar esta dependencia al owner del control, ya que el sign-off condicional asume evidencia de plataforma que hoy no puede generarse para las tres filas bloqueadas.</w:t>
      </w:r>
    </w:p>
    <w:p>
      <w:pPr>
        <w:pStyle w:val="Heading1"/>
        <w:pBdr>
          <w:bottom w:val="single" w:color="EC0000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EC0000"/>
          <w:sz w:val="26"/>
          <w:szCs w:val="26"/>
        </w:rPr>
        <w:t xml:space="preserve">1 — Schema / header control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Qué pide el tracker: confirmar la lista canónica de cabeceras por fichero, de forma que no puedan pasar desapercibidas cabeceras que falten, renombradas, duplicadas o inesperadas. Evidencia: la lista aprobada y el mapeo usado en Athena para cada tipo de fichero.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Información disponible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Base de datos: retail_capital. Tablas: patrón hometrack%. La consulta a information_schema devuelve la definición aunque las tablas estén vacías, y es metadato, por lo que no requiere permisos de lectura sobre datos.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Query propuesta — inventario de columnas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table_name, ordinal_position, column_name, data_type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  information_schema.columns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 table_schema = 'retail_capital'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 table_name LIKE 'hometrack%'</w:t>
      </w:r>
    </w:p>
    <w:p>
      <w:pPr>
        <w:shd w:fill="F2F2F2" w:val="clear"/>
        <w:spacing w:after="1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 BY table_name, ordinal_position;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Query propuesta — firma de cabecera por tabla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Devuelve una fila por tabla con la secuencia completa de columnas en orden. Permite comparar de un vistazo contra la lista canónica y detectar los cuatro casos del control, incluidos los cambios de orden.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table_name,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count(*) AS n_columnas,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array_join(array_agg(column_name ORDER BY ordinal_position), ',') AS firma_cabecera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  information_schema.columns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 table_schema = 'retail_capital'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 table_name LIKE 'hometrack%'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GROUP  BY table_name</w:t>
      </w:r>
    </w:p>
    <w:p>
      <w:pPr>
        <w:shd w:fill="F2F2F2" w:val="clear"/>
        <w:spacing w:after="1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 BY table_name;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Anexo de esquemas — a rellenar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Una fila por cabecera y fichero. La parte CSV sale de la primera línea de cada fichero de muestra; la parte Athena, del resultado de las queries anteriores.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800"/>
        <w:gridCol w:w="2200"/>
        <w:gridCol w:w="1000"/>
      </w:tblGrid>
      <w:tr>
        <w:trPr>
          <w:tblHeader/>
        </w:trPr>
        <w:tc>
          <w:tcPr>
            <w:tcW w:type="dxa" w:w="26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24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Cabecera CSV</w:t>
            </w:r>
          </w:p>
        </w:tc>
        <w:tc>
          <w:tcPr>
            <w:tcW w:type="dxa" w:w="8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2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Athena</w:t>
            </w:r>
          </w:p>
        </w:tc>
        <w:tc>
          <w:tcPr>
            <w:tcW w:type="dxa" w:w="10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Nota: son 7 tipos de fichero. Si format1 y format2 comparten esquema, el número de esquemas únicos será menor y basta con documentarlo una vez indicando qué ficheros lo usan.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Ficha de cierre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 Athena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/ evidencia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ejecución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Ubicación del fichero de evidencia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C0000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EC0000"/>
          <w:sz w:val="26"/>
          <w:szCs w:val="26"/>
        </w:rPr>
        <w:t xml:space="preserve">8 — Nombres de tablas y referencias de ejecución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Qué pide el tracker: confirmar los nombres finales de base de datos, tabla y vista de Athena usados para ejecutar cada query de control, de modo que la implementación pueda citarlos de forma inequívoca.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Información disponible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Las tablas hometrack_* residen en la base de datos retail_capital. Son visibles con el rol local-cdf-data-catalog-discovery (cuenta 553458281133), que da acceso únicamente a metadatos y esquema. Desde el rol de capital local-cdf-capitallake-test-data-role no son visibles.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Pendiente de confirmación: si esas son las tablas definitivas y qué permisos hacen falta para leerlas cuando haya datos.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Tabla de objetos — a rellenar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00"/>
      </w:tblGrid>
      <w:tr>
        <w:trPr>
          <w:tblHeader/>
        </w:trPr>
        <w:tc>
          <w:tcPr>
            <w:tcW w:type="dxa" w:w="20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 / control</w:t>
            </w:r>
          </w:p>
        </w:tc>
        <w:tc>
          <w:tcPr>
            <w:tcW w:type="dxa" w:w="24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2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 (si aplica)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Ficha de cierre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Confirmado por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 usado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Permisos pendientes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C0000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EC0000"/>
          <w:sz w:val="26"/>
          <w:szCs w:val="26"/>
        </w:rPr>
        <w:t xml:space="preserve">5 — Price_UK mapping (EPR Quarterly format1)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Qué pide el tracker: documentar el campo o vista de Athena que identifica de forma unívoca la columna de precio UK en el fichero EPR format1, dado que el CSV de origen trae cabeceras de precio repetidas. Price_UK no es una columna de origen, sino el nombre canónico tras la ingesta.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Qué aporta cada escenario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60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 aportar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Vista de Athena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CREATE VIEW completo — muestra el SELECT ... AS Price_UK y la columna de origen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Lógica en el job de ingesta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Fragmento de código donde se hace la asignación, más el DESCRIBE de la tabla resultante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Esta parte es abordable ahora: el DDL existe con independencia de que la tabla tenga filas.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Evidencia de valores — pendiente de datos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Las dos reglas de la Guía sobre este campo (poblado y numérico; mayor o igual que cero) no pueden evidenciarse hasta que haya carga real. Query prevista: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count(*) AS total,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sum(CASE WHEN Price_UK IS NULL THEN 1 ELSE 0 END) AS nulos,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sum(CASE WHEN Price_UK &lt; 0    THEN 1 ELSE 0 END) AS negativos</w:t>
      </w:r>
    </w:p>
    <w:p>
      <w:pPr>
        <w:shd w:fill="F2F2F2" w:val="clear"/>
        <w:spacing w:after="14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  &lt;vista_format1&gt;;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Ficha de cierre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 Athena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/ evidencia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ejecución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Ubicación del fichero de evidencia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C0000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EC0000"/>
          <w:sz w:val="26"/>
          <w:szCs w:val="26"/>
        </w:rPr>
        <w:t xml:space="preserve">3 — EPR Quarterly format1/2: regla del campo Year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Qué pide el tracker: validar que el campo Year del fichero ancho se comprueba con el patrón YYYY Q1-Q4 sobre toda la serie histórica, y no contra una lista cerrada de valores de 2025. Evidencia: la lógica de regex o parsing usada en Athena y el resultado de la query.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Punto crítico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Lo que se pide es la cláusula literal configurada en el control, no una equivalente escrita para la ocasión. El diseño ya se dio por validado en el dry run; lo que falta es la prueba de que la plataforma implementa ese diseño. Por tanto el orden es: localizar el control real, ejecutarlo, y adjuntar ambas cosas.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Estado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Bloqueado para la parte de ejecución mientras las tablas estén vacías. La parte de localizar la cláusula literal sí puede adelantarse.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 rellenar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Cláusula literal del control (copiada tal cual)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implementación (regexp_like / split / posicional)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 sobre el que corre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Rango de la serie cubierto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 por año (válidos / inválidos)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ejecución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C0000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EC0000"/>
          <w:sz w:val="26"/>
          <w:szCs w:val="26"/>
        </w:rPr>
        <w:t xml:space="preserve">9 — Timeliness y latest-period checks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Qué pide el tracker: evidencia de landing en SFTP y confirmación del periodo de contenido más reciente esperado para cada familia de fichero. Evidencia: timestamps de llegada, SLA acordado y la lógica de último periodo por tipo de fichero.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Estado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Bloqueado: requiere entregas reales sobre las que medir. La definición del SLA y de la lógica de latest-period sí puede acordarse por escrito con antelación.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Tabla a rellenar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400"/>
      </w:tblGrid>
      <w:tr>
        <w:trPr>
          <w:tblHeader/>
        </w:trPr>
        <w:tc>
          <w:tcPr>
            <w:tcW w:type="dxa" w:w="26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Familia de fichero</w:t>
            </w:r>
          </w:p>
        </w:tc>
        <w:tc>
          <w:tcPr>
            <w:tcW w:type="dxa" w:w="18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2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de llegada</w:t>
            </w:r>
          </w:p>
        </w:tc>
        <w:tc>
          <w:tcPr>
            <w:tcW w:type="dxa" w:w="24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Periodo esperado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 de los timestamps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recogida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C0000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EC0000"/>
          <w:sz w:val="26"/>
          <w:szCs w:val="26"/>
        </w:rPr>
        <w:t xml:space="preserve">10 — Row count esperado y clave única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Qué pide el tracker: la lógica de row count esperado y la comprobación de claves duplicadas para cada fichero de formato largo. Evidencia: el conteo esperado por fichero y periodo, y la clave usada para detectar duplicados.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Estado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Bloqueado para la comprobación, pero la definición de la clave y de la fórmula de conteo esperado es documental y puede cerrarse ya. Al hacerlo conviene dejar por escrito el criterio, para que la comprobación posterior sea mecánica.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Tabla a rellenar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1800"/>
      </w:tblGrid>
      <w:tr>
        <w:trPr>
          <w:tblHeader/>
        </w:trPr>
        <w:tc>
          <w:tcPr>
            <w:tcW w:type="dxa" w:w="24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26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única (columnas)</w:t>
            </w:r>
          </w:p>
        </w:tc>
        <w:tc>
          <w:tcPr>
            <w:tcW w:type="dxa" w:w="22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count esperado</w:t>
            </w:r>
          </w:p>
        </w:tc>
        <w:tc>
          <w:tcPr>
            <w:tcW w:type="dxa" w:w="1800"/>
            <w:shd w:fill="E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Tolerancia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 Athena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/ evidencia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ejecución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Ubicación del fichero de evidencia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C0000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EC0000"/>
          <w:sz w:val="26"/>
          <w:szCs w:val="26"/>
        </w:rPr>
        <w:t xml:space="preserve">Nota de seguimiento</w:t>
      </w:r>
    </w:p>
    <w:p>
      <w:pPr>
        <w:spacing w:after="120" w:line="260"/>
      </w:pPr>
      <w:r>
        <w:rPr>
          <w:rFonts w:ascii="Arial" w:cs="Arial" w:eastAsia="Arial" w:hAnsi="Arial"/>
          <w:sz w:val="20"/>
          <w:szCs w:val="20"/>
        </w:rPr>
        <w:t xml:space="preserve">Las filas marcadas como Final validation required deben mantenerse abiertas hasta que el equipo de proyecto aporte la evidencia de query, mapeo o landing correspondiente. Las filas completadas se conservan como soporte del pack de aprobación.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2026-08-07T09:04:47.739Z</dcterms:created>
  <dcterms:modified xsi:type="dcterms:W3CDTF">2026-08-07T09:04:47.754Z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