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6"/>
          <w:szCs w:val="36"/>
        </w:rPr>
        <w:t xml:space="preserve">Validación del motor de capital</w:t>
      </w:r>
    </w:p>
    <w:p>
      <w:pPr>
        <w:pBdr>
          <w:bottom w:val="single" w:color="BFBFBF" w:sz="6" w:space="6"/>
        </w:pBdr>
        <w:spacing w:after="200"/>
      </w:pPr>
      <w:r>
        <w:rPr>
          <w:color w:val="666666"/>
          <w:sz w:val="24"/>
          <w:szCs w:val="24"/>
        </w:rPr>
        <w:t xml:space="preserve">Hybrid Mortgages · Estado de situación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6960"/>
            <w:shd w:fill="D9E2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Fecha</w:t>
            </w:r>
          </w:p>
        </w:tc>
        <w:tc>
          <w:tcPr>
            <w:tcW w:type="dxa" w:w="69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13/07/2026</w:t>
            </w:r>
          </w:p>
        </w:tc>
      </w:tr>
      <w:tr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Autor</w:t>
            </w:r>
          </w:p>
        </w:tc>
        <w:tc>
          <w:tcPr>
            <w:tcW w:type="dxa" w:w="69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Jorge Pérez Paredes (NFQ)</w:t>
            </w:r>
          </w:p>
        </w:tc>
      </w:tr>
      <w:tr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Motor</w:t>
            </w:r>
          </w:p>
        </w:tc>
        <w:tc>
          <w:tcPr>
            <w:tcW w:type="dxa" w:w="69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oat_capital_discoveryzone.mortgage_irb_model_output · 2026-03-31 · ACM2</w:t>
            </w:r>
          </w:p>
        </w:tc>
      </w:tr>
      <w:tr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RMDS</w:t>
            </w:r>
          </w:p>
        </w:tc>
        <w:tc>
          <w:tcPr>
            <w:tcW w:type="dxa" w:w="69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capital_discoveryzone.capital_rmds · 2026-03-31 · MCM2</w:t>
            </w:r>
          </w:p>
        </w:tc>
      </w:tr>
    </w:tbl>
    <w:p>
      <w:pPr>
        <w:pStyle w:val="Heading1"/>
        <w:spacing w:after="150" w:before="320"/>
      </w:pPr>
      <w:r>
        <w:t xml:space="preserve">1. Lo que se pide</w:t>
      </w:r>
    </w:p>
    <w:p>
      <w:pPr>
        <w:spacing w:after="110"/>
      </w:pPr>
      <w:r>
        <w:t xml:space="preserve">Validar que la EAD, la PD y la LGD llegan correctamente desde RMDS al motor de capital, con un control previo de completitud y un control de estabilidad frente a diciembre de 2025.</w:t>
      </w:r>
    </w:p>
    <w:p>
      <w:pPr>
        <w:spacing w:after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shd w:fill="D9E2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Punto</w:t>
            </w:r>
          </w:p>
        </w:tc>
        <w:tc>
          <w:tcPr>
            <w:tcW w:type="dxa" w:w="2800"/>
            <w:shd w:fill="D9E2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5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Completitud de contratos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HECHO</w:t>
            </w:r>
          </w:p>
        </w:tc>
      </w:tr>
      <w:tr>
        <w:tc>
          <w:tcPr>
            <w:tcW w:type="dxa" w:w="65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EAD on-balance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99700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65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EAD off-balance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5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PD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5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LGD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65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Trazabilidad dic-25 vs mar-26 (EAD, PD y LGD)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HECHO</w:t>
            </w:r>
          </w:p>
        </w:tc>
      </w:tr>
    </w:tbl>
    <w:p>
      <w:pPr>
        <w:spacing w:after="120"/>
      </w:pPr>
    </w:p>
    <w:p>
      <w:pPr>
        <w:spacing w:after="110"/>
      </w:pPr>
      <w:r>
        <w:rPr>
          <w:b/>
          <w:bCs/>
        </w:rPr>
        <w:t xml:space="preserve">En una frase: lo que depende de saldos contables (completitud, EAD on-balance salvo un 2,5%, y estabilidad frente a diciembre) está validado. Lo que depende de parámetros del modelo (PD, LGD y EAD off-balance) espera a que RMDS cargue el modelo Hybrid (partición MCM3), aún inexistente.</w:t>
      </w:r>
    </w:p>
    <w:p>
      <w:r>
        <w:br w:type="page"/>
      </w:r>
    </w:p>
    <w:p>
      <w:pPr>
        <w:pStyle w:val="Heading1"/>
        <w:spacing w:after="150" w:before="320"/>
      </w:pPr>
      <w:r>
        <w:t xml:space="preserve">2. Completitud de contratos</w:t>
      </w:r>
    </w:p>
    <w:p>
      <w:pPr>
        <w:pBdr>
          <w:top w:val="single" w:color="1F7A3D" w:sz="2" w:space="6"/>
          <w:bottom w:val="single" w:color="1F7A3D" w:sz="2" w:space="6"/>
          <w:left w:val="single" w:color="1F7A3D" w:sz="2" w:space="10"/>
          <w:right w:val="single" w:color="1F7A3D" w:sz="2" w:space="6"/>
        </w:pBdr>
        <w:shd w:fill="1F7A3D" w:val="clear"/>
        <w:spacing w:after="110" w:before="200"/>
      </w:pPr>
      <w:r>
        <w:rPr>
          <w:b/>
          <w:bCs/>
          <w:color w:val="FFFFFF"/>
          <w:sz w:val="21"/>
          <w:szCs w:val="21"/>
        </w:rPr>
        <w:t xml:space="preserve">✓  HECHO — todos los contratos del motor existen en RMDS</w:t>
      </w:r>
    </w:p>
    <w:p>
      <w:pPr>
        <w:spacing w:after="60" w:before="130"/>
      </w:pPr>
      <w:r>
        <w:rPr>
          <w:b/>
          <w:bCs/>
          <w:color w:val="1F3864"/>
          <w:sz w:val="20"/>
          <w:szCs w:val="20"/>
        </w:rPr>
        <w:t xml:space="preserve">Lo que se pide</w:t>
      </w:r>
    </w:p>
    <w:p>
      <w:pPr>
        <w:spacing w:after="110"/>
      </w:pPr>
      <w:r>
        <w:t xml:space="preserve">Comprobar que ningún contrato del motor falta en RMDS. Es la condición previa a los tres bloques.</w:t>
      </w:r>
    </w:p>
    <w:p>
      <w:pPr>
        <w:spacing w:after="60" w:before="130"/>
      </w:pPr>
      <w:r>
        <w:rPr>
          <w:b/>
          <w:bCs/>
          <w:color w:val="1F3864"/>
          <w:sz w:val="20"/>
          <w:szCs w:val="20"/>
        </w:rPr>
        <w:t xml:space="preserve">Cómo se hizo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WITH rmds_agg AS (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idtf_contract_id FROM "capital_discoveryzone"."capital_rmds"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date_processed='2026-03-31' AND audt_execution_version='MCM2'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idtf_contract_id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), motor AS (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cntr_contract_id FROM "oat_capital_discoveryzone"."mortgage_irb_model_output"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date_processed='2026-03-31' AND audt_execution_version='ACM2'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SELECT COUNT(*) AS contratos_motor,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SUM(CASE WHEN r.idtf_contract_id IS NULL THEN 1 ELSE 0 END) AS sin_match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FROM motor m LEFT JOIN rmds_agg r ON m.cntr_contract_id=r.idtf_contract_id;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contratos_motor</w:t>
            </w:r>
          </w:p>
        </w:tc>
        <w:tc>
          <w:tcPr>
            <w:tcW w:type="dxa" w:w="4680"/>
            <w:shd w:fill="D9E2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sin_match</w:t>
            </w:r>
          </w:p>
        </w:tc>
      </w:tr>
      <w:tr>
        <w:tc>
          <w:tcPr>
            <w:tcW w:type="dxa" w:w="468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1.081.722</w:t>
            </w:r>
          </w:p>
        </w:tc>
        <w:tc>
          <w:tcPr>
            <w:tcW w:type="dxa" w:w="468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0</w:t>
            </w:r>
          </w:p>
        </w:tc>
      </w:tr>
    </w:tbl>
    <w:p>
      <w:pPr>
        <w:spacing w:after="60" w:before="130"/>
      </w:pPr>
      <w:r>
        <w:rPr>
          <w:b/>
          <w:bCs/>
          <w:color w:val="1F3864"/>
          <w:sz w:val="20"/>
          <w:szCs w:val="20"/>
        </w:rPr>
        <w:t xml:space="preserve">Por qué está cerrado</w:t>
      </w:r>
    </w:p>
    <w:p>
      <w:pPr>
        <w:spacing w:after="110"/>
      </w:pPr>
      <w:r>
        <w:t xml:space="preserve">Los 1.081.722 contratos del motor están en RMDS, sin duplicados. Cero huérfanos.</w:t>
      </w:r>
    </w:p>
    <w:p>
      <w:pPr>
        <w:pBdr>
          <w:top w:val="single" w:color="FDF2F2" w:sz="2" w:space="6"/>
          <w:bottom w:val="single" w:color="FDF2F2" w:sz="2" w:space="6"/>
          <w:left w:val="single" w:color="C00000" w:sz="18" w:space="8"/>
          <w:right w:val="single" w:color="FDF2F2" w:sz="2" w:space="6"/>
        </w:pBdr>
        <w:shd w:fill="FDF2F2" w:val="clear"/>
        <w:spacing w:after="140" w:before="130"/>
      </w:pPr>
      <w:r>
        <w:rPr>
          <w:b/>
          <w:bCs/>
          <w:color w:val="C00000"/>
        </w:rPr>
        <w:t xml:space="preserve">DUDA · </w:t>
      </w:r>
      <w:r>
        <w:rPr>
          <w:color w:val="C00000"/>
        </w:rPr>
        <w:t xml:space="preserve">Se asume MCM2 como la versión de RMDS correspondiente a ACM2, por nomenclatura y limpieza del dato (MCM21 y MCM22 tienen líneas de reversal). ¿Es correcta?</w:t>
      </w:r>
    </w:p>
    <w:p>
      <w:r>
        <w:br w:type="page"/>
      </w:r>
    </w:p>
    <w:p>
      <w:pPr>
        <w:pStyle w:val="Heading1"/>
        <w:spacing w:after="150" w:before="320"/>
      </w:pPr>
      <w:r>
        <w:t xml:space="preserve">3. EAD on-balance</w:t>
      </w:r>
    </w:p>
    <w:p>
      <w:pPr>
        <w:pBdr>
          <w:top w:val="single" w:color="C99700" w:sz="2" w:space="6"/>
          <w:bottom w:val="single" w:color="C99700" w:sz="2" w:space="6"/>
          <w:left w:val="single" w:color="C99700" w:sz="2" w:space="10"/>
          <w:right w:val="single" w:color="C99700" w:sz="2" w:space="6"/>
        </w:pBdr>
        <w:shd w:fill="C99700" w:val="clear"/>
        <w:spacing w:after="110" w:before="200"/>
      </w:pPr>
      <w:r>
        <w:rPr>
          <w:b/>
          <w:bCs/>
          <w:color w:val="FFFFFF"/>
          <w:sz w:val="21"/>
          <w:szCs w:val="21"/>
        </w:rPr>
        <w:t xml:space="preserve">◐  PARCIAL — validado el 97,5% (NON-FLEXI, PIPELINE, DEFAULT); pendiente FLEXI</w:t>
      </w:r>
    </w:p>
    <w:p>
      <w:pPr>
        <w:spacing w:after="60" w:before="130"/>
      </w:pPr>
      <w:r>
        <w:rPr>
          <w:b/>
          <w:bCs/>
          <w:color w:val="1F3864"/>
          <w:sz w:val="20"/>
          <w:szCs w:val="20"/>
        </w:rPr>
        <w:t xml:space="preserve">Lo que se pide</w:t>
      </w:r>
    </w:p>
    <w:p>
      <w:pPr>
        <w:spacing w:after="110"/>
      </w:pPr>
      <w:r>
        <w:t xml:space="preserve">Validar la exposición dentro de balance: saldo dispuesto más intereses devengados, agregados por contrato.</w:t>
      </w:r>
    </w:p>
    <w:p>
      <w:pPr>
        <w:spacing w:after="60" w:before="130"/>
      </w:pPr>
      <w:r>
        <w:rPr>
          <w:b/>
          <w:bCs/>
          <w:color w:val="1F3864"/>
          <w:sz w:val="20"/>
          <w:szCs w:val="20"/>
        </w:rPr>
        <w:t xml:space="preserve">Cómo se hizo</w:t>
      </w:r>
    </w:p>
    <w:p>
      <w:pPr>
        <w:spacing w:after="110"/>
      </w:pPr>
      <w:r>
        <w:t xml:space="preserve">Fórmula: ead_reg_on_balance = GREATEST(0, SUM(DRW) + SUM(ACR)), sobre acct_balance_amount.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WITH rmds_agg AS (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idtf_contract_id,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GREATEST(SUM(CASE WHEN acct_amount_type IN ('DRW','ACR')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THEN acct_balance_amount ELSE 0 END), 0) AS on_bal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"capital_discoveryzone"."capital_rmds"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date_processed='2026-03-31' AND audt_execution_version='MCM2'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idtf_contract_id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), motor AS (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cntr_contract_id, ead_segment, ead_reg_on_balance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"oat_capital_discoveryzone"."mortgage_irb_model_output"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date_processed='2026-03-31' AND audt_execution_version='ACM2'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SELECT m.ead_segment, COUNT(*) AS contratos,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SUM(CASE WHEN ABS(m.ead_reg_on_balance-COALESCE(r.on_bal,0))&gt;0.01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THEN 1 ELSE 0 END) AS ko_on,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MAX(ABS(m.ead_reg_on_balance-COALESCE(r.on_bal,0))) AS max_diff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FROM motor m LEFT JOIN rmds_agg r ON m.cntr_contract_id=r.idtf_contract_id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GROUP BY m.ead_segment ORDER BY contratos DESC;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700"/>
        <w:gridCol w:w="2100"/>
        <w:gridCol w:w="1660"/>
      </w:tblGrid>
      <w:tr>
        <w:trPr>
          <w:tblHeader/>
        </w:trPr>
        <w:tc>
          <w:tcPr>
            <w:tcW w:type="dxa" w:w="2100"/>
            <w:shd w:fill="D9E2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ead_segment</w:t>
            </w:r>
          </w:p>
        </w:tc>
        <w:tc>
          <w:tcPr>
            <w:tcW w:type="dxa" w:w="1800"/>
            <w:shd w:fill="D9E2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contratos</w:t>
            </w:r>
          </w:p>
        </w:tc>
        <w:tc>
          <w:tcPr>
            <w:tcW w:type="dxa" w:w="1700"/>
            <w:shd w:fill="D9E2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ko_on</w:t>
            </w:r>
          </w:p>
        </w:tc>
        <w:tc>
          <w:tcPr>
            <w:tcW w:type="dxa" w:w="2100"/>
            <w:shd w:fill="D9E2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max_diff</w:t>
            </w:r>
          </w:p>
        </w:tc>
        <w:tc>
          <w:tcPr>
            <w:tcW w:type="dxa" w:w="1660"/>
            <w:shd w:fill="D9E2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NON-FLEXI</w:t>
            </w:r>
          </w:p>
        </w:tc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999.605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0,00</w:t>
            </w:r>
          </w:p>
        </w:tc>
        <w:tc>
          <w:tcPr>
            <w:tcW w:type="dxa" w:w="1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PIPELINE</w:t>
            </w:r>
          </w:p>
        </w:tc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41.445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0,00</w:t>
            </w:r>
          </w:p>
        </w:tc>
        <w:tc>
          <w:tcPr>
            <w:tcW w:type="dxa" w:w="1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DEFAULT</w:t>
            </w:r>
          </w:p>
        </w:tc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13.993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0,00</w:t>
            </w:r>
          </w:p>
        </w:tc>
        <w:tc>
          <w:tcPr>
            <w:tcW w:type="dxa" w:w="1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FLEXI_CCF</w:t>
            </w:r>
          </w:p>
        </w:tc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25.254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color w:val="C00000"/>
                <w:sz w:val="18"/>
                <w:szCs w:val="18"/>
              </w:rPr>
              <w:t xml:space="preserve">11.605</w:t>
            </w:r>
          </w:p>
        </w:tc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2.157.001,17</w:t>
            </w:r>
          </w:p>
        </w:tc>
        <w:tc>
          <w:tcPr>
            <w:tcW w:type="dxa" w:w="1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color w:val="C99700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60" w:before="130"/>
      </w:pPr>
      <w:r>
        <w:rPr>
          <w:b/>
          <w:bCs/>
          <w:color w:val="1F3864"/>
          <w:sz w:val="20"/>
          <w:szCs w:val="20"/>
        </w:rPr>
        <w:t xml:space="preserve">Por qué está validado (97,5%)</w:t>
      </w:r>
    </w:p>
    <w:p>
      <w:pPr>
        <w:spacing w:after="110"/>
      </w:pPr>
      <w:r>
        <w:rPr>
          <w:color w:val="1F7A3D"/>
        </w:rPr>
        <w:t xml:space="preserve">NON-FLEXI, PIPELINE y DEFAULT —1.055.043 contratos— cuadran con cero KO y diferencia máxima 0,00. Tres reglas comprobadas: solo DRW y ACR (las provisiones son cobertura, no exposición); saldo bruto; y floor a cero (el motor no admite exposición negativa). No depende de MCM3: son saldos contables, ya correctos.</w:t>
      </w:r>
    </w:p>
    <w:p>
      <w:pPr>
        <w:spacing w:after="60" w:before="130"/>
      </w:pPr>
      <w:r>
        <w:rPr>
          <w:b/>
          <w:bCs/>
          <w:color w:val="1F3864"/>
          <w:sz w:val="20"/>
          <w:szCs w:val="20"/>
        </w:rPr>
        <w:t xml:space="preserve">Verificación en importe agregado</w:t>
      </w:r>
    </w:p>
    <w:p>
      <w:pPr>
        <w:spacing w:after="110"/>
      </w:pPr>
      <w:r>
        <w:t xml:space="preserve">Además del cuadre contrato a contrato, se comprueba que la suma total de EAD on-balance coincide entre motor y RMDS por segmento. Es el número que dimensiona la validación.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2600"/>
        <w:gridCol w:w="2600"/>
        <w:gridCol w:w="1400"/>
        <w:gridCol w:w="1000"/>
      </w:tblGrid>
      <w:tr>
        <w:trPr>
          <w:tblHeader/>
        </w:trPr>
        <w:tc>
          <w:tcPr>
            <w:tcW w:type="dxa" w:w="1760"/>
            <w:shd w:fill="D9E2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Segmento</w:t>
            </w:r>
          </w:p>
        </w:tc>
        <w:tc>
          <w:tcPr>
            <w:tcW w:type="dxa" w:w="2600"/>
            <w:shd w:fill="D9E2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Motor (£)</w:t>
            </w:r>
          </w:p>
        </w:tc>
        <w:tc>
          <w:tcPr>
            <w:tcW w:type="dxa" w:w="2600"/>
            <w:shd w:fill="D9E2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RMDS (£)</w:t>
            </w:r>
          </w:p>
        </w:tc>
        <w:tc>
          <w:tcPr>
            <w:tcW w:type="dxa" w:w="1400"/>
            <w:shd w:fill="D9E2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Diferencia</w:t>
            </w:r>
          </w:p>
        </w:tc>
        <w:tc>
          <w:tcPr>
            <w:tcW w:type="dxa" w:w="1000"/>
            <w:shd w:fill="D9E2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17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NON-FLEXI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167.006.256.359,22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167.006.256.359,22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0,00</w:t>
            </w:r>
          </w:p>
        </w:tc>
        <w:tc>
          <w:tcPr>
            <w:tcW w:type="dxa" w:w="1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color w:val="1F7A3D"/>
                <w:sz w:val="18"/>
                <w:szCs w:val="18"/>
              </w:rPr>
              <w:t xml:space="preserve">0,0%</w:t>
            </w:r>
          </w:p>
        </w:tc>
      </w:tr>
      <w:tr>
        <w:tc>
          <w:tcPr>
            <w:tcW w:type="dxa" w:w="17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PIPELINE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244.309.728,44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244.309.728,44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0,00</w:t>
            </w:r>
          </w:p>
        </w:tc>
        <w:tc>
          <w:tcPr>
            <w:tcW w:type="dxa" w:w="1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color w:val="1F7A3D"/>
                <w:sz w:val="18"/>
                <w:szCs w:val="18"/>
              </w:rPr>
              <w:t xml:space="preserve">0,0%</w:t>
            </w:r>
          </w:p>
        </w:tc>
      </w:tr>
      <w:tr>
        <w:tc>
          <w:tcPr>
            <w:tcW w:type="dxa" w:w="17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DEFAULT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1.772.268.919,45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1.772.268.919,45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0,00</w:t>
            </w:r>
          </w:p>
        </w:tc>
        <w:tc>
          <w:tcPr>
            <w:tcW w:type="dxa" w:w="1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color w:val="1F7A3D"/>
                <w:sz w:val="18"/>
                <w:szCs w:val="18"/>
              </w:rPr>
              <w:t xml:space="preserve">0,0%</w:t>
            </w:r>
          </w:p>
        </w:tc>
      </w:tr>
      <w:tr>
        <w:tc>
          <w:tcPr>
            <w:tcW w:type="dxa" w:w="17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FLEXI_CCF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1.833.559.022,31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1.491.417.784,28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color w:val="C99700"/>
                <w:sz w:val="18"/>
                <w:szCs w:val="18"/>
              </w:rPr>
              <w:t xml:space="preserve">342.141.238</w:t>
            </w:r>
          </w:p>
        </w:tc>
        <w:tc>
          <w:tcPr>
            <w:tcW w:type="dxa" w:w="1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color w:val="C99700"/>
                <w:sz w:val="18"/>
                <w:szCs w:val="18"/>
              </w:rPr>
              <w:t xml:space="preserve">18,7%</w:t>
            </w:r>
          </w:p>
        </w:tc>
      </w:tr>
      <w:tr>
        <w:tc>
          <w:tcPr>
            <w:tcW w:type="dxa" w:w="17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ROI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150.956.910,14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148.531.109,59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color w:val="BF8F00"/>
                <w:sz w:val="18"/>
                <w:szCs w:val="18"/>
              </w:rPr>
              <w:t xml:space="preserve">2.425.801</w:t>
            </w:r>
          </w:p>
        </w:tc>
        <w:tc>
          <w:tcPr>
            <w:tcW w:type="dxa" w:w="1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color w:val="BF8F00"/>
                <w:sz w:val="18"/>
                <w:szCs w:val="18"/>
              </w:rPr>
              <w:t xml:space="preserve">1,6%</w:t>
            </w:r>
          </w:p>
        </w:tc>
      </w:tr>
      <w:tr>
        <w:tc>
          <w:tcPr>
            <w:tcW w:type="dxa" w:w="17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AM_IO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39.443.531,09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31.991.642,88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color w:val="BF8F00"/>
                <w:sz w:val="18"/>
                <w:szCs w:val="18"/>
              </w:rPr>
              <w:t xml:space="preserve">7.451.888</w:t>
            </w:r>
          </w:p>
        </w:tc>
        <w:tc>
          <w:tcPr>
            <w:tcW w:type="dxa" w:w="1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color w:val="BF8F00"/>
                <w:sz w:val="18"/>
                <w:szCs w:val="18"/>
              </w:rPr>
              <w:t xml:space="preserve">18,9%</w:t>
            </w:r>
          </w:p>
        </w:tc>
      </w:tr>
    </w:tbl>
    <w:p>
      <w:pPr>
        <w:spacing w:after="70"/>
      </w:pPr>
    </w:p>
    <w:p>
      <w:pPr>
        <w:spacing w:after="110"/>
      </w:pPr>
      <w:r>
        <w:rPr>
          <w:b/>
          <w:bCs/>
        </w:rPr>
        <w:t xml:space="preserve">Los tres segmentos validados cuadran con diferencia de 0,00 £ sobre 169.000 millones de exposición. El importe pendiente queda dimensionado: el offset de FLEXI representa 342 M £, material y por tanto prioritario de resolver.</w:t>
      </w:r>
    </w:p>
    <w:p>
      <w:pPr>
        <w:spacing w:after="80" w:before="180"/>
      </w:pPr>
      <w:r>
        <w:rPr>
          <w:b/>
          <w:bCs/>
          <w:color w:val="44546A"/>
          <w:sz w:val="21"/>
          <w:szCs w:val="21"/>
        </w:rPr>
        <w:t xml:space="preserve">Análisis de Guillermo: los 126 contratos del floor a cero</w:t>
      </w:r>
    </w:p>
    <w:p>
      <w:pPr>
        <w:spacing w:after="110"/>
      </w:pPr>
      <w:r>
        <w:t xml:space="preserve">Guillermo pidió analizar el 0,02% que no cuadraba (121 NON-FLEXI + 5 DEFAULT). Al extraerlos se vio el patrón: on_motor = 0,00, saldo dispuesto (DRW) negativo, disponible grande. Son contratos con saldo dispuesto negativo por ajuste contable o sobrepago (hipotecas casi amortizadas). El motor les aplica floor a cero; RMDS conserva el negativo. Aplicando GREATEST(0, ...) los 126 KO pasan a 0. Coincide con lo que Eva anticipó ("saldo negativo por ajuste contable").</w:t>
      </w:r>
    </w:p>
    <w:p>
      <w:pPr>
        <w:pBdr>
          <w:top w:val="single" w:color="FDF2F2" w:sz="2" w:space="6"/>
          <w:bottom w:val="single" w:color="FDF2F2" w:sz="2" w:space="6"/>
          <w:left w:val="single" w:color="C00000" w:sz="18" w:space="8"/>
          <w:right w:val="single" w:color="FDF2F2" w:sz="2" w:space="6"/>
        </w:pBdr>
        <w:shd w:fill="FDF2F2" w:val="clear"/>
        <w:spacing w:after="140" w:before="130"/>
      </w:pPr>
      <w:r>
        <w:rPr>
          <w:b/>
          <w:bCs/>
          <w:color w:val="C00000"/>
        </w:rPr>
        <w:t xml:space="preserve">DUDA · </w:t>
      </w:r>
      <w:r>
        <w:rPr>
          <w:color w:val="C00000"/>
        </w:rPr>
        <w:t xml:space="preserve">En algunos contratos cntr_irb_ccf vale 1,0112 en DRW/ACR en lugar de 1,0 (por eso se concilia contra acct_balance_amount y no contra irb_ead). ¿Es esperado o un dato mal informado en RMDS?</w:t>
      </w:r>
    </w:p>
    <w:p>
      <w:pPr>
        <w:pBdr>
          <w:top w:val="single" w:color="B0752A" w:sz="2" w:space="6"/>
          <w:bottom w:val="single" w:color="B0752A" w:sz="2" w:space="6"/>
          <w:left w:val="single" w:color="B0752A" w:sz="2" w:space="10"/>
          <w:right w:val="single" w:color="B0752A" w:sz="2" w:space="6"/>
        </w:pBdr>
        <w:shd w:fill="B0752A" w:val="clear"/>
        <w:spacing w:after="110" w:before="200"/>
      </w:pPr>
      <w:r>
        <w:rPr>
          <w:b/>
          <w:bCs/>
          <w:color w:val="FFFFFF"/>
          <w:sz w:val="21"/>
          <w:szCs w:val="21"/>
        </w:rPr>
        <w:t xml:space="preserve">○  PENDIENTE — EAD on-balance del segmento FLEXI</w:t>
      </w:r>
    </w:p>
    <w:p>
      <w:pPr>
        <w:spacing w:after="60" w:before="130"/>
      </w:pPr>
      <w:r>
        <w:rPr>
          <w:b/>
          <w:bCs/>
          <w:color w:val="1F3864"/>
          <w:sz w:val="20"/>
          <w:szCs w:val="20"/>
        </w:rPr>
        <w:t xml:space="preserve">Lo que se pide</w:t>
      </w:r>
    </w:p>
    <w:p>
      <w:pPr>
        <w:spacing w:after="110"/>
      </w:pPr>
      <w:r>
        <w:t xml:space="preserve">Validar el on-balance de los 25.254 contratos FLEXI (11.605 en KO con la fórmula general).</w:t>
      </w:r>
    </w:p>
    <w:p>
      <w:pPr>
        <w:spacing w:after="60" w:before="130"/>
      </w:pPr>
      <w:r>
        <w:rPr>
          <w:b/>
          <w:bCs/>
          <w:color w:val="1F3864"/>
          <w:sz w:val="20"/>
          <w:szCs w:val="20"/>
        </w:rPr>
        <w:t xml:space="preserve">Dependencia</w:t>
      </w:r>
    </w:p>
    <w:p>
      <w:pPr>
        <w:spacing w:after="110"/>
      </w:pPr>
      <w:r>
        <w:rPr>
          <w:color w:val="C00000"/>
        </w:rPr>
        <w:t xml:space="preserve">Confirmación de Eva o Guillermo sobre el tratamiento del offset_balance. Estos contratos tienen dos líneas DRW en cuentas walker distintas (2481100 y 2486100), la segunda negativa; el DDP lo suma en la EAD pero RMDS no lo distingue por acct_amount_type, solo por cuenta contable.</w:t>
      </w:r>
    </w:p>
    <w:p>
      <w:pPr>
        <w:spacing w:after="60" w:before="130"/>
      </w:pPr>
      <w:r>
        <w:rPr>
          <w:b/>
          <w:bCs/>
          <w:color w:val="1F3864"/>
          <w:sz w:val="20"/>
          <w:szCs w:val="20"/>
        </w:rPr>
        <w:t xml:space="preserve">Cómo lo haremos</w:t>
      </w:r>
    </w:p>
    <w:p>
      <w:pPr>
        <w:spacing w:after="110"/>
      </w:pPr>
      <w:r>
        <w:t xml:space="preserve">Ajustar la fórmula del on-balance con el criterio del offset (probablemente filtrando por acct_walker_account) y reejecutar solo sobre FLEXI_CCF.</w:t>
      </w:r>
    </w:p>
    <w:p>
      <w:pPr>
        <w:spacing w:after="60" w:before="130"/>
      </w:pPr>
      <w:r>
        <w:rPr>
          <w:b/>
          <w:bCs/>
          <w:color w:val="1F3864"/>
          <w:sz w:val="20"/>
          <w:szCs w:val="20"/>
        </w:rPr>
        <w:t xml:space="preserve">Qué debe dar para cerrarse</w:t>
      </w:r>
    </w:p>
    <w:p>
      <w:pPr>
        <w:spacing w:after="110"/>
      </w:pPr>
      <w:r>
        <w:t xml:space="preserve">0 KO en FLEXI, que completaría el on-balance al 100% de la cartera.</w:t>
      </w:r>
    </w:p>
    <w:p>
      <w:pPr>
        <w:pBdr>
          <w:top w:val="single" w:color="FDF2F2" w:sz="2" w:space="6"/>
          <w:bottom w:val="single" w:color="FDF2F2" w:sz="2" w:space="6"/>
          <w:left w:val="single" w:color="C00000" w:sz="18" w:space="8"/>
          <w:right w:val="single" w:color="FDF2F2" w:sz="2" w:space="6"/>
        </w:pBdr>
        <w:shd w:fill="FDF2F2" w:val="clear"/>
        <w:spacing w:after="140" w:before="130"/>
      </w:pPr>
      <w:r>
        <w:rPr>
          <w:b/>
          <w:bCs/>
          <w:color w:val="C00000"/>
        </w:rPr>
        <w:t xml:space="preserve">DUDA · </w:t>
      </w:r>
      <w:r>
        <w:rPr>
          <w:color w:val="C00000"/>
        </w:rPr>
        <w:t xml:space="preserve">¿Cómo trata el motor el offset_balance en FLEXI: se excluye, se netea contra el undrawn, o tiene otro tratamiento? ¿Se identifica por la cuenta walker 2486100?</w:t>
      </w:r>
    </w:p>
    <w:p>
      <w:r>
        <w:br w:type="page"/>
      </w:r>
    </w:p>
    <w:p>
      <w:pPr>
        <w:pStyle w:val="Heading1"/>
        <w:spacing w:after="150" w:before="320"/>
      </w:pPr>
      <w:r>
        <w:t xml:space="preserve">4. EAD off-balance</w:t>
      </w:r>
    </w:p>
    <w:p>
      <w:pPr>
        <w:pBdr>
          <w:top w:val="single" w:color="B0752A" w:sz="2" w:space="6"/>
          <w:bottom w:val="single" w:color="B0752A" w:sz="2" w:space="6"/>
          <w:left w:val="single" w:color="B0752A" w:sz="2" w:space="10"/>
          <w:right w:val="single" w:color="B0752A" w:sz="2" w:space="6"/>
        </w:pBdr>
        <w:shd w:fill="B0752A" w:val="clear"/>
        <w:spacing w:after="110" w:before="200"/>
      </w:pPr>
      <w:r>
        <w:rPr>
          <w:b/>
          <w:bCs/>
          <w:color w:val="FFFFFF"/>
          <w:sz w:val="21"/>
          <w:szCs w:val="21"/>
        </w:rPr>
        <w:t xml:space="preserve">○  PENDIENTE — depende del CCF del modelo Hybrid (MCM3)</w:t>
      </w:r>
    </w:p>
    <w:p>
      <w:pPr>
        <w:spacing w:after="60" w:before="130"/>
      </w:pPr>
      <w:r>
        <w:rPr>
          <w:b/>
          <w:bCs/>
          <w:color w:val="1F3864"/>
          <w:sz w:val="20"/>
          <w:szCs w:val="20"/>
        </w:rPr>
        <w:t xml:space="preserve">Lo que se pide</w:t>
      </w:r>
    </w:p>
    <w:p>
      <w:pPr>
        <w:spacing w:after="110"/>
      </w:pPr>
      <w:r>
        <w:t xml:space="preserve">Validar la exposición fuera de balance: el disponible (UDW) multiplicado por el factor de conversión (CCF).</w:t>
      </w:r>
    </w:p>
    <w:p>
      <w:pPr>
        <w:spacing w:after="60" w:before="130"/>
      </w:pPr>
      <w:r>
        <w:rPr>
          <w:b/>
          <w:bCs/>
          <w:color w:val="1F3864"/>
          <w:sz w:val="20"/>
          <w:szCs w:val="20"/>
        </w:rPr>
        <w:t xml:space="preserve">Dependencia</w:t>
      </w:r>
    </w:p>
    <w:p>
      <w:pPr>
        <w:spacing w:after="110"/>
      </w:pPr>
      <w:r>
        <w:rPr>
          <w:color w:val="C00000"/>
        </w:rPr>
        <w:t xml:space="preserve">RMDS debe cargar el modelo Hybrid (MCM3). El CCF es un parámetro del modelo: RMDS tiene el antiguo (0,2343) y el motor el nuevo (0,3838). El undrawn es idéntico en ambos; difiere el factor. Comprobado: 38.856,53 × 0,383764 (CCF motor) = 14.911,73 = ead_reg_off_balance.</w:t>
      </w:r>
    </w:p>
    <w:p>
      <w:pPr>
        <w:spacing w:after="60" w:before="130"/>
      </w:pPr>
      <w:r>
        <w:rPr>
          <w:b/>
          <w:bCs/>
          <w:color w:val="1F3864"/>
          <w:sz w:val="20"/>
          <w:szCs w:val="20"/>
        </w:rPr>
        <w:t xml:space="preserve">Cómo lo haremos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WITH rmds_agg AS (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idtf_contract_id,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SUM(CASE WHEN acct_amount_type='UDW'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THEN acct_balance_amount ELSE 0 END) AS udw_bruto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"capital_discoveryzone"."capital_rmds"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date_processed='2026-03-31'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audt_execution_version='MCM3'   -- &lt;&lt;&lt; cambiar aquí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idtf_portfolio='Mortgages' AND cptl_calculation_level='UK/UK'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idtf_contract_id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), motor AS (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cntr_contract_id, ead_segment, ead_reg_off_balance, ccf_reg_moc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"oat_capital_discoveryzone"."mortgage_irb_model_output"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date_processed='2026-03-31' AND audt_execution_version='ACM2'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SELECT m.ead_segment, COUNT(*) AS contratos,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SUM(CASE WHEN ABS(m.ead_reg_off_balance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-COALESCE(r.udw_bruto*m.ccf_reg_moc,0))&gt;0.01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THEN 1 ELSE 0 END) AS ko_off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FROM motor m LEFT JOIN rmds_agg r ON m.cntr_contract_id=r.idtf_contract_id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GROUP BY m.ead_segment ORDER BY contratos DESC;</w:t>
      </w:r>
    </w:p>
    <w:p>
      <w:pPr>
        <w:spacing w:after="60"/>
      </w:pPr>
    </w:p>
    <w:p>
      <w:pPr>
        <w:spacing w:after="110"/>
      </w:pPr>
      <w:r>
        <w:rPr>
          <w:i/>
          <w:iCs/>
        </w:rPr>
        <w:t xml:space="preserve">Alternativa: RMDS trae irb_ead (= acct_balance_amount × cntr_irb_ccf); con MCM3 bastará conciliar SUM(irb_ead) de las líneas UDW contra ead_reg_off_balance.</w:t>
      </w:r>
    </w:p>
    <w:p>
      <w:pPr>
        <w:spacing w:after="60" w:before="130"/>
      </w:pPr>
      <w:r>
        <w:rPr>
          <w:b/>
          <w:bCs/>
          <w:color w:val="1F3864"/>
          <w:sz w:val="20"/>
          <w:szCs w:val="20"/>
        </w:rPr>
        <w:t xml:space="preserve">Qué debe dar para cerrarse</w:t>
      </w:r>
    </w:p>
    <w:p>
      <w:pPr>
        <w:spacing w:after="110"/>
      </w:pPr>
      <w:r>
        <w:t xml:space="preserve">0 KO en NON-FLEXI y DEFAULT (y FLEXI, tras resolver el offset). El mecanismo ya cuadró al céntimo sobre el contrato de muestra con el CCF del motor.</w:t>
      </w:r>
    </w:p>
    <w:p>
      <w:pPr>
        <w:spacing w:after="80" w:before="180"/>
      </w:pPr>
      <w:r>
        <w:rPr>
          <w:b/>
          <w:bCs/>
          <w:color w:val="44546A"/>
          <w:sz w:val="21"/>
          <w:szCs w:val="21"/>
        </w:rPr>
        <w:t xml:space="preserve">Caso aparte: ROI y AM_IO</w:t>
      </w:r>
    </w:p>
    <w:p>
      <w:pPr>
        <w:spacing w:after="110"/>
      </w:pPr>
      <w:r>
        <w:t xml:space="preserve">1.425 contratos (ROI 1.065, AM_IO 360) que no cuadran ni cuadrarán con la fórmula general: el DDP les asigna fórmula propia de EAD (ROI calcula on y off juntos; AM_IO usa un drawdown fijo). No dependen del undrawn de RMDS.</w:t>
      </w:r>
    </w:p>
    <w:p>
      <w:pPr>
        <w:pBdr>
          <w:top w:val="single" w:color="FDF2F2" w:sz="2" w:space="6"/>
          <w:bottom w:val="single" w:color="FDF2F2" w:sz="2" w:space="6"/>
          <w:left w:val="single" w:color="C00000" w:sz="18" w:space="8"/>
          <w:right w:val="single" w:color="FDF2F2" w:sz="2" w:space="6"/>
        </w:pBdr>
        <w:shd w:fill="FDF2F2" w:val="clear"/>
        <w:spacing w:after="140" w:before="130"/>
      </w:pPr>
      <w:r>
        <w:rPr>
          <w:b/>
          <w:bCs/>
          <w:color w:val="C00000"/>
        </w:rPr>
        <w:t xml:space="preserve">DUDA · </w:t>
      </w:r>
      <w:r>
        <w:rPr>
          <w:color w:val="C00000"/>
        </w:rPr>
        <w:t xml:space="preserve">PIPELINE, AM_IO y ROI tienen fórmula propia según el DDP. ¿Se consideran fuera del alcance de la conciliación, o hay que validarlos contra otra fuente?</w:t>
      </w:r>
    </w:p>
    <w:p>
      <w:r>
        <w:br w:type="page"/>
      </w:r>
    </w:p>
    <w:p>
      <w:pPr>
        <w:pStyle w:val="Heading1"/>
        <w:spacing w:after="150" w:before="320"/>
      </w:pPr>
      <w:r>
        <w:t xml:space="preserve">5. PD</w:t>
      </w:r>
    </w:p>
    <w:p>
      <w:pPr>
        <w:pBdr>
          <w:top w:val="single" w:color="B0752A" w:sz="2" w:space="6"/>
          <w:bottom w:val="single" w:color="B0752A" w:sz="2" w:space="6"/>
          <w:left w:val="single" w:color="B0752A" w:sz="2" w:space="10"/>
          <w:right w:val="single" w:color="B0752A" w:sz="2" w:space="6"/>
        </w:pBdr>
        <w:shd w:fill="B0752A" w:val="clear"/>
        <w:spacing w:after="110" w:before="200"/>
      </w:pPr>
      <w:r>
        <w:rPr>
          <w:b/>
          <w:bCs/>
          <w:color w:val="FFFFFF"/>
          <w:sz w:val="21"/>
          <w:szCs w:val="21"/>
        </w:rPr>
        <w:t xml:space="preserve">○  PENDIENTE — depende del modelo Hybrid (MCM3)</w:t>
      </w:r>
    </w:p>
    <w:p>
      <w:pPr>
        <w:spacing w:after="60" w:before="130"/>
      </w:pPr>
      <w:r>
        <w:rPr>
          <w:b/>
          <w:bCs/>
          <w:color w:val="1F3864"/>
          <w:sz w:val="20"/>
          <w:szCs w:val="20"/>
        </w:rPr>
        <w:t xml:space="preserve">Lo que se pide</w:t>
      </w:r>
    </w:p>
    <w:p>
      <w:pPr>
        <w:spacing w:after="110"/>
      </w:pPr>
      <w:r>
        <w:t xml:space="preserve">Validar que la probabilidad de incumplimiento del motor coincide con la de RMDS.</w:t>
      </w:r>
    </w:p>
    <w:p>
      <w:pPr>
        <w:spacing w:after="60" w:before="130"/>
      </w:pPr>
      <w:r>
        <w:rPr>
          <w:b/>
          <w:bCs/>
          <w:color w:val="1F3864"/>
          <w:sz w:val="20"/>
          <w:szCs w:val="20"/>
        </w:rPr>
        <w:t xml:space="preserve">Dependencia</w:t>
      </w:r>
    </w:p>
    <w:p>
      <w:pPr>
        <w:spacing w:after="110"/>
      </w:pPr>
      <w:r>
        <w:rPr>
          <w:color w:val="C00000"/>
        </w:rPr>
        <w:t xml:space="preserve">RMDS debe cargar MCM3. En el contrato de muestra, PD de RMDS 0,02222 frente a 0,03325 del motor. Descartado que sea columna (_pre y _post idénticas) o versión (ninguna de las cuatro de marzo coincide). model_description en RMDS dice "Mortgages IRB Model", no el Hybrid. Guillermo lo confirmó: "rmds no está aún".</w:t>
      </w:r>
    </w:p>
    <w:p>
      <w:pPr>
        <w:spacing w:after="60" w:before="130"/>
      </w:pPr>
      <w:r>
        <w:rPr>
          <w:b/>
          <w:bCs/>
          <w:color w:val="1F3864"/>
          <w:sz w:val="20"/>
          <w:szCs w:val="20"/>
        </w:rPr>
        <w:t xml:space="preserve">Cómo lo haremos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WITH rmds_agg AS (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idtf_contract_id, AVG(cptl_pd_post) AS pd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"capital_discoveryzone"."capital_rmds"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date_processed='2026-03-31'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audt_execution_version='MCM3'   -- &lt;&lt;&lt; cambiar aquí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idtf_portfolio='Mortgages' AND cptl_calculation_level='UK/UK'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idtf_contract_id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), motor AS (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cntr_contract_id, pd_reg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"oat_capital_discoveryzone"."mortgage_irb_model_output"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date_processed='2026-03-31' AND audt_execution_version='ACM2'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SELECT COUNT(*) AS contratos,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SUM(CASE WHEN ABS(m.pd_reg-COALESCE(r.pd,0))&gt;0.000001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THEN 1 ELSE 0 END) AS ko_pd,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MAX(ABS(m.pd_reg-COALESCE(r.pd,0))) AS max_diff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FROM motor m LEFT JOIN rmds_agg r ON m.cntr_contract_id=r.idtf_contract_id;</w:t>
      </w:r>
    </w:p>
    <w:p>
      <w:pPr>
        <w:spacing w:after="60" w:before="130"/>
      </w:pPr>
      <w:r>
        <w:rPr>
          <w:b/>
          <w:bCs/>
          <w:color w:val="1F3864"/>
          <w:sz w:val="20"/>
          <w:szCs w:val="20"/>
        </w:rPr>
        <w:t xml:space="preserve">Qué debe dar para cerrarse</w:t>
      </w:r>
    </w:p>
    <w:p>
      <w:pPr>
        <w:spacing w:after="110"/>
      </w:pPr>
      <w:r>
        <w:t xml:space="preserve">0 KO con umbral de 1e-6. El mecanismo ya está construido; solo falta que RMDS tenga la PD Hybrid.</w:t>
      </w:r>
    </w:p>
    <w:p>
      <w:pPr>
        <w:pBdr>
          <w:top w:val="single" w:color="FDF2F2" w:sz="2" w:space="6"/>
          <w:bottom w:val="single" w:color="FDF2F2" w:sz="2" w:space="6"/>
          <w:left w:val="single" w:color="C00000" w:sz="18" w:space="8"/>
          <w:right w:val="single" w:color="FDF2F2" w:sz="2" w:space="6"/>
        </w:pBdr>
        <w:shd w:fill="FDF2F2" w:val="clear"/>
        <w:spacing w:after="140" w:before="130"/>
      </w:pPr>
      <w:r>
        <w:rPr>
          <w:b/>
          <w:bCs/>
          <w:color w:val="C00000"/>
        </w:rPr>
        <w:t xml:space="preserve">DUDA · </w:t>
      </w:r>
      <w:r>
        <w:rPr>
          <w:color w:val="C00000"/>
        </w:rPr>
        <w:t xml:space="preserve">Se usa AVG porque RMDS repite la PD en cada línea. Confirmar que la media simple es correcta.</w:t>
      </w:r>
    </w:p>
    <w:p>
      <w:pPr>
        <w:pBdr>
          <w:top w:val="single" w:color="FDF2F2" w:sz="2" w:space="6"/>
          <w:bottom w:val="single" w:color="FDF2F2" w:sz="2" w:space="6"/>
          <w:left w:val="single" w:color="C00000" w:sz="18" w:space="8"/>
          <w:right w:val="single" w:color="FDF2F2" w:sz="2" w:space="6"/>
        </w:pBdr>
        <w:shd w:fill="FDF2F2" w:val="clear"/>
        <w:spacing w:after="140" w:before="130"/>
      </w:pPr>
      <w:r>
        <w:rPr>
          <w:b/>
          <w:bCs/>
          <w:color w:val="C00000"/>
        </w:rPr>
        <w:t xml:space="preserve">DUDA · </w:t>
      </w:r>
      <w:r>
        <w:rPr>
          <w:color w:val="C00000"/>
        </w:rPr>
        <w:t xml:space="preserve">¿Cuándo estará disponible MCM3? De ello dependen la EAD off-balance, la PD y la LGD.</w:t>
      </w:r>
    </w:p>
    <w:p>
      <w:r>
        <w:br w:type="page"/>
      </w:r>
    </w:p>
    <w:p>
      <w:pPr>
        <w:pStyle w:val="Heading1"/>
        <w:spacing w:after="150" w:before="320"/>
      </w:pPr>
      <w:r>
        <w:t xml:space="preserve">6. LGD</w:t>
      </w:r>
    </w:p>
    <w:p>
      <w:pPr>
        <w:pBdr>
          <w:top w:val="single" w:color="B0752A" w:sz="2" w:space="6"/>
          <w:bottom w:val="single" w:color="B0752A" w:sz="2" w:space="6"/>
          <w:left w:val="single" w:color="B0752A" w:sz="2" w:space="10"/>
          <w:right w:val="single" w:color="B0752A" w:sz="2" w:space="6"/>
        </w:pBdr>
        <w:shd w:fill="B0752A" w:val="clear"/>
        <w:spacing w:after="110" w:before="200"/>
      </w:pPr>
      <w:r>
        <w:rPr>
          <w:b/>
          <w:bCs/>
          <w:color w:val="FFFFFF"/>
          <w:sz w:val="21"/>
          <w:szCs w:val="21"/>
        </w:rPr>
        <w:t xml:space="preserve">○  PENDIENTE — depende del modelo Hybrid (MCM3)</w:t>
      </w:r>
    </w:p>
    <w:p>
      <w:pPr>
        <w:spacing w:after="60" w:before="130"/>
      </w:pPr>
      <w:r>
        <w:rPr>
          <w:b/>
          <w:bCs/>
          <w:color w:val="1F3864"/>
          <w:sz w:val="20"/>
          <w:szCs w:val="20"/>
        </w:rPr>
        <w:t xml:space="preserve">Lo que se pide</w:t>
      </w:r>
    </w:p>
    <w:p>
      <w:pPr>
        <w:spacing w:after="110"/>
      </w:pPr>
      <w:r>
        <w:t xml:space="preserve">Validar que la severidad del motor coincide con la de RMDS.</w:t>
      </w:r>
    </w:p>
    <w:p>
      <w:pPr>
        <w:spacing w:after="60" w:before="130"/>
      </w:pPr>
      <w:r>
        <w:rPr>
          <w:b/>
          <w:bCs/>
          <w:color w:val="1F3864"/>
          <w:sz w:val="20"/>
          <w:szCs w:val="20"/>
        </w:rPr>
        <w:t xml:space="preserve">Dependencia</w:t>
      </w:r>
    </w:p>
    <w:p>
      <w:pPr>
        <w:spacing w:after="110"/>
      </w:pPr>
      <w:r>
        <w:rPr>
          <w:color w:val="C00000"/>
        </w:rPr>
        <w:t xml:space="preserve">Misma que la PD: RMDS debe cargar MCM3. LGD de RMDS 0,08782 frente a 0,05000 del motor. La lgd_reg del motor está por debajo del antiguo floor del 10%, coherente con que ACM2 ya incorpore Basel 3.1.</w:t>
      </w:r>
    </w:p>
    <w:p>
      <w:pPr>
        <w:spacing w:after="60" w:before="130"/>
      </w:pPr>
      <w:r>
        <w:rPr>
          <w:b/>
          <w:bCs/>
          <w:color w:val="1F3864"/>
          <w:sz w:val="20"/>
          <w:szCs w:val="20"/>
        </w:rPr>
        <w:t xml:space="preserve">Cómo lo haremos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WITH rmds_agg AS (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idtf_contract_id, AVG(cptl_lgd_post) AS lgd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"capital_discoveryzone"."capital_rmds"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date_processed='2026-03-31'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audt_execution_version='MCM3'   -- &lt;&lt;&lt; cambiar aquí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idtf_portfolio='Mortgages' AND cptl_calculation_level='UK/UK'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idtf_contract_id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), motor AS (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cntr_contract_id, lgd_reg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"oat_capital_discoveryzone"."mortgage_irb_model_output"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date_processed='2026-03-31' AND audt_execution_version='ACM2'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SELECT COUNT(*) AS contratos,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SUM(CASE WHEN ABS(m.lgd_reg-COALESCE(r.lgd,0))&gt;0.000001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THEN 1 ELSE 0 END) AS ko_lgd,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MAX(ABS(m.lgd_reg-COALESCE(r.lgd,0))) AS max_diff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FROM motor m LEFT JOIN rmds_agg r ON m.cntr_contract_id=r.idtf_contract_id;</w:t>
      </w:r>
    </w:p>
    <w:p>
      <w:pPr>
        <w:spacing w:after="60" w:before="130"/>
      </w:pPr>
      <w:r>
        <w:rPr>
          <w:b/>
          <w:bCs/>
          <w:color w:val="1F3864"/>
          <w:sz w:val="20"/>
          <w:szCs w:val="20"/>
        </w:rPr>
        <w:t xml:space="preserve">Qué debe dar para cerrarse</w:t>
      </w:r>
    </w:p>
    <w:p>
      <w:pPr>
        <w:spacing w:after="110"/>
      </w:pPr>
      <w:r>
        <w:t xml:space="preserve">0 KO con umbral de 1e-6, una vez MCM3 traiga la LGD Hybrid.</w:t>
      </w:r>
    </w:p>
    <w:p>
      <w:r>
        <w:br w:type="page"/>
      </w:r>
    </w:p>
    <w:p>
      <w:pPr>
        <w:pStyle w:val="Heading1"/>
        <w:spacing w:after="150" w:before="320"/>
      </w:pPr>
      <w:r>
        <w:t xml:space="preserve">7. Trazabilidad · diciembre-25 vs marzo-26</w:t>
      </w:r>
    </w:p>
    <w:p>
      <w:pPr>
        <w:pBdr>
          <w:top w:val="single" w:color="1F7A3D" w:sz="2" w:space="6"/>
          <w:bottom w:val="single" w:color="1F7A3D" w:sz="2" w:space="6"/>
          <w:left w:val="single" w:color="1F7A3D" w:sz="2" w:space="10"/>
          <w:right w:val="single" w:color="1F7A3D" w:sz="2" w:space="6"/>
        </w:pBdr>
        <w:shd w:fill="1F7A3D" w:val="clear"/>
        <w:spacing w:after="110" w:before="200"/>
      </w:pPr>
      <w:r>
        <w:rPr>
          <w:b/>
          <w:bCs/>
          <w:color w:val="FFFFFF"/>
          <w:sz w:val="21"/>
          <w:szCs w:val="21"/>
        </w:rPr>
        <w:t xml:space="preserve">✓  HECHO — control de estabilidad de EAD, PD y LGD — ejecutado</w:t>
      </w:r>
    </w:p>
    <w:p>
      <w:pPr>
        <w:spacing w:after="60" w:before="130"/>
      </w:pPr>
      <w:r>
        <w:rPr>
          <w:b/>
          <w:bCs/>
          <w:color w:val="1F3864"/>
          <w:sz w:val="20"/>
          <w:szCs w:val="20"/>
        </w:rPr>
        <w:t xml:space="preserve">Lo que se pide</w:t>
      </w:r>
    </w:p>
    <w:p>
      <w:pPr>
        <w:spacing w:after="110"/>
      </w:pPr>
      <w:r>
        <w:t xml:space="preserve">Carlos: las magnitudes de diciembre-25 y marzo-26 deberían ser iguales o casi iguales. Es un control de estabilidad de la EAD, la PD y la LGD entre dos cortes del mismo modelo, no un análisis de evolución.</w:t>
      </w:r>
    </w:p>
    <w:p>
      <w:pPr>
        <w:spacing w:after="60" w:before="130"/>
      </w:pPr>
      <w:r>
        <w:rPr>
          <w:b/>
          <w:bCs/>
          <w:color w:val="1F3864"/>
          <w:sz w:val="20"/>
          <w:szCs w:val="20"/>
        </w:rPr>
        <w:t xml:space="preserve">Cómo se hizo</w:t>
      </w:r>
    </w:p>
    <w:p>
      <w:pPr>
        <w:spacing w:after="110"/>
      </w:pPr>
      <w:r>
        <w:t xml:space="preserve">Se compara MCM2 en las dos fechas (misma línea de ejecución). En diciembre se descartó MCM29 por triplicada; se eligió MCM2 por coincidir con marzo. Se confirmó que el CCF es idéntico en ambos cortes: los dos son del modelo anterior, comparación homogénea.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SELECT date_processed,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COUNT(DISTINCT idtf_contract_id) AS contratos,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SUM(CASE WHEN acct_amount_type IN ('DRW','ACR')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THEN acct_balance_amount ELSE 0 END) AS on_balance_total,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SUM(CASE WHEN acct_amount_type='UDW'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THEN acct_balance_amount ELSE 0 END) AS undrawn_total,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AVG(cptl_pd_post) AS pd_media, AVG(cptl_lgd_post) AS lgd_media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FROM "capital_discoveryzone"."capital_rmds"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WHERE date_processed IN ('2025-12-31','2026-03-31')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AND audt_execution_version='MCM2'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AND idtf_portfolio='Mortgages' AND cptl_calculation_level='UK/UK'</w:t>
      </w:r>
    </w:p>
    <w:p>
      <w:pPr>
        <w:shd w:fill="F2F2F2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GROUP BY date_processed ORDER BY date_processed;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000"/>
        <w:gridCol w:w="1400"/>
        <w:gridCol w:w="1260"/>
      </w:tblGrid>
      <w:tr>
        <w:trPr>
          <w:tblHeader/>
        </w:trPr>
        <w:tc>
          <w:tcPr>
            <w:tcW w:type="dxa" w:w="2700"/>
            <w:shd w:fill="D9E2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Métrica</w:t>
            </w:r>
          </w:p>
        </w:tc>
        <w:tc>
          <w:tcPr>
            <w:tcW w:type="dxa" w:w="2000"/>
            <w:shd w:fill="D9E2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Dic-25</w:t>
            </w:r>
          </w:p>
        </w:tc>
        <w:tc>
          <w:tcPr>
            <w:tcW w:type="dxa" w:w="2000"/>
            <w:shd w:fill="D9E2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Mar-26</w:t>
            </w:r>
          </w:p>
        </w:tc>
        <w:tc>
          <w:tcPr>
            <w:tcW w:type="dxa" w:w="1400"/>
            <w:shd w:fill="D9E2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Var.</w:t>
            </w:r>
          </w:p>
        </w:tc>
        <w:tc>
          <w:tcPr>
            <w:tcW w:type="dxa" w:w="1260"/>
            <w:shd w:fill="D9E2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Contratos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1.079.916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1.085.575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+0,52%</w:t>
            </w:r>
          </w:p>
        </w:tc>
        <w:tc>
          <w:tcPr>
            <w:tcW w:type="dxa" w:w="12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EAD on-balance (£)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169.453 M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170.706 M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+0,74%</w:t>
            </w:r>
          </w:p>
        </w:tc>
        <w:tc>
          <w:tcPr>
            <w:tcW w:type="dxa" w:w="12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Undrawn total (£)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13.091 M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14.838 M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99700"/>
                <w:sz w:val="18"/>
                <w:szCs w:val="18"/>
              </w:rPr>
              <w:t xml:space="preserve">+13,3%</w:t>
            </w:r>
          </w:p>
        </w:tc>
        <w:tc>
          <w:tcPr>
            <w:tcW w:type="dxa" w:w="12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99700"/>
                <w:sz w:val="18"/>
                <w:szCs w:val="18"/>
              </w:rPr>
              <w:t xml:space="preserve">revisar</w:t>
            </w:r>
          </w:p>
        </w:tc>
      </w:tr>
      <w:tr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PD media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0,050525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0,050267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-0,51%</w:t>
            </w:r>
          </w:p>
        </w:tc>
        <w:tc>
          <w:tcPr>
            <w:tcW w:type="dxa" w:w="12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LGD media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0,097892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0,097664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-0,23%</w:t>
            </w:r>
          </w:p>
        </w:tc>
        <w:tc>
          <w:tcPr>
            <w:tcW w:type="dxa" w:w="12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OK</w:t>
            </w:r>
          </w:p>
        </w:tc>
      </w:tr>
    </w:tbl>
    <w:p>
      <w:pPr>
        <w:spacing w:after="70"/>
      </w:pPr>
    </w:p>
    <w:p>
      <w:pPr>
        <w:spacing w:after="110"/>
      </w:pPr>
      <w:r>
        <w:rPr>
          <w:i/>
          <w:iCs/>
        </w:rPr>
        <w:t xml:space="preserve">Semáforo: verde &lt; 5% · ámbar 5–15% · rojo &gt; 15%.</w:t>
      </w:r>
    </w:p>
    <w:p>
      <w:pPr>
        <w:spacing w:after="60" w:before="130"/>
      </w:pPr>
      <w:r>
        <w:rPr>
          <w:b/>
          <w:bCs/>
          <w:color w:val="1F3864"/>
          <w:sz w:val="20"/>
          <w:szCs w:val="20"/>
        </w:rPr>
        <w:t xml:space="preserve">Por qué está cerrado</w:t>
      </w:r>
    </w:p>
    <w:p>
      <w:pPr>
        <w:spacing w:after="110"/>
      </w:pPr>
      <w:r>
        <w:rPr>
          <w:color w:val="1F7A3D"/>
        </w:rPr>
        <w:t xml:space="preserve">La cartera es estable entre trimestres: todo por debajo del 1% salvo el undrawn. La PD y la LGD medias —lo que Eva señaló— apenas varían. En el contrato individual la PD se movía un 30%, pero en agregado es estable; el conjunto es lo representativo.</w:t>
      </w:r>
    </w:p>
    <w:p>
      <w:pPr>
        <w:spacing w:after="80" w:before="180"/>
      </w:pPr>
      <w:r>
        <w:rPr>
          <w:b/>
          <w:bCs/>
          <w:color w:val="44546A"/>
          <w:sz w:val="21"/>
          <w:szCs w:val="21"/>
        </w:rPr>
        <w:t xml:space="preserve">Único punto de atención: undrawn +13,3%</w:t>
      </w:r>
    </w:p>
    <w:p>
      <w:pPr>
        <w:spacing w:after="110"/>
      </w:pPr>
      <w:r>
        <w:t xml:space="preserve">Descompuesto: +7,8% más contratos con disponible (73.455 → 79.207) × +5,1% más disponible medio (178.215 → 187.329) ≈ +13,3%. No es un error ni un outlier, sino crecimiento normal de la cartera en volumen e intensidad. Solo queda confirmación de negocio.</w:t>
      </w:r>
    </w:p>
    <w:p>
      <w:pPr>
        <w:pBdr>
          <w:top w:val="single" w:color="FDF2F2" w:sz="2" w:space="6"/>
          <w:bottom w:val="single" w:color="FDF2F2" w:sz="2" w:space="6"/>
          <w:left w:val="single" w:color="C00000" w:sz="18" w:space="8"/>
          <w:right w:val="single" w:color="FDF2F2" w:sz="2" w:space="6"/>
        </w:pBdr>
        <w:shd w:fill="FDF2F2" w:val="clear"/>
        <w:spacing w:after="140" w:before="130"/>
      </w:pPr>
      <w:r>
        <w:rPr>
          <w:b/>
          <w:bCs/>
          <w:color w:val="C00000"/>
        </w:rPr>
        <w:t xml:space="preserve">DUDA · </w:t>
      </w:r>
      <w:r>
        <w:rPr>
          <w:color w:val="C00000"/>
        </w:rPr>
        <w:t xml:space="preserve">El undrawn crece un 13,3% por +7,8% de contratos y +5,1% de disponible medio. ¿Responde a algo esperado del negocio (más flexi, más líneas concedidas) o a un cambio de criterio de reporte? Es confirmación, no diagnóstico: el origen ya está identificado.</w:t>
      </w:r>
    </w:p>
    <w:p>
      <w:pPr>
        <w:spacing w:after="110"/>
      </w:pPr>
      <w:r>
        <w:rPr>
          <w:i/>
          <w:iCs/>
        </w:rPr>
        <w:t xml:space="preserve">Nota: en diciembre el campo model_description viene vacío (en marzo dice "Mortgages IRB Model"). No afecta a la comparación. Cuando exista MCM3, convendrá repetir este control con los parámetros Hybrid.</w:t>
      </w:r>
    </w:p>
    <w:p>
      <w:r>
        <w:br w:type="page"/>
      </w:r>
    </w:p>
    <w:p>
      <w:pPr>
        <w:pStyle w:val="Heading1"/>
        <w:spacing w:after="150" w:before="320"/>
      </w:pPr>
      <w:r>
        <w:t xml:space="preserve">8. Notas de ejecución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capital_rmds tiene 45,3 M de filas en la partición de marzo. Filtrar siempre por date_processed y audt_execution_version.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date_processed es varchar: comillas simples, sin cast a DATE.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El motor distingue parámetros regulatorios (_reg) y económicos (_ec). Todo se valida sobre los regulatorios.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Clave del motor: cntr_contract_id. Clave de RMDS: idtf_contract_id.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Umbral: 0,01 para importes, 0,000001 para PD y LGD.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Por confirmar aparte: si hay que validar el paso a sftp_output_engine_partitions, y a qué se refiere el "3,2 vs 4,8" de Basel 3.1.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29"/>
      <w:szCs w:val="29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2026-07-13T12:49:20.591Z</dcterms:created>
  <dcterms:modified xsi:type="dcterms:W3CDTF">2026-07-13T12:49:20.611Z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