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color w:val="999999"/>
          <w:sz w:val="18"/>
          <w:szCs w:val="18"/>
        </w:rPr>
        <w:t xml:space="preserve">Confidential</w:t>
      </w:r>
    </w:p>
    <w:p>
      <w:pPr>
        <w:pBdr>
          <w:bottom w:val="single" w:color="CC0000" w:sz="18" w:space="1"/>
        </w:pBdr>
        <w:spacing w:after="0" w:before="0"/>
      </w:pPr>
    </w:p>
    <w:p>
      <w:pPr>
        <w:spacing w:after="0" w:before="160"/>
      </w:pPr>
    </w:p>
    <w:p>
      <w:pPr>
        <w:spacing w:after="60" w:before="0"/>
        <w:jc w:val="left"/>
      </w:pPr>
      <w:r>
        <w:rPr>
          <w:rFonts w:ascii="Arial" w:cs="Arial" w:eastAsia="Arial" w:hAnsi="Arial"/>
          <w:b/>
          <w:bCs/>
          <w:color w:val="CC0000"/>
          <w:sz w:val="48"/>
          <w:szCs w:val="48"/>
        </w:rPr>
        <w:t xml:space="preserve">Change Log</w:t>
      </w:r>
    </w:p>
    <w:p>
      <w:pPr>
        <w:spacing w:after="80" w:before="0"/>
        <w:jc w:val="left"/>
      </w:pPr>
      <w:r>
        <w:rPr>
          <w:rFonts w:ascii="Arial" w:cs="Arial" w:eastAsia="Arial" w:hAnsi="Arial"/>
          <w:b/>
          <w:bCs/>
          <w:color w:val="444444"/>
          <w:sz w:val="28"/>
          <w:szCs w:val="28"/>
        </w:rPr>
        <w:t xml:space="preserve">Mortgage Hybrid IRB Models – Implementation</w:t>
      </w:r>
    </w:p>
    <w:p>
      <w:pPr>
        <w:spacing w:after="200" w:before="0"/>
        <w:jc w:val="left"/>
      </w:pPr>
      <w:r>
        <w:rPr>
          <w:rFonts w:ascii="Arial" w:cs="Arial" w:eastAsia="Arial" w:hAnsi="Arial"/>
          <w:color w:val="888888"/>
          <w:sz w:val="20"/>
          <w:szCs w:val="20"/>
        </w:rPr>
        <w:t xml:space="preserve">Santander Technology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Mortgage Hybrid IRB Models – Change Log</w:t>
            </w:r>
          </w:p>
        </w:tc>
      </w:tr>
      <w:tr>
        <w:tc>
          <w:tcPr>
            <w:tcW w:type="dxa" w:w="24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1.0</w:t>
            </w:r>
          </w:p>
        </w:tc>
      </w:tr>
      <w:tr>
        <w:tc>
          <w:tcPr>
            <w:tcW w:type="dxa" w:w="24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May 2026</w:t>
            </w:r>
          </w:p>
        </w:tc>
      </w:tr>
      <w:tr>
        <w:tc>
          <w:tcPr>
            <w:tcW w:type="dxa" w:w="24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Hybrid Mortgages Team (Santander Technology)</w:t>
            </w:r>
          </w:p>
        </w:tc>
      </w:tr>
      <w:tr>
        <w:tc>
          <w:tcPr>
            <w:tcW w:type="dxa" w:w="24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Reviewed by</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Retail Methodology (Santander UK)</w:t>
            </w:r>
          </w:p>
        </w:tc>
      </w:tr>
      <w:tr>
        <w:tc>
          <w:tcPr>
            <w:tcW w:type="dxa" w:w="24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Final</w:t>
            </w:r>
          </w:p>
        </w:tc>
      </w:tr>
    </w:tbl>
    <w:p>
      <w:pPr>
        <w:spacing w:after="0" w:before="200"/>
      </w:pPr>
    </w:p>
    <w:p>
      <w:pPr>
        <w:pStyle w:val="Heading1"/>
        <w:spacing w:after="120" w:before="240"/>
      </w:pPr>
      <w:r>
        <w:rPr>
          <w:rFonts w:ascii="Arial" w:cs="Arial" w:eastAsia="Arial" w:hAnsi="Arial"/>
          <w:b/>
          <w:bCs/>
          <w:color w:val="CC0000"/>
          <w:sz w:val="32"/>
          <w:szCs w:val="32"/>
        </w:rPr>
        <w:t xml:space="preserve">1.  Introduction</w:t>
      </w:r>
    </w:p>
    <w:p>
      <w:pPr>
        <w:pBdr>
          <w:bottom w:val="single" w:color="CC0000" w:sz="12" w:space="1"/>
        </w:pBdr>
        <w:spacing w:after="120" w:before="0"/>
      </w:pPr>
    </w:p>
    <w:p>
      <w:pPr>
        <w:spacing w:after="80" w:before="60"/>
        <w:jc w:val="both"/>
      </w:pPr>
      <w:r>
        <w:rPr>
          <w:rFonts w:ascii="Arial" w:cs="Arial" w:eastAsia="Arial" w:hAnsi="Arial"/>
          <w:color w:val="444444"/>
          <w:sz w:val="20"/>
          <w:szCs w:val="20"/>
        </w:rPr>
        <w:t xml:space="preserve">This document records changes and identified discrepancies arising during the </w:t>
      </w:r>
      <w:r>
        <w:rPr>
          <w:rFonts w:ascii="Arial" w:cs="Arial" w:eastAsia="Arial" w:hAnsi="Arial"/>
          <w:b/>
          <w:bCs/>
          <w:color w:val="444444"/>
          <w:sz w:val="20"/>
          <w:szCs w:val="20"/>
        </w:rPr>
        <w:t xml:space="preserve">Mortgage Hybrid IRB Models</w:t>
      </w:r>
      <w:r>
        <w:rPr>
          <w:rFonts w:ascii="Arial" w:cs="Arial" w:eastAsia="Arial" w:hAnsi="Arial"/>
          <w:color w:val="444444"/>
          <w:sz w:val="20"/>
          <w:szCs w:val="20"/>
        </w:rPr>
        <w:t xml:space="preserve"> implementation into the Santander UK Data Lake / Athena platform. It covers two items identified during the reconciliation work of the Working Group (May 2026):</w:t>
      </w:r>
    </w:p>
    <w:p>
      <w:pPr>
        <w:spacing w:after="0" w:before="80"/>
      </w:pPr>
    </w:p>
    <w:p>
      <w:pPr>
        <w:pStyle w:val="ListParagraph"/>
        <w:numPr>
          <w:ilvl w:val="0"/>
          <w:numId w:val="2"/>
        </w:numPr>
        <w:spacing w:after="40" w:before="40"/>
      </w:pPr>
      <w:r>
        <w:rPr>
          <w:rFonts w:ascii="Arial" w:cs="Arial" w:eastAsia="Arial" w:hAnsi="Arial"/>
          <w:b/>
          <w:bCs/>
          <w:color w:val="444444"/>
          <w:sz w:val="20"/>
          <w:szCs w:val="20"/>
        </w:rPr>
        <w:t xml:space="preserve">Change 1 – AVM Factor Calculation (Implemented): </w:t>
      </w:r>
      <w:r>
        <w:rPr>
          <w:rFonts w:ascii="Arial" w:cs="Arial" w:eastAsia="Arial" w:hAnsi="Arial"/>
          <w:color w:val="444444"/>
          <w:sz w:val="20"/>
          <w:szCs w:val="20"/>
        </w:rPr>
        <w:t xml:space="preserve">A correction to the AVM factor derivation logic, including adoption of a median aggregation function and a value roll-over approach consistent with the SAS reference implementation. Formally signed off by Retail Methodology.</w:t>
      </w:r>
    </w:p>
    <w:p>
      <w:pPr>
        <w:pStyle w:val="ListParagraph"/>
        <w:numPr>
          <w:ilvl w:val="0"/>
          <w:numId w:val="2"/>
        </w:numPr>
        <w:spacing w:after="40" w:before="40"/>
      </w:pPr>
      <w:r>
        <w:rPr>
          <w:rFonts w:ascii="Arial" w:cs="Arial" w:eastAsia="Arial" w:hAnsi="Arial"/>
          <w:b/>
          <w:bCs/>
          <w:color w:val="444444"/>
          <w:sz w:val="20"/>
          <w:szCs w:val="20"/>
        </w:rPr>
        <w:t xml:space="preserve">Change 2 – sugg_sale_price Condition for PIP Contracts (Not Implemented): </w:t>
      </w:r>
      <w:r>
        <w:rPr>
          <w:rFonts w:ascii="Arial" w:cs="Arial" w:eastAsia="Arial" w:hAnsi="Arial"/>
          <w:color w:val="444444"/>
          <w:sz w:val="20"/>
          <w:szCs w:val="20"/>
        </w:rPr>
        <w:t xml:space="preserve">An identified divergence in the LGD collateral-value logic for Properties in Possession. Due to material capital impact and governance requirements, this change was not implemented and is documented here for audit purposes.</w:t>
      </w:r>
    </w:p>
    <w:p>
      <w:pPr>
        <w:spacing w:after="0" w:before="80"/>
      </w:pPr>
    </w:p>
    <w:p>
      <w:pPr>
        <w:spacing w:after="80" w:before="60"/>
        <w:jc w:val="both"/>
      </w:pPr>
      <w:r>
        <w:rPr>
          <w:rFonts w:ascii="Arial" w:cs="Arial" w:eastAsia="Arial" w:hAnsi="Arial"/>
          <w:color w:val="444444"/>
          <w:sz w:val="20"/>
          <w:szCs w:val="20"/>
        </w:rPr>
        <w:t xml:space="preserve">Both items are described in full below, including the root cause, capital impact (where applicable), email evidence chronology and, where relevant, the rationale for the decision not to implement.</w:t>
      </w:r>
    </w:p>
    <w:p>
      <w:pPr>
        <w:pStyle w:val="Heading1"/>
        <w:spacing w:after="120" w:before="240"/>
      </w:pPr>
      <w:r>
        <w:rPr>
          <w:rFonts w:ascii="Arial" w:cs="Arial" w:eastAsia="Arial" w:hAnsi="Arial"/>
          <w:b/>
          <w:bCs/>
          <w:color w:val="CC0000"/>
          <w:sz w:val="32"/>
          <w:szCs w:val="32"/>
        </w:rPr>
        <w:t xml:space="preserve">2.  Change 1 – AVM Factor Calculation</w:t>
      </w:r>
    </w:p>
    <w:p>
      <w:pPr>
        <w:pBdr>
          <w:bottom w:val="single" w:color="CC0000" w:sz="12" w:space="1"/>
        </w:pBdr>
        <w:spacing w:after="120" w:before="0"/>
      </w:pPr>
    </w:p>
    <w:p>
      <w:pPr>
        <w:pStyle w:val="Heading2"/>
        <w:spacing w:after="100" w:before="280"/>
      </w:pPr>
      <w:r>
        <w:rPr>
          <w:rFonts w:ascii="Arial" w:cs="Arial" w:eastAsia="Arial" w:hAnsi="Arial"/>
          <w:b/>
          <w:bCs/>
          <w:color w:val="CC0000"/>
          <w:sz w:val="26"/>
          <w:szCs w:val="26"/>
        </w:rPr>
        <w:t xml:space="preserve">2.1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96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Change ID</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CHG-001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Component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LGD – HPI/AVM Factors (lgd_lgd_hpi_stress_dt)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Status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IMPLEMENTED – Signed off by Retail Methodology (15 May 2026)</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Capital Impact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None (parameter correction, no direction change in LGD)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UAT / IVT required</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UAT reconciliation performed; IVT not required for parameter alignment</w:t>
            </w:r>
          </w:p>
        </w:tc>
      </w:tr>
    </w:tbl>
    <w:p>
      <w:pPr>
        <w:spacing w:after="0" w:before="160"/>
      </w:pPr>
    </w:p>
    <w:p>
      <w:pPr>
        <w:pStyle w:val="Heading2"/>
        <w:spacing w:after="100" w:before="280"/>
      </w:pPr>
      <w:r>
        <w:rPr>
          <w:rFonts w:ascii="Arial" w:cs="Arial" w:eastAsia="Arial" w:hAnsi="Arial"/>
          <w:b/>
          <w:bCs/>
          <w:color w:val="CC0000"/>
          <w:sz w:val="26"/>
          <w:szCs w:val="26"/>
        </w:rPr>
        <w:t xml:space="preserve">2.2  Background and Root Cause</w:t>
      </w:r>
    </w:p>
    <w:p>
      <w:pPr>
        <w:spacing w:after="80" w:before="60"/>
        <w:jc w:val="both"/>
      </w:pPr>
      <w:r>
        <w:rPr>
          <w:rFonts w:ascii="Arial" w:cs="Arial" w:eastAsia="Arial" w:hAnsi="Arial"/>
          <w:color w:val="444444"/>
          <w:sz w:val="20"/>
          <w:szCs w:val="20"/>
        </w:rPr>
        <w:t xml:space="preserve">During initial UAT reconciliation, discrepancies were found between the AVM factors produced by the Scala/Data Lake implementation and those expected by Retail Methodology. Investigation identified two distinct root causes:</w:t>
      </w:r>
    </w:p>
    <w:p>
      <w:pPr>
        <w:spacing w:after="0" w:before="80"/>
      </w:pPr>
    </w:p>
    <w:p>
      <w:pPr>
        <w:pStyle w:val="ListParagraph"/>
        <w:numPr>
          <w:ilvl w:val="0"/>
          <w:numId w:val="3"/>
        </w:numPr>
        <w:spacing w:after="40" w:before="40"/>
      </w:pPr>
      <w:r>
        <w:rPr>
          <w:rFonts w:ascii="Arial" w:cs="Arial" w:eastAsia="Arial" w:hAnsi="Arial"/>
          <w:b/>
          <w:bCs/>
          <w:color w:val="444444"/>
          <w:sz w:val="20"/>
          <w:szCs w:val="20"/>
        </w:rPr>
        <w:t xml:space="preserve">Missing value roll-over logic. </w:t>
      </w:r>
      <w:r>
        <w:rPr>
          <w:rFonts w:ascii="Arial" w:cs="Arial" w:eastAsia="Arial" w:hAnsi="Arial"/>
          <w:color w:val="444444"/>
          <w:sz w:val="20"/>
          <w:szCs w:val="20"/>
        </w:rPr>
        <w:t xml:space="preserve">The SAS reference code (via the e9004_performance data mart) carries forward the most recent available AVM valuation for an account if no current-period entry exists. The Data Lake table (mort_avm_valuation_partitions) held only current-period entries with no roll-over. This caused the median AVM calculation to be based on a different population across periods.</w:t>
      </w:r>
    </w:p>
    <w:p>
      <w:pPr>
        <w:pStyle w:val="ListParagraph"/>
        <w:numPr>
          <w:ilvl w:val="0"/>
          <w:numId w:val="3"/>
        </w:numPr>
        <w:spacing w:after="40" w:before="40"/>
      </w:pPr>
      <w:r>
        <w:rPr>
          <w:rFonts w:ascii="Arial" w:cs="Arial" w:eastAsia="Arial" w:hAnsi="Arial"/>
          <w:b/>
          <w:bCs/>
          <w:color w:val="444444"/>
          <w:sz w:val="20"/>
          <w:szCs w:val="20"/>
        </w:rPr>
        <w:t xml:space="preserve">Median vs. mean aggregation. </w:t>
      </w:r>
      <w:r>
        <w:rPr>
          <w:rFonts w:ascii="Arial" w:cs="Arial" w:eastAsia="Arial" w:hAnsi="Arial"/>
          <w:color w:val="444444"/>
          <w:sz w:val="20"/>
          <w:szCs w:val="20"/>
        </w:rPr>
        <w:t xml:space="preserve">The original Scala implementation used a mean (average) aggregation when computing the representative AVM value per region. The SAS reference used proc report with a median calculation. This was a direct divergence from the DDP intent.</w:t>
      </w:r>
    </w:p>
    <w:p>
      <w:pPr>
        <w:spacing w:after="0" w:before="80"/>
      </w:pPr>
    </w:p>
    <w:p>
      <w:pPr>
        <w:spacing w:after="80" w:before="60"/>
        <w:jc w:val="both"/>
      </w:pPr>
      <w:r>
        <w:rPr>
          <w:rFonts w:ascii="Arial" w:cs="Arial" w:eastAsia="Arial" w:hAnsi="Arial"/>
          <w:color w:val="444444"/>
          <w:sz w:val="20"/>
          <w:szCs w:val="20"/>
        </w:rPr>
        <w:t xml:space="preserve">The correct data source confirmed by Retail Methodology is </w:t>
      </w:r>
      <w:r>
        <w:rPr>
          <w:rFonts w:ascii="Arial" w:cs="Arial" w:eastAsia="Arial" w:hAnsi="Arial"/>
          <w:b/>
          <w:bCs/>
          <w:color w:val="444444"/>
          <w:sz w:val="20"/>
          <w:szCs w:val="20"/>
        </w:rPr>
        <w:t xml:space="preserve">retail_capital_enriched.main_mortgage_driver_partitions</w:t>
      </w:r>
      <w:r>
        <w:rPr>
          <w:rFonts w:ascii="Arial" w:cs="Arial" w:eastAsia="Arial" w:hAnsi="Arial"/>
          <w:color w:val="444444"/>
          <w:sz w:val="20"/>
          <w:szCs w:val="20"/>
        </w:rPr>
        <w:t xml:space="preserve">, not mort_avm_valuation_partitions. The Scala code was updated accordingly.</w:t>
      </w:r>
    </w:p>
    <w:p>
      <w:pPr>
        <w:pStyle w:val="Heading2"/>
        <w:spacing w:after="100" w:before="280"/>
      </w:pPr>
      <w:r>
        <w:rPr>
          <w:rFonts w:ascii="Arial" w:cs="Arial" w:eastAsia="Arial" w:hAnsi="Arial"/>
          <w:b/>
          <w:bCs/>
          <w:color w:val="CC0000"/>
          <w:sz w:val="26"/>
          <w:szCs w:val="26"/>
        </w:rPr>
        <w:t xml:space="preserve">2.3  Technical Changes Made</w:t>
      </w:r>
    </w:p>
    <w:p>
      <w:pPr>
        <w:pStyle w:val="Heading3"/>
        <w:spacing w:after="80" w:before="200"/>
      </w:pPr>
      <w:r>
        <w:rPr>
          <w:rFonts w:ascii="Arial" w:cs="Arial" w:eastAsia="Arial" w:hAnsi="Arial"/>
          <w:b/>
          <w:bCs/>
          <w:color w:val="444444"/>
          <w:sz w:val="22"/>
          <w:szCs w:val="22"/>
        </w:rPr>
        <w:t xml:space="preserve">2.3.1  Value Roll-over Logic</w:t>
      </w:r>
    </w:p>
    <w:p>
      <w:pPr>
        <w:spacing w:after="80" w:before="60"/>
        <w:jc w:val="both"/>
      </w:pPr>
      <w:r>
        <w:rPr>
          <w:rFonts w:ascii="Arial" w:cs="Arial" w:eastAsia="Arial" w:hAnsi="Arial"/>
          <w:color w:val="444444"/>
          <w:sz w:val="20"/>
          <w:szCs w:val="20"/>
        </w:rPr>
        <w:t xml:space="preserve">The Scala pipeline was updated to replicate the SAS roll-over logic: if no AVM valuation entry exists for an account at the current date_processed, the most recent prior entry is carried forward. Outlier records with date_processed values of 30 June 2018 and 31 July 2018 were discarded following analysis (realtime_valuation_date did not match date_processed for those records).</w:t>
      </w:r>
    </w:p>
    <w:p>
      <w:pPr>
        <w:pStyle w:val="Heading3"/>
        <w:spacing w:after="80" w:before="200"/>
      </w:pPr>
      <w:r>
        <w:rPr>
          <w:rFonts w:ascii="Arial" w:cs="Arial" w:eastAsia="Arial" w:hAnsi="Arial"/>
          <w:b/>
          <w:bCs/>
          <w:color w:val="444444"/>
          <w:sz w:val="22"/>
          <w:szCs w:val="22"/>
        </w:rPr>
        <w:t xml:space="preserve">2.3.2  Aggregation Function</w:t>
      </w:r>
    </w:p>
    <w:p>
      <w:pPr>
        <w:spacing w:after="80" w:before="60"/>
        <w:jc w:val="both"/>
      </w:pPr>
      <w:r>
        <w:rPr>
          <w:rFonts w:ascii="Arial" w:cs="Arial" w:eastAsia="Arial" w:hAnsi="Arial"/>
          <w:color w:val="444444"/>
          <w:sz w:val="20"/>
          <w:szCs w:val="20"/>
        </w:rPr>
        <w:t xml:space="preserve">The aggregation function for deriving the representative AVM value per region was changed from mean to median, consistent with the SAS proc report logic.</w:t>
      </w:r>
    </w:p>
    <w:p>
      <w:pPr>
        <w:pStyle w:val="Heading3"/>
        <w:spacing w:after="80" w:before="200"/>
      </w:pPr>
      <w:r>
        <w:rPr>
          <w:rFonts w:ascii="Arial" w:cs="Arial" w:eastAsia="Arial" w:hAnsi="Arial"/>
          <w:b/>
          <w:bCs/>
          <w:color w:val="444444"/>
          <w:sz w:val="22"/>
          <w:szCs w:val="22"/>
        </w:rPr>
        <w:t xml:space="preserve">2.3.3  SONIA Derivation</w:t>
      </w:r>
    </w:p>
    <w:p>
      <w:pPr>
        <w:spacing w:after="80" w:before="60"/>
        <w:jc w:val="both"/>
      </w:pPr>
      <w:r>
        <w:rPr>
          <w:rFonts w:ascii="Arial" w:cs="Arial" w:eastAsia="Arial" w:hAnsi="Arial"/>
          <w:color w:val="444444"/>
          <w:sz w:val="20"/>
          <w:szCs w:val="20"/>
        </w:rPr>
        <w:t xml:space="preserve">A related difference was identified in the SONIA rate used for discounting. The SAS project used a manually input SONIA value, whereas the Scala pipeline derives SONIA from </w:t>
      </w:r>
      <w:r>
        <w:rPr>
          <w:rFonts w:ascii="Arial" w:cs="Arial" w:eastAsia="Arial" w:hAnsi="Arial"/>
          <w:b/>
          <w:bCs/>
          <w:color w:val="444444"/>
          <w:sz w:val="20"/>
          <w:szCs w:val="20"/>
        </w:rPr>
        <w:t xml:space="preserve">corporate_loans.market_rates</w:t>
      </w:r>
      <w:r>
        <w:rPr>
          <w:rFonts w:ascii="Arial" w:cs="Arial" w:eastAsia="Arial" w:hAnsi="Arial"/>
          <w:color w:val="444444"/>
          <w:sz w:val="20"/>
          <w:szCs w:val="20"/>
        </w:rPr>
        <w:t xml:space="preserve"> as the monthly maximum (selecting the latest record per day by date_processed, using the month-1 convention as agreed). Retail Methodology accepted this approach as the more robust long-term solution.</w:t>
      </w:r>
    </w:p>
    <w:p>
      <w:pPr>
        <w:pStyle w:val="Heading3"/>
        <w:spacing w:after="80" w:before="200"/>
      </w:pPr>
      <w:r>
        <w:rPr>
          <w:rFonts w:ascii="Arial" w:cs="Arial" w:eastAsia="Arial" w:hAnsi="Arial"/>
          <w:b/>
          <w:bCs/>
          <w:color w:val="444444"/>
          <w:sz w:val="22"/>
          <w:szCs w:val="22"/>
        </w:rPr>
        <w:t xml:space="preserve">2.3.4  Numerical Precision</w:t>
      </w:r>
    </w:p>
    <w:p>
      <w:pPr>
        <w:spacing w:after="80" w:before="60"/>
        <w:jc w:val="both"/>
      </w:pPr>
      <w:r>
        <w:rPr>
          <w:rFonts w:ascii="Arial" w:cs="Arial" w:eastAsia="Arial" w:hAnsi="Arial"/>
          <w:color w:val="444444"/>
          <w:sz w:val="20"/>
          <w:szCs w:val="20"/>
        </w:rPr>
        <w:t xml:space="preserve">After applying the above corrections, the remaining differences across all 13 AVM factors were within ±0.04% in relative terms. Retail Methodology confirmed these are attributable to differences in floating-point precision between SAS and the Scala BigDecimal(38,18) implementation, and are not material.</w:t>
      </w:r>
    </w:p>
    <w:p>
      <w:pPr>
        <w:pStyle w:val="Heading2"/>
        <w:spacing w:after="100" w:before="280"/>
      </w:pPr>
      <w:r>
        <w:rPr>
          <w:rFonts w:ascii="Arial" w:cs="Arial" w:eastAsia="Arial" w:hAnsi="Arial"/>
          <w:b/>
          <w:bCs/>
          <w:color w:val="CC0000"/>
          <w:sz w:val="26"/>
          <w:szCs w:val="26"/>
        </w:rPr>
        <w:t xml:space="preserve">2.4  Reconciliation Results (2026 Q1)</w:t>
      </w:r>
    </w:p>
    <w:p>
      <w:pPr>
        <w:spacing w:after="80" w:before="60"/>
        <w:jc w:val="both"/>
      </w:pPr>
      <w:r>
        <w:rPr>
          <w:rFonts w:ascii="Arial" w:cs="Arial" w:eastAsia="Arial" w:hAnsi="Arial"/>
          <w:color w:val="444444"/>
          <w:sz w:val="20"/>
          <w:szCs w:val="20"/>
        </w:rPr>
        <w:t xml:space="preserve">The table below shows the final reconciled AVM factor values for 2026 Q1, as signed off by Retail Methodology on 15 May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1160"/>
        <w:gridCol w:w="1160"/>
      </w:tblGrid>
      <w:tr>
        <w:tc>
          <w:tcPr>
            <w:tcW w:type="dxa" w:w="24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Factor</w:t>
            </w:r>
          </w:p>
        </w:tc>
        <w:tc>
          <w:tcPr>
            <w:tcW w:type="dxa" w:w="232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UK Methodology (2026Q1)</w:t>
            </w:r>
          </w:p>
        </w:tc>
        <w:tc>
          <w:tcPr>
            <w:tcW w:type="dxa" w:w="232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Implemented (2026Q1)</w:t>
            </w:r>
          </w:p>
        </w:tc>
        <w:tc>
          <w:tcPr>
            <w:tcW w:type="dxa" w:w="116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Absolute Diff.</w:t>
            </w:r>
          </w:p>
        </w:tc>
        <w:tc>
          <w:tcPr>
            <w:tcW w:type="dxa" w:w="116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Relative Diff.</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AVM Factor 1</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0.766250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0.766298</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-0.00005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-0.01%</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AVM Factor 2</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0.750536</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0.750242</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0.00029</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0.04%</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AVM Factor 3</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0.787972</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0.788018</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-0.00005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-0.01%</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AVM Factor 4</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0.00000</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AVM Factor 5</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0.00000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AVM Factor 6</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0.00000</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AVM Factor 7</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0.00000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AVM Factor 8</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0.786237</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0.785976</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0.00026</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AVM Factor 9</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0.770529</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0.770567</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-0.00004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AVM Factor 10</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0.752448</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0.752554</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-0.00011</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AVM Factor 11</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0.754107</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0.754129</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-0.00002</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AVM Factor 12</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2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0.00000</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AVM Factor 13</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2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0.750000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0.00000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0.00%</w:t>
            </w:r>
          </w:p>
        </w:tc>
      </w:tr>
    </w:tbl>
    <w:p>
      <w:pPr>
        <w:spacing w:after="0" w:before="80"/>
      </w:pPr>
    </w:p>
    <w:p>
      <w:pPr>
        <w:spacing w:after="160" w:before="40"/>
        <w:jc w:val="center"/>
      </w:pPr>
      <w:r>
        <w:rPr>
          <w:rFonts w:ascii="Arial" w:cs="Arial" w:eastAsia="Arial" w:hAnsi="Arial"/>
          <w:i/>
          <w:iCs/>
          <w:color w:val="777777"/>
          <w:sz w:val="17"/>
          <w:szCs w:val="17"/>
        </w:rPr>
        <w:t xml:space="preserve">Table 1: AVM Factor reconciliation – 2026Q1 (signed off 15 May 2026)</w:t>
      </w:r>
    </w:p>
    <w:p>
      <w:pPr>
        <w:pStyle w:val="Heading2"/>
        <w:spacing w:after="100" w:before="280"/>
      </w:pPr>
      <w:r>
        <w:rPr>
          <w:rFonts w:ascii="Arial" w:cs="Arial" w:eastAsia="Arial" w:hAnsi="Arial"/>
          <w:b/>
          <w:bCs/>
          <w:color w:val="CC0000"/>
          <w:sz w:val="26"/>
          <w:szCs w:val="26"/>
        </w:rPr>
        <w:t xml:space="preserve">2.5  Email Chronology</w:t>
      </w:r>
    </w:p>
    <w:p>
      <w:pPr>
        <w:spacing w:after="80" w:before="60"/>
        <w:jc w:val="both"/>
      </w:pPr>
      <w:r>
        <w:rPr>
          <w:rFonts w:ascii="Arial" w:cs="Arial" w:eastAsia="Arial" w:hAnsi="Arial"/>
          <w:color w:val="444444"/>
          <w:sz w:val="20"/>
          <w:szCs w:val="20"/>
        </w:rPr>
        <w:t xml:space="preserve">The following table summarises the key communications for this change item (27 March – 15 May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88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468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Content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27 Mar 2026</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Rooks, Marco
(Hybrid Mortgages Team)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Identifies discrepancy between AVM factors derived from the Data Lake (mort_avm_valuation_partitions) and the SAS reference (e9004_performance). Root cause: no value roll-over in Data Lake vs. roll-over in SAS.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30 Apr 2026</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Black, Barnaby
(Retail Methodology)</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Confirms roll-over logic is required. Provides SAS code using proc report with median aggregation. Clarifies data source: main_mortgage_driver_partitions.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30 Apr 2026</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Rooks, Marco
(Hybrid Mortgages Team)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Notes that SAS proc report uses median (not mean). Requests confirmation and permission to update the Scala code.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04 May 2026</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Contreras, Alejandra
(Hybrid Mortgages Team)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Requests working session with Retail Methodology. Asks for updated EGP and documentation.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06 May 2026</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Black, Barnaby
(Retail Methodology)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Provides full SAS project including updated "3. Table Preparation.sas" and spreadsheet with input/output details for reconciliation.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08 May 2026</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Perez Paredes, Jorge
(Hybrid Mortgages Team)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Confirms code has been adapted. Highlights SONIA difference: SAS uses manual input; Scala derives from corporate_loans.market_rates. Results now closely aligned; remaining delta attributed to BigDecimal(38,18) vs SAS numeric precision.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11 May 2026</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Black, Barnaby
(Retail Methodology)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Accepts SONIA explanation. Flags remaining difference on AVM Factor 3 (Greater London): 79.10% in IT vs 78.80% in Methodology. Shares detailed quarterly calculation table.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11 May 2026</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Perez Paredes, Jorge
(Hybrid Mortgages Team)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Cross-validates median AVM in Athena SQL (result 524,657) vs SAS (524,688). Confirms Scala reproduces Athena result; residual gap is SAS floating-point precision. Shares Athena SQL query.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15 May 2026</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Black, Barnaby
(Retail Methodology)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SIGN-OFF: All 13 AVM Factors accepted. Remaining differences (max 0.04%) attributed to SAS calculation precision. Change formally closed.</w:t>
            </w:r>
          </w:p>
        </w:tc>
      </w:tr>
    </w:tbl>
    <w:p>
      <w:pPr>
        <w:spacing w:after="0" w:before="80"/>
      </w:pPr>
    </w:p>
    <w:p>
      <w:pPr>
        <w:spacing w:after="160" w:before="40"/>
        <w:jc w:val="center"/>
      </w:pPr>
      <w:r>
        <w:rPr>
          <w:rFonts w:ascii="Arial" w:cs="Arial" w:eastAsia="Arial" w:hAnsi="Arial"/>
          <w:i/>
          <w:iCs/>
          <w:color w:val="777777"/>
          <w:sz w:val="17"/>
          <w:szCs w:val="17"/>
        </w:rPr>
        <w:t xml:space="preserve">Table 2: AVM change – email chronology</w:t>
      </w:r>
    </w:p>
    <w:p>
      <w:pPr>
        <w:pStyle w:val="Heading1"/>
        <w:spacing w:after="120" w:before="240"/>
      </w:pPr>
      <w:r>
        <w:rPr>
          <w:rFonts w:ascii="Arial" w:cs="Arial" w:eastAsia="Arial" w:hAnsi="Arial"/>
          <w:b/>
          <w:bCs/>
          <w:color w:val="CC0000"/>
          <w:sz w:val="32"/>
          <w:szCs w:val="32"/>
        </w:rPr>
        <w:t xml:space="preserve">3.  Change 2 – sugg_sale_price Condition for PIP Contracts</w:t>
      </w:r>
    </w:p>
    <w:p>
      <w:pPr>
        <w:pBdr>
          <w:bottom w:val="single" w:color="CC0000" w:sz="12"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8"/>
              <w:left w:val="thick" w:color="FFC107" w:sz="20"/>
              <w:bottom w:val="single" w:color="FFC107" w:sz="8"/>
              <w:right w:val="single" w:color="FFC107" w:sz="8"/>
            </w:tcBorders>
            <w:shd w:fill="FFF3CD" w:val="clear"/>
            <w:tcMar>
              <w:top w:type="dxa" w:w="120"/>
              <w:left w:type="dxa" w:w="200"/>
              <w:bottom w:type="dxa" w:w="120"/>
              <w:right w:type="dxa" w:w="200"/>
            </w:tcMar>
          </w:tcPr>
          <w:p>
            <w:pPr>
              <w:spacing w:after="0" w:before="0"/>
            </w:pPr>
            <w:r>
              <w:rPr>
                <w:rFonts w:ascii="Arial" w:cs="Arial" w:eastAsia="Arial" w:hAnsi="Arial"/>
                <w:b/>
                <w:bCs/>
                <w:color w:val="5D4037"/>
                <w:sz w:val="20"/>
                <w:szCs w:val="20"/>
              </w:rPr>
              <w:t xml:space="preserve">STATUS: NOT IMPLEMENTED. </w:t>
            </w:r>
            <w:r>
              <w:rPr>
                <w:rFonts w:ascii="Arial" w:cs="Arial" w:eastAsia="Arial" w:hAnsi="Arial"/>
                <w:color w:val="5D4037"/>
                <w:sz w:val="20"/>
                <w:szCs w:val="20"/>
              </w:rPr>
              <w:t xml:space="preserve">This discrepancy has been identified and analysed but not corrected. It is documented here for audit and governance purposes. The decision not to implement was driven by capital materiality (£1.5m regulatory capital increase) and the governance overhead of a full UAT/IVT cycle. A future change request will be required to address this item.</w:t>
            </w:r>
          </w:p>
        </w:tc>
      </w:tr>
    </w:tbl>
    <w:p>
      <w:pPr>
        <w:spacing w:after="0" w:before="160"/>
      </w:pPr>
    </w:p>
    <w:p>
      <w:pPr>
        <w:pStyle w:val="Heading2"/>
        <w:spacing w:after="100" w:before="280"/>
      </w:pPr>
      <w:r>
        <w:rPr>
          <w:rFonts w:ascii="Arial" w:cs="Arial" w:eastAsia="Arial" w:hAnsi="Arial"/>
          <w:b/>
          <w:bCs/>
          <w:color w:val="CC0000"/>
          <w:sz w:val="26"/>
          <w:szCs w:val="26"/>
        </w:rPr>
        <w:t xml:space="preserve">3.1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96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Change ID</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CHG-002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Component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LGD – Collateral Value (lgd_recovery_valuation) for PIP contracts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Status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NOT IMPLEMENTED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Capital Impact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~£1.5m increase in Regulatory Capital (+£18.66m RWA)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Accounts affected</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~131 PIP contracts (December 2025 reference period)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EAD of affected pop.</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~£15,623,218</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LGD impact</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Default LGD increases from 12.76% to 13.84%</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UAT / IVT required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Yes – full scope to be confirmed; IVT coordination with Andy Veitch required</w:t>
            </w:r>
          </w:p>
        </w:tc>
      </w:tr>
    </w:tbl>
    <w:p>
      <w:pPr>
        <w:spacing w:after="0" w:before="160"/>
      </w:pPr>
    </w:p>
    <w:p>
      <w:pPr>
        <w:pStyle w:val="Heading2"/>
        <w:spacing w:after="100" w:before="280"/>
      </w:pPr>
      <w:r>
        <w:rPr>
          <w:rFonts w:ascii="Arial" w:cs="Arial" w:eastAsia="Arial" w:hAnsi="Arial"/>
          <w:b/>
          <w:bCs/>
          <w:color w:val="CC0000"/>
          <w:sz w:val="26"/>
          <w:szCs w:val="26"/>
        </w:rPr>
        <w:t xml:space="preserve">3.2  Background and Root Cause</w:t>
      </w:r>
    </w:p>
    <w:p>
      <w:pPr>
        <w:spacing w:after="80" w:before="60"/>
        <w:jc w:val="both"/>
      </w:pPr>
      <w:r>
        <w:rPr>
          <w:rFonts w:ascii="Arial" w:cs="Arial" w:eastAsia="Arial" w:hAnsi="Arial"/>
          <w:color w:val="444444"/>
          <w:sz w:val="20"/>
          <w:szCs w:val="20"/>
        </w:rPr>
        <w:t xml:space="preserve">During the December 2025 LGD reconciliation, approximately 80% of default accounts had LGDs reconciling within 0.1%. However, a subset of Properties in Possession (PIP) contracts were returning an implemented LGD of 100% against a Retail Methodology expectation of ~7%. Contract ANMF12610354 was the specific case that triggered the investigation.</w:t>
      </w:r>
    </w:p>
    <w:p>
      <w:pPr>
        <w:pStyle w:val="Heading3"/>
        <w:spacing w:after="80" w:before="200"/>
      </w:pPr>
      <w:r>
        <w:rPr>
          <w:rFonts w:ascii="Arial" w:cs="Arial" w:eastAsia="Arial" w:hAnsi="Arial"/>
          <w:b/>
          <w:bCs/>
          <w:color w:val="444444"/>
          <w:sz w:val="22"/>
          <w:szCs w:val="22"/>
        </w:rPr>
        <w:t xml:space="preserve">3.2.1  DDP Logic (Section 3.2, Page 33)</w:t>
      </w:r>
    </w:p>
    <w:p>
      <w:pPr>
        <w:spacing w:after="80" w:before="60"/>
        <w:jc w:val="both"/>
      </w:pPr>
      <w:r>
        <w:rPr>
          <w:rFonts w:ascii="Arial" w:cs="Arial" w:eastAsia="Arial" w:hAnsi="Arial"/>
          <w:color w:val="444444"/>
          <w:sz w:val="20"/>
          <w:szCs w:val="20"/>
        </w:rPr>
        <w:t xml:space="preserve">The Petition Definition Document specifies the following collateral-value assignment logic for PIP contracts:</w:t>
      </w:r>
    </w:p>
    <w:p>
      <w:pPr>
        <w:spacing w:after="0" w:before="60"/>
      </w:pPr>
    </w:p>
    <w:p>
      <w:pPr>
        <w:shd w:fill="F5F5F5" w:val="clear"/>
        <w:spacing w:after="20" w:before="20"/>
        <w:ind w:left="360"/>
      </w:pPr>
      <w:r>
        <w:rPr>
          <w:rFonts w:ascii="Courier New" w:cs="Courier New" w:eastAsia="Courier New" w:hAnsi="Courier New"/>
          <w:color w:val="222222"/>
          <w:sz w:val="18"/>
          <w:szCs w:val="18"/>
        </w:rPr>
        <w:t xml:space="preserve">if default = 1 and pip_ind = 'Y' and sugg_sale_price ne . then do;</w:t>
      </w:r>
    </w:p>
    <w:p>
      <w:pPr>
        <w:shd w:fill="F5F5F5" w:val="clear"/>
        <w:spacing w:after="20" w:before="20"/>
        <w:ind w:left="360"/>
      </w:pPr>
      <w:r>
        <w:rPr>
          <w:rFonts w:ascii="Courier New" w:cs="Courier New" w:eastAsia="Courier New" w:hAnsi="Courier New"/>
          <w:color w:val="222222"/>
          <w:sz w:val="18"/>
          <w:szCs w:val="18"/>
        </w:rPr>
        <w:t xml:space="preserve">    lgd_recovery_valuation = sugg_sale_price;</w:t>
      </w:r>
    </w:p>
    <w:p>
      <w:pPr>
        <w:shd w:fill="F5F5F5" w:val="clear"/>
        <w:spacing w:after="20" w:before="20"/>
        <w:ind w:left="360"/>
      </w:pPr>
      <w:r>
        <w:rPr>
          <w:rFonts w:ascii="Courier New" w:cs="Courier New" w:eastAsia="Courier New" w:hAnsi="Courier New"/>
          <w:color w:val="222222"/>
          <w:sz w:val="18"/>
          <w:szCs w:val="18"/>
        </w:rPr>
        <w:t xml:space="preserve">    lgd_avm_hpi_flag = 'AVM';</w:t>
      </w:r>
    </w:p>
    <w:p>
      <w:pPr>
        <w:shd w:fill="F5F5F5" w:val="clear"/>
        <w:spacing w:after="20" w:before="20"/>
        <w:ind w:left="360"/>
      </w:pPr>
      <w:r>
        <w:rPr>
          <w:rFonts w:ascii="Courier New" w:cs="Courier New" w:eastAsia="Courier New" w:hAnsi="Courier New"/>
          <w:color w:val="222222"/>
          <w:sz w:val="18"/>
          <w:szCs w:val="18"/>
        </w:rPr>
        <w:t xml:space="preserve">end;</w:t>
      </w:r>
    </w:p>
    <w:p>
      <w:pPr>
        <w:shd w:fill="F5F5F5" w:val="clear"/>
        <w:spacing w:after="20" w:before="20"/>
        <w:ind w:left="360"/>
      </w:pPr>
      <w:r>
        <w:rPr>
          <w:rFonts w:ascii="Courier New" w:cs="Courier New" w:eastAsia="Courier New" w:hAnsi="Courier New"/>
          <w:color w:val="222222"/>
          <w:sz w:val="18"/>
          <w:szCs w:val="18"/>
        </w:rPr>
        <w:t xml:space="preserve">else if current_avm_confidence in (., 0) or current_valuation_amt_avm in (., 0) then do;</w:t>
      </w:r>
    </w:p>
    <w:p>
      <w:pPr>
        <w:shd w:fill="F5F5F5" w:val="clear"/>
        <w:spacing w:after="20" w:before="20"/>
        <w:ind w:left="360"/>
      </w:pPr>
      <w:r>
        <w:rPr>
          <w:rFonts w:ascii="Courier New" w:cs="Courier New" w:eastAsia="Courier New" w:hAnsi="Courier New"/>
          <w:color w:val="222222"/>
          <w:sz w:val="18"/>
          <w:szCs w:val="18"/>
        </w:rPr>
        <w:t xml:space="preserve">    lgd_recovery_valuation = current_valuation_amt;</w:t>
      </w:r>
    </w:p>
    <w:p>
      <w:pPr>
        <w:shd w:fill="F5F5F5" w:val="clear"/>
        <w:spacing w:after="20" w:before="20"/>
        <w:ind w:left="360"/>
      </w:pPr>
      <w:r>
        <w:rPr>
          <w:rFonts w:ascii="Courier New" w:cs="Courier New" w:eastAsia="Courier New" w:hAnsi="Courier New"/>
          <w:color w:val="222222"/>
          <w:sz w:val="18"/>
          <w:szCs w:val="18"/>
        </w:rPr>
        <w:t xml:space="preserve">    lgd_avm_hpi_flag = 'HPI';</w:t>
      </w:r>
    </w:p>
    <w:p>
      <w:pPr>
        <w:shd w:fill="F5F5F5" w:val="clear"/>
        <w:spacing w:after="20" w:before="20"/>
        <w:ind w:left="360"/>
      </w:pPr>
      <w:r>
        <w:rPr>
          <w:rFonts w:ascii="Courier New" w:cs="Courier New" w:eastAsia="Courier New" w:hAnsi="Courier New"/>
          <w:color w:val="222222"/>
          <w:sz w:val="18"/>
          <w:szCs w:val="18"/>
        </w:rPr>
        <w:t xml:space="preserve">end;</w:t>
      </w:r>
    </w:p>
    <w:p>
      <w:pPr>
        <w:shd w:fill="F5F5F5" w:val="clear"/>
        <w:spacing w:after="20" w:before="20"/>
        <w:ind w:left="360"/>
      </w:pPr>
      <w:r>
        <w:rPr>
          <w:rFonts w:ascii="Courier New" w:cs="Courier New" w:eastAsia="Courier New" w:hAnsi="Courier New"/>
          <w:color w:val="222222"/>
          <w:sz w:val="18"/>
          <w:szCs w:val="18"/>
        </w:rPr>
        <w:t xml:space="preserve">else do;</w:t>
      </w:r>
    </w:p>
    <w:p>
      <w:pPr>
        <w:shd w:fill="F5F5F5" w:val="clear"/>
        <w:spacing w:after="20" w:before="20"/>
        <w:ind w:left="360"/>
      </w:pPr>
      <w:r>
        <w:rPr>
          <w:rFonts w:ascii="Courier New" w:cs="Courier New" w:eastAsia="Courier New" w:hAnsi="Courier New"/>
          <w:color w:val="222222"/>
          <w:sz w:val="18"/>
          <w:szCs w:val="18"/>
        </w:rPr>
        <w:t xml:space="preserve">    lgd_recovery_valuation = current_valuation_amt_avm;</w:t>
      </w:r>
    </w:p>
    <w:p>
      <w:pPr>
        <w:shd w:fill="F5F5F5" w:val="clear"/>
        <w:spacing w:after="20" w:before="20"/>
        <w:ind w:left="360"/>
      </w:pPr>
      <w:r>
        <w:rPr>
          <w:rFonts w:ascii="Courier New" w:cs="Courier New" w:eastAsia="Courier New" w:hAnsi="Courier New"/>
          <w:color w:val="222222"/>
          <w:sz w:val="18"/>
          <w:szCs w:val="18"/>
        </w:rPr>
        <w:t xml:space="preserve">    lgd_avm_hpi_flag = 'AVM';</w:t>
      </w:r>
    </w:p>
    <w:p>
      <w:pPr>
        <w:shd w:fill="F5F5F5" w:val="clear"/>
        <w:spacing w:after="20" w:before="20"/>
        <w:ind w:left="360"/>
      </w:pPr>
      <w:r>
        <w:rPr>
          <w:rFonts w:ascii="Courier New" w:cs="Courier New" w:eastAsia="Courier New" w:hAnsi="Courier New"/>
          <w:color w:val="222222"/>
          <w:sz w:val="18"/>
          <w:szCs w:val="18"/>
        </w:rPr>
        <w:t xml:space="preserve">end;</w:t>
      </w:r>
    </w:p>
    <w:p>
      <w:pPr>
        <w:spacing w:after="0" w:before="80"/>
      </w:pPr>
    </w:p>
    <w:p>
      <w:pPr>
        <w:spacing w:after="80" w:before="60"/>
        <w:jc w:val="both"/>
      </w:pPr>
      <w:r>
        <w:rPr>
          <w:rFonts w:ascii="Arial" w:cs="Arial" w:eastAsia="Arial" w:hAnsi="Arial"/>
          <w:color w:val="444444"/>
          <w:sz w:val="20"/>
          <w:szCs w:val="20"/>
        </w:rPr>
        <w:t xml:space="preserve">The critical guard is </w:t>
      </w:r>
      <w:r>
        <w:rPr>
          <w:rFonts w:ascii="Arial" w:cs="Arial" w:eastAsia="Arial" w:hAnsi="Arial"/>
          <w:b/>
          <w:bCs/>
          <w:color w:val="444444"/>
          <w:sz w:val="20"/>
          <w:szCs w:val="20"/>
        </w:rPr>
        <w:t xml:space="preserve">sugg_sale_price ne .</w:t>
      </w:r>
      <w:r>
        <w:rPr>
          <w:rFonts w:ascii="Arial" w:cs="Arial" w:eastAsia="Arial" w:hAnsi="Arial"/>
          <w:color w:val="444444"/>
          <w:sz w:val="20"/>
          <w:szCs w:val="20"/>
        </w:rPr>
        <w:t xml:space="preserve"> (i.e., not missing). In SAS, a missing numeric value (</w:t>
      </w:r>
      <w:r>
        <w:rPr>
          <w:rFonts w:ascii="Arial" w:cs="Arial" w:eastAsia="Arial" w:hAnsi="Arial"/>
          <w:i/>
          <w:iCs/>
          <w:color w:val="444444"/>
          <w:sz w:val="20"/>
          <w:szCs w:val="20"/>
        </w:rPr>
        <w:t xml:space="preserve">.</w:t>
      </w:r>
      <w:r>
        <w:rPr>
          <w:rFonts w:ascii="Arial" w:cs="Arial" w:eastAsia="Arial" w:hAnsi="Arial"/>
          <w:color w:val="444444"/>
          <w:sz w:val="20"/>
          <w:szCs w:val="20"/>
        </w:rPr>
        <w:t xml:space="preserve">) is semantically distinct from zero (</w:t>
      </w:r>
      <w:r>
        <w:rPr>
          <w:rFonts w:ascii="Arial" w:cs="Arial" w:eastAsia="Arial" w:hAnsi="Arial"/>
          <w:i/>
          <w:iCs/>
          <w:color w:val="444444"/>
          <w:sz w:val="20"/>
          <w:szCs w:val="20"/>
        </w:rPr>
        <w:t xml:space="preserve">0</w:t>
      </w:r>
      <w:r>
        <w:rPr>
          <w:rFonts w:ascii="Arial" w:cs="Arial" w:eastAsia="Arial" w:hAnsi="Arial"/>
          <w:color w:val="444444"/>
          <w:sz w:val="20"/>
          <w:szCs w:val="20"/>
        </w:rPr>
        <w:t xml:space="preserve">).</w:t>
      </w:r>
    </w:p>
    <w:p>
      <w:pPr>
        <w:pStyle w:val="Heading3"/>
        <w:spacing w:after="80" w:before="200"/>
      </w:pPr>
      <w:r>
        <w:rPr>
          <w:rFonts w:ascii="Arial" w:cs="Arial" w:eastAsia="Arial" w:hAnsi="Arial"/>
          <w:b/>
          <w:bCs/>
          <w:color w:val="444444"/>
          <w:sz w:val="22"/>
          <w:szCs w:val="22"/>
        </w:rPr>
        <w:t xml:space="preserve">3.2.2  Divergence in the Scala / Athena Implementation</w:t>
      </w:r>
    </w:p>
    <w:p>
      <w:pPr>
        <w:spacing w:after="80" w:before="60"/>
        <w:jc w:val="both"/>
      </w:pPr>
      <w:r>
        <w:rPr>
          <w:rFonts w:ascii="Arial" w:cs="Arial" w:eastAsia="Arial" w:hAnsi="Arial"/>
          <w:color w:val="444444"/>
          <w:sz w:val="20"/>
          <w:szCs w:val="20"/>
        </w:rPr>
        <w:t xml:space="preserve">The Data Lake source system (PIPPROD) populates sugg_sale_price with 0 in cases where the SAS development environment recorded it as missing. The original Scala pattern-match treated any populated (non-null) value – including zero – as a valid suggested sale price:</w:t>
      </w:r>
    </w:p>
    <w:p>
      <w:pPr>
        <w:spacing w:after="0" w:before="60"/>
      </w:pPr>
    </w:p>
    <w:p>
      <w:pPr>
        <w:shd w:fill="F5F5F5" w:val="clear"/>
        <w:spacing w:after="20" w:before="20"/>
        <w:ind w:left="360"/>
      </w:pPr>
      <w:r>
        <w:rPr>
          <w:rFonts w:ascii="Courier New" w:cs="Courier New" w:eastAsia="Courier New" w:hAnsi="Courier New"/>
          <w:color w:val="222222"/>
          <w:sz w:val="18"/>
          <w:szCs w:val="18"/>
        </w:rPr>
        <w:t xml:space="preserve">// Scala – original (divergent) implementation</w:t>
      </w:r>
    </w:p>
    <w:p>
      <w:pPr>
        <w:shd w:fill="F5F5F5" w:val="clear"/>
        <w:spacing w:after="20" w:before="20"/>
        <w:ind w:left="360"/>
      </w:pPr>
      <w:r>
        <w:rPr>
          <w:rFonts w:ascii="Courier New" w:cs="Courier New" w:eastAsia="Courier New" w:hAnsi="Courier New"/>
          <w:color w:val="222222"/>
          <w:sz w:val="18"/>
          <w:szCs w:val="18"/>
        </w:rPr>
        <w:t xml:space="preserve">case (intValues.one, Some(stringValues.y), Some(salePrice), _, _, _) =&gt; Some(salePrice)</w:t>
      </w:r>
    </w:p>
    <w:p>
      <w:pPr>
        <w:shd w:fill="F5F5F5" w:val="clear"/>
        <w:spacing w:after="20" w:before="20"/>
        <w:ind w:left="360"/>
      </w:pPr>
      <w:r>
        <w:rPr>
          <w:rFonts w:ascii="Courier New" w:cs="Courier New" w:eastAsia="Courier New" w:hAnsi="Courier New"/>
          <w:color w:val="222222"/>
          <w:sz w:val="18"/>
          <w:szCs w:val="18"/>
        </w:rPr>
        <w:t xml:space="preserve"/>
      </w:r>
    </w:p>
    <w:p>
      <w:pPr>
        <w:shd w:fill="F5F5F5" w:val="clear"/>
        <w:spacing w:after="20" w:before="20"/>
        <w:ind w:left="360"/>
      </w:pPr>
      <w:r>
        <w:rPr>
          <w:rFonts w:ascii="Courier New" w:cs="Courier New" w:eastAsia="Courier New" w:hAnsi="Courier New"/>
          <w:color w:val="222222"/>
          <w:sz w:val="18"/>
          <w:szCs w:val="18"/>
        </w:rPr>
        <w:t xml:space="preserve">// salePrice = Some(0) matches the pattern above,</w:t>
      </w:r>
    </w:p>
    <w:p>
      <w:pPr>
        <w:shd w:fill="F5F5F5" w:val="clear"/>
        <w:spacing w:after="20" w:before="20"/>
        <w:ind w:left="360"/>
      </w:pPr>
      <w:r>
        <w:rPr>
          <w:rFonts w:ascii="Courier New" w:cs="Courier New" w:eastAsia="Courier New" w:hAnsi="Courier New"/>
          <w:color w:val="222222"/>
          <w:sz w:val="18"/>
          <w:szCs w:val="18"/>
        </w:rPr>
        <w:t xml:space="preserve">// so lgd_recovery_valuation is set to £0</w:t>
      </w:r>
    </w:p>
    <w:p>
      <w:pPr>
        <w:spacing w:after="0" w:before="80"/>
      </w:pPr>
    </w:p>
    <w:p>
      <w:pPr>
        <w:spacing w:after="80" w:before="60"/>
        <w:jc w:val="both"/>
      </w:pPr>
      <w:r>
        <w:rPr>
          <w:rFonts w:ascii="Arial" w:cs="Arial" w:eastAsia="Arial" w:hAnsi="Arial"/>
          <w:color w:val="444444"/>
          <w:sz w:val="20"/>
          <w:szCs w:val="20"/>
        </w:rPr>
        <w:t xml:space="preserve">Setting the recovery valuation to £0 for a PIP contract causes all downstream haircut, PPGD and discounting calculations to produce an lgd_no_floor_dt greater than 1.0, which is then clamped to 1 (100% LGD).</w:t>
      </w:r>
    </w:p>
    <w:p>
      <w:pPr>
        <w:pStyle w:val="Heading3"/>
        <w:spacing w:after="80" w:before="200"/>
      </w:pPr>
      <w:r>
        <w:rPr>
          <w:rFonts w:ascii="Arial" w:cs="Arial" w:eastAsia="Arial" w:hAnsi="Arial"/>
          <w:b/>
          <w:bCs/>
          <w:color w:val="444444"/>
          <w:sz w:val="22"/>
          <w:szCs w:val="22"/>
        </w:rPr>
        <w:t xml:space="preserve">3.2.3  Why It Was Not Caught in the Original UAT</w:t>
      </w:r>
    </w:p>
    <w:p>
      <w:pPr>
        <w:spacing w:after="80" w:before="60"/>
        <w:jc w:val="both"/>
      </w:pPr>
      <w:r>
        <w:rPr>
          <w:rFonts w:ascii="Arial" w:cs="Arial" w:eastAsia="Arial" w:hAnsi="Arial"/>
          <w:color w:val="444444"/>
          <w:sz w:val="20"/>
          <w:szCs w:val="20"/>
        </w:rPr>
        <w:t xml:space="preserve">The original UAT was conducted with awareness that the sugg_sale_price data source was changing between the development environment (BDR/PIPPROD direct) and the production Data Lake feed. PIP records were expected to show differences and were therefore not subject to strict LGD-value tolerance checks. In retrospect, a closer review of the magnitude of those differences would have identified this issue earlier.</w:t>
      </w:r>
    </w:p>
    <w:p>
      <w:pPr>
        <w:pStyle w:val="Heading2"/>
        <w:spacing w:after="100" w:before="280"/>
      </w:pPr>
      <w:r>
        <w:rPr>
          <w:rFonts w:ascii="Arial" w:cs="Arial" w:eastAsia="Arial" w:hAnsi="Arial"/>
          <w:b/>
          <w:bCs/>
          <w:color w:val="CC0000"/>
          <w:sz w:val="26"/>
          <w:szCs w:val="26"/>
        </w:rPr>
        <w:t xml:space="preserve">3.3  Proposed Technical Fix</w:t>
      </w:r>
    </w:p>
    <w:p>
      <w:pPr>
        <w:spacing w:after="80" w:before="60"/>
        <w:jc w:val="both"/>
      </w:pPr>
      <w:r>
        <w:rPr>
          <w:rFonts w:ascii="Arial" w:cs="Arial" w:eastAsia="Arial" w:hAnsi="Arial"/>
          <w:color w:val="444444"/>
          <w:sz w:val="20"/>
          <w:szCs w:val="20"/>
        </w:rPr>
        <w:t xml:space="preserve">Retail Methodology proposed amending the first-branch condition to require sugg_sale_price to be strictly greater than zero, thereby replicating the SAS "ne ." semantics:</w:t>
      </w:r>
    </w:p>
    <w:p>
      <w:pPr>
        <w:spacing w:after="0" w:before="60"/>
      </w:pPr>
    </w:p>
    <w:p>
      <w:pPr>
        <w:shd w:fill="F5F5F5" w:val="clear"/>
        <w:spacing w:after="20" w:before="20"/>
        <w:ind w:left="360"/>
      </w:pPr>
      <w:r>
        <w:rPr>
          <w:rFonts w:ascii="Courier New" w:cs="Courier New" w:eastAsia="Courier New" w:hAnsi="Courier New"/>
          <w:color w:val="222222"/>
          <w:sz w:val="18"/>
          <w:szCs w:val="18"/>
        </w:rPr>
        <w:t xml:space="preserve">// Proposed Scala amendment</w:t>
      </w:r>
    </w:p>
    <w:p>
      <w:pPr>
        <w:shd w:fill="F5F5F5" w:val="clear"/>
        <w:spacing w:after="20" w:before="20"/>
        <w:ind w:left="360"/>
      </w:pPr>
      <w:r>
        <w:rPr>
          <w:rFonts w:ascii="Courier New" w:cs="Courier New" w:eastAsia="Courier New" w:hAnsi="Courier New"/>
          <w:color w:val="222222"/>
          <w:sz w:val="18"/>
          <w:szCs w:val="18"/>
        </w:rPr>
        <w:t xml:space="preserve">case (intValues.one, Some(stringValues.y), Some(salePrice), _, _, _)</w:t>
      </w:r>
    </w:p>
    <w:p>
      <w:pPr>
        <w:shd w:fill="F5F5F5" w:val="clear"/>
        <w:spacing w:after="20" w:before="20"/>
        <w:ind w:left="360"/>
      </w:pPr>
      <w:r>
        <w:rPr>
          <w:rFonts w:ascii="Courier New" w:cs="Courier New" w:eastAsia="Courier New" w:hAnsi="Courier New"/>
          <w:color w:val="222222"/>
          <w:sz w:val="18"/>
          <w:szCs w:val="18"/>
        </w:rPr>
        <w:t xml:space="preserve">    if salePrice &gt; decValues.zero =&gt; Some(salePrice)</w:t>
      </w:r>
    </w:p>
    <w:p>
      <w:pPr>
        <w:spacing w:after="0" w:before="80"/>
      </w:pPr>
    </w:p>
    <w:p>
      <w:pPr>
        <w:spacing w:after="80" w:before="60"/>
        <w:jc w:val="both"/>
      </w:pPr>
      <w:r>
        <w:rPr>
          <w:rFonts w:ascii="Arial" w:cs="Arial" w:eastAsia="Arial" w:hAnsi="Arial"/>
          <w:color w:val="444444"/>
          <w:sz w:val="20"/>
          <w:szCs w:val="20"/>
        </w:rPr>
        <w:t xml:space="preserve">From a purely technical standpoint the change is straightforward and low-risk. However, because it alters the behaviour of a live capital calculation model it must be treated as a new requirement rather than a bug-fix, requiring a formal change-management process.</w:t>
      </w:r>
    </w:p>
    <w:p>
      <w:pPr>
        <w:pStyle w:val="Heading2"/>
        <w:spacing w:after="100" w:before="280"/>
      </w:pPr>
      <w:r>
        <w:rPr>
          <w:rFonts w:ascii="Arial" w:cs="Arial" w:eastAsia="Arial" w:hAnsi="Arial"/>
          <w:b/>
          <w:bCs/>
          <w:color w:val="CC0000"/>
          <w:sz w:val="26"/>
          <w:szCs w:val="26"/>
        </w:rPr>
        <w:t xml:space="preserve">3.4  Capital Impact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576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Approximate number of affected contracts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~131</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Total EAD of affected contracts (Dec-25)</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~£15,623,218</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LGD on affected contracts (current / incorrect)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100%</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LGD on affected contracts (expected per DDP)</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~7%</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Portfolio default LGD – current implementation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13.84%</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Portfolio default LGD – if corrected</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12.76%</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RWA increase due to discrepancy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+£18.66m</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Regulatory Capital increase due to discrepancy</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~+£1.5m</w:t>
            </w:r>
          </w:p>
        </w:tc>
      </w:tr>
    </w:tbl>
    <w:p>
      <w:pPr>
        <w:spacing w:after="0" w:before="80"/>
      </w:pPr>
    </w:p>
    <w:p>
      <w:pPr>
        <w:spacing w:after="160" w:before="40"/>
        <w:jc w:val="center"/>
      </w:pPr>
      <w:r>
        <w:rPr>
          <w:rFonts w:ascii="Arial" w:cs="Arial" w:eastAsia="Arial" w:hAnsi="Arial"/>
          <w:i/>
          <w:iCs/>
          <w:color w:val="777777"/>
          <w:sz w:val="17"/>
          <w:szCs w:val="17"/>
        </w:rPr>
        <w:t xml:space="preserve">Table 3: Capital impact summary (December 2025 reference period)</w:t>
      </w:r>
    </w:p>
    <w:p>
      <w:pPr>
        <w:pStyle w:val="Heading2"/>
        <w:spacing w:after="100" w:before="280"/>
      </w:pPr>
      <w:r>
        <w:rPr>
          <w:rFonts w:ascii="Arial" w:cs="Arial" w:eastAsia="Arial" w:hAnsi="Arial"/>
          <w:b/>
          <w:bCs/>
          <w:color w:val="CC0000"/>
          <w:sz w:val="26"/>
          <w:szCs w:val="26"/>
        </w:rPr>
        <w:t xml:space="preserve">3.5  Decision Not to Implement</w:t>
      </w:r>
    </w:p>
    <w:p>
      <w:pPr>
        <w:spacing w:after="80" w:before="60"/>
        <w:jc w:val="both"/>
      </w:pPr>
      <w:r>
        <w:rPr>
          <w:rFonts w:ascii="Arial" w:cs="Arial" w:eastAsia="Arial" w:hAnsi="Arial"/>
          <w:color w:val="444444"/>
          <w:sz w:val="20"/>
          <w:szCs w:val="20"/>
        </w:rPr>
        <w:t xml:space="preserve">After evaluating the capital impact and the governance overhead, the decision was taken not to implement the proposed change at this time. The key considerations were:</w:t>
      </w:r>
    </w:p>
    <w:p>
      <w:pPr>
        <w:spacing w:after="0" w:before="80"/>
      </w:pPr>
    </w:p>
    <w:p>
      <w:pPr>
        <w:pStyle w:val="ListParagraph"/>
        <w:numPr>
          <w:ilvl w:val="0"/>
          <w:numId w:val="3"/>
        </w:numPr>
        <w:spacing w:after="40" w:before="40"/>
      </w:pPr>
      <w:r>
        <w:rPr>
          <w:rFonts w:ascii="Arial" w:cs="Arial" w:eastAsia="Arial" w:hAnsi="Arial"/>
          <w:b/>
          <w:bCs/>
          <w:color w:val="444444"/>
          <w:sz w:val="20"/>
          <w:szCs w:val="20"/>
        </w:rPr>
        <w:t xml:space="preserve">Governance overhead. </w:t>
      </w:r>
      <w:r>
        <w:rPr>
          <w:rFonts w:ascii="Arial" w:cs="Arial" w:eastAsia="Arial" w:hAnsi="Arial"/>
          <w:color w:val="444444"/>
          <w:sz w:val="20"/>
          <w:szCs w:val="20"/>
        </w:rPr>
        <w:t xml:space="preserve">Any code change to a live IRB model requires a new UAT cycle, formal sign-off by Retail Methodology, and an Independent Validation Test (IVT) led by Andy Veitch (Santander). The scope of that UAT had not been agreed at the point the decision was made.</w:t>
      </w:r>
    </w:p>
    <w:p>
      <w:pPr>
        <w:pStyle w:val="ListParagraph"/>
        <w:numPr>
          <w:ilvl w:val="0"/>
          <w:numId w:val="3"/>
        </w:numPr>
        <w:spacing w:after="40" w:before="40"/>
      </w:pPr>
      <w:r>
        <w:rPr>
          <w:rFonts w:ascii="Arial" w:cs="Arial" w:eastAsia="Arial" w:hAnsi="Arial"/>
          <w:b/>
          <w:bCs/>
          <w:color w:val="444444"/>
          <w:sz w:val="20"/>
          <w:szCs w:val="20"/>
        </w:rPr>
        <w:t xml:space="preserve">Capital materiality. </w:t>
      </w:r>
      <w:r>
        <w:rPr>
          <w:rFonts w:ascii="Arial" w:cs="Arial" w:eastAsia="Arial" w:hAnsi="Arial"/>
          <w:color w:val="444444"/>
          <w:sz w:val="20"/>
          <w:szCs w:val="20"/>
        </w:rPr>
        <w:t xml:space="preserve">The correction would increase Regulatory Capital requirements by approximately £1.5m (+£18.66m RWA). This uplift requires a formal capital impact assessment and sign-off before it can be reflected in regulatory reporting.</w:t>
      </w:r>
    </w:p>
    <w:p>
      <w:pPr>
        <w:pStyle w:val="ListParagraph"/>
        <w:numPr>
          <w:ilvl w:val="0"/>
          <w:numId w:val="3"/>
        </w:numPr>
        <w:spacing w:after="40" w:before="40"/>
      </w:pPr>
      <w:r>
        <w:rPr>
          <w:rFonts w:ascii="Arial" w:cs="Arial" w:eastAsia="Arial" w:hAnsi="Arial"/>
          <w:b/>
          <w:bCs/>
          <w:color w:val="444444"/>
          <w:sz w:val="20"/>
          <w:szCs w:val="20"/>
        </w:rPr>
        <w:t xml:space="preserve">Data-source dependency. </w:t>
      </w:r>
      <w:r>
        <w:rPr>
          <w:rFonts w:ascii="Arial" w:cs="Arial" w:eastAsia="Arial" w:hAnsi="Arial"/>
          <w:color w:val="444444"/>
          <w:sz w:val="20"/>
          <w:szCs w:val="20"/>
        </w:rPr>
        <w:t xml:space="preserve">The root cause lies in a semantic difference between how PIPPROD represents missing values in the Data Lake (zero) versus in the SAS development environment (missing). A durable fix may require upstream data remediation in addition to the Scala logic change.</w:t>
      </w:r>
    </w:p>
    <w:p>
      <w:pPr>
        <w:pStyle w:val="ListParagraph"/>
        <w:numPr>
          <w:ilvl w:val="0"/>
          <w:numId w:val="3"/>
        </w:numPr>
        <w:spacing w:after="40" w:before="40"/>
      </w:pPr>
      <w:r>
        <w:rPr>
          <w:rFonts w:ascii="Arial" w:cs="Arial" w:eastAsia="Arial" w:hAnsi="Arial"/>
          <w:b/>
          <w:bCs/>
          <w:color w:val="444444"/>
          <w:sz w:val="20"/>
          <w:szCs w:val="20"/>
        </w:rPr>
        <w:t xml:space="preserve">Timing. </w:t>
      </w:r>
      <w:r>
        <w:rPr>
          <w:rFonts w:ascii="Arial" w:cs="Arial" w:eastAsia="Arial" w:hAnsi="Arial"/>
          <w:color w:val="444444"/>
          <w:sz w:val="20"/>
          <w:szCs w:val="20"/>
        </w:rPr>
        <w:t xml:space="preserve">Implementing a governance-heavy change in the middle of an active reporting cycle was judged to carry operational risk disproportionate to the short-term benefit.</w:t>
      </w:r>
    </w:p>
    <w:p>
      <w:pPr>
        <w:spacing w:after="0" w:before="80"/>
      </w:pPr>
    </w:p>
    <w:p>
      <w:pPr>
        <w:spacing w:after="80" w:before="60"/>
        <w:jc w:val="both"/>
      </w:pPr>
      <w:r>
        <w:rPr>
          <w:rFonts w:ascii="Arial" w:cs="Arial" w:eastAsia="Arial" w:hAnsi="Arial"/>
          <w:i/>
          <w:iCs/>
          <w:color w:val="444444"/>
          <w:sz w:val="20"/>
          <w:szCs w:val="20"/>
        </w:rPr>
        <w:t xml:space="preserve">This decision does not constitute acceptance that the current behaviour is correct or compliant with the DDP. The discrepancy is formally recorded here so that it can be addressed in a future model change request, subject to the appropriate UAT, IVT and capital-impact sign-off.</w:t>
      </w:r>
    </w:p>
    <w:p>
      <w:pPr>
        <w:pStyle w:val="Heading2"/>
        <w:spacing w:after="100" w:before="280"/>
      </w:pPr>
      <w:r>
        <w:rPr>
          <w:rFonts w:ascii="Arial" w:cs="Arial" w:eastAsia="Arial" w:hAnsi="Arial"/>
          <w:b/>
          <w:bCs/>
          <w:color w:val="CC0000"/>
          <w:sz w:val="26"/>
          <w:szCs w:val="26"/>
        </w:rPr>
        <w:t xml:space="preserve">3.6  Email Chronology</w:t>
      </w:r>
    </w:p>
    <w:p>
      <w:pPr>
        <w:spacing w:after="80" w:before="60"/>
        <w:jc w:val="both"/>
      </w:pPr>
      <w:r>
        <w:rPr>
          <w:rFonts w:ascii="Arial" w:cs="Arial" w:eastAsia="Arial" w:hAnsi="Arial"/>
          <w:color w:val="444444"/>
          <w:sz w:val="20"/>
          <w:szCs w:val="20"/>
        </w:rPr>
        <w:t xml:space="preserve">The following table summarises the key communications for this item (7–18 May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88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468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Content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07 May 2026</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Black, Barnaby
(Retail Methodology)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Flags LGD = 100% on ANMF12610354 vs expected 7.2%. Requests explanation from IT team.</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08 May 2026</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Perez Paredes, Jorge
(Hybrid Mortgages Team)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Root cause identified: contract classified as PIP in Dec-25; sugg_sale_price = 0 causes lgd_recovery_valuation = 0, driving lgd_no_floor_dt &gt; 1, clamped to 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11 May 2026</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Black, Barnaby
(Retail Methodology)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Confirms zero/missing distinction is the issue. Proposes fix: sugg_sale_price &gt; 0. Quantifies impact: overall default LGD rises from 12.76% to 13.84%, RWA +£18.66m, capital +£1.5m.</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12 May 2026
(15:15)</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Perez Paredes, Jorge
(Hybrid Mortgages Team)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131 contracts affected, EAD ~£15.6m (Dec-25). States change is a new requirement needing materiality confirmation, new UAT, sign-off and IVT.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12 May 2026
(17:55)</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Black, Barnaby
(Retail Methodology)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Provides DDP page 33 reference. Confirms sugg_sale_price source change was a known UAT gap. Requests IT to confirm AVM logic alignment.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13 May 2026</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Perez Paredes, Jorge
(Hybrid Mortgages Team)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Confirms Scala logic fully aligns with DDP (incl. AVM confidence checks). Team ready to implement if instructed. Requests scoping meeting for UAT/IVT.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18 May 2026</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Perez Paredes, Jorge
(Hybrid Mortgages Team)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Follow-up reminder. No instruction to proceed received. Change remains unimplemented.</w:t>
            </w:r>
          </w:p>
        </w:tc>
      </w:tr>
    </w:tbl>
    <w:p>
      <w:pPr>
        <w:spacing w:after="0" w:before="80"/>
      </w:pPr>
    </w:p>
    <w:p>
      <w:pPr>
        <w:spacing w:after="160" w:before="40"/>
        <w:jc w:val="center"/>
      </w:pPr>
      <w:r>
        <w:rPr>
          <w:rFonts w:ascii="Arial" w:cs="Arial" w:eastAsia="Arial" w:hAnsi="Arial"/>
          <w:i/>
          <w:iCs/>
          <w:color w:val="777777"/>
          <w:sz w:val="17"/>
          <w:szCs w:val="17"/>
        </w:rPr>
        <w:t xml:space="preserve">Table 4: sugg_sale_price discrepancy – email chronology</w:t>
      </w:r>
    </w:p>
    <w:p>
      <w:pPr>
        <w:pStyle w:val="Heading2"/>
        <w:spacing w:after="100" w:before="280"/>
      </w:pPr>
      <w:r>
        <w:rPr>
          <w:rFonts w:ascii="Arial" w:cs="Arial" w:eastAsia="Arial" w:hAnsi="Arial"/>
          <w:b/>
          <w:bCs/>
          <w:color w:val="CC0000"/>
          <w:sz w:val="26"/>
          <w:szCs w:val="26"/>
        </w:rPr>
        <w:t xml:space="preserve">3.7  Recommended Next Steps</w:t>
      </w:r>
    </w:p>
    <w:p>
      <w:pPr>
        <w:pStyle w:val="ListParagraph"/>
        <w:numPr>
          <w:ilvl w:val="0"/>
          <w:numId w:val="3"/>
        </w:numPr>
        <w:spacing w:after="40" w:before="40"/>
      </w:pPr>
      <w:r>
        <w:rPr>
          <w:rFonts w:ascii="Arial" w:cs="Arial" w:eastAsia="Arial" w:hAnsi="Arial"/>
          <w:color w:val="444444"/>
          <w:sz w:val="20"/>
          <w:szCs w:val="20"/>
        </w:rPr>
        <w:t xml:space="preserve">Retail Methodology to formally confirm whether the proposed sugg_sale_price &gt; 0 change should be raised as a new model change request.</w:t>
      </w:r>
    </w:p>
    <w:p>
      <w:pPr>
        <w:pStyle w:val="ListParagraph"/>
        <w:numPr>
          <w:ilvl w:val="0"/>
          <w:numId w:val="3"/>
        </w:numPr>
        <w:spacing w:after="40" w:before="40"/>
      </w:pPr>
      <w:r>
        <w:rPr>
          <w:rFonts w:ascii="Arial" w:cs="Arial" w:eastAsia="Arial" w:hAnsi="Arial"/>
          <w:color w:val="444444"/>
          <w:sz w:val="20"/>
          <w:szCs w:val="20"/>
        </w:rPr>
        <w:t xml:space="preserve">Agree UAT scope: whether limited to the 131 affected PIP cases or a full LGD / Capital model regression.</w:t>
      </w:r>
    </w:p>
    <w:p>
      <w:pPr>
        <w:pStyle w:val="ListParagraph"/>
        <w:numPr>
          <w:ilvl w:val="0"/>
          <w:numId w:val="3"/>
        </w:numPr>
        <w:spacing w:after="40" w:before="40"/>
      </w:pPr>
      <w:r>
        <w:rPr>
          <w:rFonts w:ascii="Arial" w:cs="Arial" w:eastAsia="Arial" w:hAnsi="Arial"/>
          <w:color w:val="444444"/>
          <w:sz w:val="20"/>
          <w:szCs w:val="20"/>
        </w:rPr>
        <w:t xml:space="preserve">Align with Andy Veitch (IVT lead) on scope and timing of independent validation for any code changes.</w:t>
      </w:r>
    </w:p>
    <w:p>
      <w:pPr>
        <w:pStyle w:val="ListParagraph"/>
        <w:numPr>
          <w:ilvl w:val="0"/>
          <w:numId w:val="3"/>
        </w:numPr>
        <w:spacing w:after="40" w:before="40"/>
      </w:pPr>
      <w:r>
        <w:rPr>
          <w:rFonts w:ascii="Arial" w:cs="Arial" w:eastAsia="Arial" w:hAnsi="Arial"/>
          <w:color w:val="444444"/>
          <w:sz w:val="20"/>
          <w:szCs w:val="20"/>
        </w:rPr>
        <w:t xml:space="preserve">Conduct a formal capital impact assessment and obtain sign-off before reflecting the £1.5m capital uplift in regulatory reporting.</w:t>
      </w:r>
    </w:p>
    <w:p>
      <w:pPr>
        <w:pStyle w:val="ListParagraph"/>
        <w:numPr>
          <w:ilvl w:val="0"/>
          <w:numId w:val="3"/>
        </w:numPr>
        <w:spacing w:after="40" w:before="40"/>
      </w:pPr>
      <w:r>
        <w:rPr>
          <w:rFonts w:ascii="Arial" w:cs="Arial" w:eastAsia="Arial" w:hAnsi="Arial"/>
          <w:color w:val="444444"/>
          <w:sz w:val="20"/>
          <w:szCs w:val="20"/>
        </w:rPr>
        <w:t xml:space="preserve">Investigate whether the upstream PIPPROD data feed can be amended to represent missing values as NULL rather than 0 in the Data Lake, as a more durable solution.</w:t>
      </w:r>
    </w:p>
    <w:p>
      <w:pPr>
        <w:pStyle w:val="Heading1"/>
        <w:spacing w:after="120" w:before="240"/>
      </w:pPr>
      <w:r>
        <w:rPr>
          <w:rFonts w:ascii="Arial" w:cs="Arial" w:eastAsia="Arial" w:hAnsi="Arial"/>
          <w:b/>
          <w:bCs/>
          <w:color w:val="CC0000"/>
          <w:sz w:val="32"/>
          <w:szCs w:val="32"/>
        </w:rPr>
        <w:t xml:space="preserve">4.  Change Register</w:t>
      </w:r>
    </w:p>
    <w:p>
      <w:pPr>
        <w:pBdr>
          <w:bottom w:val="single" w:color="CC0000" w:sz="12" w:space="1"/>
        </w:pBdr>
        <w:spacing w:after="120" w:before="0"/>
      </w:pPr>
    </w:p>
    <w:p>
      <w:pPr>
        <w:spacing w:after="80" w:before="60"/>
        <w:jc w:val="both"/>
      </w:pPr>
      <w:r>
        <w:rPr>
          <w:rFonts w:ascii="Arial" w:cs="Arial" w:eastAsia="Arial" w:hAnsi="Arial"/>
          <w:color w:val="444444"/>
          <w:sz w:val="20"/>
          <w:szCs w:val="20"/>
        </w:rPr>
        <w:t xml:space="preserve">Summary of all change items documented in this log: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800"/>
        <w:gridCol w:w="1200"/>
        <w:gridCol w:w="1800"/>
      </w:tblGrid>
      <w:tr>
        <w:tc>
          <w:tcPr>
            <w:tcW w:type="dxa" w:w="12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336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8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12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800"/>
            <w:tcBorders>
              <w:top w:val="single" w:color="CCCCCC" w:sz="4"/>
              <w:left w:val="single" w:color="CCCCCC" w:sz="4"/>
              <w:bottom w:val="single" w:color="CCCCCC" w:sz="4"/>
              <w:right w:val="single" w:color="CCCCCC" w:sz="4"/>
            </w:tcBorders>
            <w:shd w:fill="CC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Impact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CHG-001</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AVM Factor: median aggregation + value roll-over + data source correction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LGD – HPI/AVM Factors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IMPLEMENTED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44444"/>
                <w:sz w:val="18"/>
                <w:szCs w:val="18"/>
              </w:rPr>
              <w:t xml:space="preserve">None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CHG-002</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sugg_sale_price &gt; 0 condition for PIP contracts (zero vs. missing distinction)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LGD – Collateral Value (PIP)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NOT IMPLEMENTED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~+£1.5m capital / +£18.66m RWA</w:t>
            </w:r>
          </w:p>
        </w:tc>
      </w:tr>
    </w:tbl>
    <w:p>
      <w:pPr>
        <w:spacing w:after="0" w:before="200"/>
      </w:pPr>
    </w:p>
    <w:p>
      <w:pPr>
        <w:spacing w:after="0" w:before="40"/>
        <w:jc w:val="center"/>
      </w:pPr>
      <w:r>
        <w:rPr>
          <w:rFonts w:ascii="Arial" w:cs="Arial" w:eastAsia="Arial" w:hAnsi="Arial"/>
          <w:i/>
          <w:iCs/>
          <w:color w:val="777777"/>
          <w:sz w:val="17"/>
          <w:szCs w:val="17"/>
        </w:rPr>
        <w:t xml:space="preserve">Table 5: Change Register</w:t>
      </w:r>
    </w:p>
    <w:p>
      <w:pPr>
        <w:pStyle w:val="Heading1"/>
        <w:spacing w:before="400" w:after="120"/>
        <w:outlineLvl w:val="0"/>
      </w:pPr>
      <w:r>
        <w:rPr>
          <w:rFonts w:ascii="Arial" w:cs="Arial" w:eastAsia="Arial" w:hAnsi="Arial"/>
          <w:b/>
          <w:color w:val="CC0000"/>
          <w:sz w:val="32"/>
          <w:szCs w:val="32"/>
        </w:rPr>
        <w:t>5.  Conclusions</w:t>
      </w:r>
    </w:p>
    <w:p>
      <w:pPr>
        <w:pBdr>
          <w:bottom w:val="single" w:color="CC0000" w:sz="12" w:space="1"/>
        </w:pBdr>
        <w:spacing w:before="0" w:after="120"/>
      </w:pPr>
    </w:p>
    <w:p>
      <w:pPr>
        <w:jc w:val="both"/>
        <w:spacing w:before="60" w:after="100"/>
      </w:pPr>
      <w:r>
        <w:rPr>
          <w:rFonts w:ascii="Arial" w:cs="Arial" w:eastAsia="Arial" w:hAnsi="Arial"/>
          <w:color w:val="444444"/>
          <w:sz w:val="20"/>
          <w:szCs w:val="20"/>
        </w:rPr>
        <w:t xml:space="preserve">The reconciliation work carried out during the Mortgage Hybrid Implementation Working Group (May 2026) identified two distinct issues in the Scala/Data Lake implementation. Both items followed very different paths: one was fully corrected and signed off; the other was analysed, quantified and ultimately left unimplemented due to its regulatory capital implications. The outcomes are summarised below.</w:t>
      </w:r>
    </w:p>
    <w:p>
      <w:pPr>
        <w:pStyle w:val="Heading2"/>
        <w:spacing w:before="280" w:after="100"/>
        <w:outlineLvl w:val="1"/>
      </w:pPr>
      <w:r>
        <w:rPr>
          <w:rFonts w:ascii="Arial" w:cs="Arial" w:eastAsia="Arial" w:hAnsi="Arial"/>
          <w:b/>
          <w:color w:val="CC0000"/>
          <w:sz w:val="26"/>
          <w:szCs w:val="26"/>
        </w:rPr>
        <w:t>5.1  CHG-001: AVM Factor Calculation – Implemented</w:t>
      </w:r>
    </w:p>
    <w:p>
      <w:pPr>
        <w:jc w:val="both"/>
        <w:spacing w:before="60" w:after="80"/>
      </w:pPr>
      <w:r>
        <w:rPr>
          <w:rFonts w:ascii="Arial" w:cs="Arial" w:eastAsia="Arial" w:hAnsi="Arial"/>
          <w:color w:val="444444"/>
          <w:sz w:val="20"/>
          <w:szCs w:val="20"/>
        </w:rPr>
        <w:t xml:space="preserve">The AVM factor discrepancy was identified, root-caused and fully corrected. The Scala implementation was updated to: (i) apply a value roll-over when no current-period AVM entry exists for an account, (ii) use a median rather than a mean aggregation per region, and (iii) source data from </w:t>
      </w:r>
      <w:r>
        <w:rPr>
          <w:rFonts w:ascii="Arial" w:cs="Arial" w:eastAsia="Arial" w:hAnsi="Arial"/>
          <w:b/>
          <w:color w:val="444444"/>
          <w:sz w:val="20"/>
          <w:szCs w:val="20"/>
        </w:rPr>
        <w:t>retail_capital_enriched.main_mortgage_driver_partitions</w:t>
      </w:r>
      <w:r>
        <w:rPr>
          <w:rFonts w:ascii="Arial" w:cs="Arial" w:eastAsia="Arial" w:hAnsi="Arial"/>
          <w:color w:val="444444"/>
          <w:sz w:val="20"/>
          <w:szCs w:val="20"/>
        </w:rPr>
        <w:t xml:space="preserve">, consistent with the SAS reference.</w:t>
      </w:r>
    </w:p>
    <w:p>
      <w:pPr>
        <w:jc w:val="both"/>
        <w:spacing w:before="60" w:after="80"/>
      </w:pPr>
      <w:r>
        <w:rPr>
          <w:rFonts w:ascii="Arial" w:cs="Arial" w:eastAsia="Arial" w:hAnsi="Arial"/>
          <w:color w:val="444444"/>
          <w:sz w:val="20"/>
          <w:szCs w:val="20"/>
        </w:rPr>
        <w:t xml:space="preserve">After applying these corrections, all 13 AVM factors reconciled to within ±0.04% of the Retail Methodology reference values for 2026 Q1. The residual differences were confirmed to be attributable solely to floating-point precision differences between SAS and the Scala BigDecimal(38,18) implementation, and were judged immaterial. </w:t>
      </w:r>
      <w:r>
        <w:rPr>
          <w:rFonts w:ascii="Arial" w:cs="Arial" w:eastAsia="Arial" w:hAnsi="Arial"/>
          <w:b/>
          <w:color w:val="444444"/>
          <w:sz w:val="20"/>
          <w:szCs w:val="20"/>
        </w:rPr>
        <w:t>Retail Methodology formally signed off the implemented values on 15 May 2026.</w:t>
      </w:r>
      <w:r>
        <w:rPr>
          <w:rFonts w:ascii="Arial" w:cs="Arial" w:eastAsia="Arial" w:hAnsi="Arial"/>
          <w:color w:val="444444"/>
          <w:sz w:val="20"/>
          <w:szCs w:val="20"/>
        </w:rPr>
        <w:t xml:space="preserve"> This item is closed with no outstanding actions.</w:t>
      </w:r>
    </w:p>
    <w:p>
      <w:pPr>
        <w:pStyle w:val="Heading2"/>
        <w:spacing w:before="280" w:after="100"/>
        <w:outlineLvl w:val="1"/>
      </w:pPr>
      <w:r>
        <w:rPr>
          <w:rFonts w:ascii="Arial" w:cs="Arial" w:eastAsia="Arial" w:hAnsi="Arial"/>
          <w:b/>
          <w:color w:val="CC0000"/>
          <w:sz w:val="26"/>
          <w:szCs w:val="26"/>
        </w:rPr>
        <w:t>5.2  CHG-002: sugg_sale_price Condition for PIP Contracts – Not Implemented</w:t>
      </w:r>
    </w:p>
    <w:p>
      <w:pPr>
        <w:jc w:val="both"/>
        <w:spacing w:before="60" w:after="80"/>
      </w:pPr>
      <w:r>
        <w:rPr>
          <w:rFonts w:ascii="Arial" w:cs="Arial" w:eastAsia="Arial" w:hAnsi="Arial"/>
          <w:color w:val="444444"/>
          <w:sz w:val="20"/>
          <w:szCs w:val="20"/>
        </w:rPr>
        <w:t xml:space="preserve">The LGD discrepancy on Properties in Possession was also fully understood and root-caused. The issue originates in a semantic difference between how the upstream data system (PIPPROD) represents a missing suggested sale price in the Data Lake (as </w:t>
      </w:r>
      <w:r>
        <w:rPr>
          <w:rFonts w:ascii="Courier New" w:cs="Courier New" w:eastAsia="Courier New" w:hAnsi="Courier New"/>
          <w:b/>
          <w:color w:val="222222"/>
          <w:sz w:val="20"/>
          <w:szCs w:val="20"/>
        </w:rPr>
        <w:t>0</w:t>
      </w:r>
      <w:r>
        <w:rPr>
          <w:rFonts w:ascii="Arial" w:cs="Arial" w:eastAsia="Arial" w:hAnsi="Arial"/>
          <w:color w:val="444444"/>
          <w:sz w:val="20"/>
          <w:szCs w:val="20"/>
        </w:rPr>
        <w:t xml:space="preserve">) versus the SAS development environment (as </w:t>
      </w:r>
      <w:r>
        <w:rPr>
          <w:rFonts w:ascii="Courier New" w:cs="Courier New" w:eastAsia="Courier New" w:hAnsi="Courier New"/>
          <w:b/>
          <w:color w:val="222222"/>
          <w:sz w:val="20"/>
          <w:szCs w:val="20"/>
        </w:rPr>
        <w:t>.</w:t>
      </w:r>
      <w:r>
        <w:rPr>
          <w:rFonts w:ascii="Arial" w:cs="Arial" w:eastAsia="Arial" w:hAnsi="Arial"/>
          <w:color w:val="444444"/>
          <w:sz w:val="20"/>
          <w:szCs w:val="20"/>
        </w:rPr>
        <w:t xml:space="preserve">, i.e. missing). As a result, approximately </w:t>
      </w:r>
      <w:r>
        <w:rPr>
          <w:rFonts w:ascii="Arial" w:cs="Arial" w:eastAsia="Arial" w:hAnsi="Arial"/>
          <w:b/>
          <w:color w:val="444444"/>
          <w:sz w:val="20"/>
          <w:szCs w:val="20"/>
        </w:rPr>
        <w:t>131 PIP contracts</w:t>
      </w:r>
      <w:r>
        <w:rPr>
          <w:rFonts w:ascii="Arial" w:cs="Arial" w:eastAsia="Arial" w:hAnsi="Arial"/>
          <w:color w:val="444444"/>
          <w:sz w:val="20"/>
          <w:szCs w:val="20"/>
        </w:rPr>
        <w:t xml:space="preserve"> (EAD ~£15.6m) had their recovery valuation set to £0, driving their LGD to 100% instead of the ~7% expected by the DDP.</w:t>
      </w:r>
    </w:p>
    <w:p>
      <w:pPr>
        <w:jc w:val="both"/>
        <w:spacing w:before="60" w:after="80"/>
      </w:pPr>
      <w:r>
        <w:rPr>
          <w:rFonts w:ascii="Arial" w:cs="Arial" w:eastAsia="Arial" w:hAnsi="Arial"/>
          <w:color w:val="444444"/>
          <w:sz w:val="20"/>
          <w:szCs w:val="20"/>
        </w:rPr>
        <w:t xml:space="preserve">The technical fix is straightforward — changing the Scala condition from </w:t>
      </w:r>
      <w:r>
        <w:rPr>
          <w:rFonts w:ascii="Courier New" w:cs="Courier New" w:eastAsia="Courier New" w:hAnsi="Courier New"/>
          <w:color w:val="222222"/>
          <w:sz w:val="18"/>
          <w:szCs w:val="18"/>
        </w:rPr>
        <w:t>Some(salePrice)</w:t>
      </w:r>
      <w:r>
        <w:rPr>
          <w:rFonts w:ascii="Arial" w:cs="Arial" w:eastAsia="Arial" w:hAnsi="Arial"/>
          <w:color w:val="444444"/>
          <w:sz w:val="20"/>
          <w:szCs w:val="20"/>
        </w:rPr>
        <w:t xml:space="preserve"> to </w:t>
      </w:r>
      <w:r>
        <w:rPr>
          <w:rFonts w:ascii="Courier New" w:cs="Courier New" w:eastAsia="Courier New" w:hAnsi="Courier New"/>
          <w:color w:val="222222"/>
          <w:sz w:val="18"/>
          <w:szCs w:val="18"/>
        </w:rPr>
        <w:t>Some(salePrice) if salePrice &gt; 0</w:t>
      </w:r>
      <w:r>
        <w:rPr>
          <w:rFonts w:ascii="Arial" w:cs="Arial" w:eastAsia="Arial" w:hAnsi="Arial"/>
          <w:color w:val="444444"/>
          <w:sz w:val="20"/>
          <w:szCs w:val="20"/>
        </w:rPr>
        <w:t xml:space="preserve"> — however, its capital impact makes it a material change that cannot be deployed without a full governance process. Correcting this behaviour would raise the overall default LGD from </w:t>
      </w:r>
      <w:r>
        <w:rPr>
          <w:rFonts w:ascii="Arial" w:cs="Arial" w:eastAsia="Arial" w:hAnsi="Arial"/>
          <w:b/>
          <w:color w:val="444444"/>
          <w:sz w:val="20"/>
          <w:szCs w:val="20"/>
        </w:rPr>
        <w:t>12.76% to 13.84%</w:t>
      </w:r>
      <w:r>
        <w:rPr>
          <w:rFonts w:ascii="Arial" w:cs="Arial" w:eastAsia="Arial" w:hAnsi="Arial"/>
          <w:color w:val="444444"/>
          <w:sz w:val="20"/>
          <w:szCs w:val="20"/>
        </w:rPr>
        <w:t xml:space="preserve">, increasing Risk-Weighted Assets by </w:t>
      </w:r>
      <w:r>
        <w:rPr>
          <w:rFonts w:ascii="Arial" w:cs="Arial" w:eastAsia="Arial" w:hAnsi="Arial"/>
          <w:b/>
          <w:color w:val="444444"/>
          <w:sz w:val="20"/>
          <w:szCs w:val="20"/>
        </w:rPr>
        <w:t>£18.66m</w:t>
      </w:r>
      <w:r>
        <w:rPr>
          <w:rFonts w:ascii="Arial" w:cs="Arial" w:eastAsia="Arial" w:hAnsi="Arial"/>
          <w:color w:val="444444"/>
          <w:sz w:val="20"/>
          <w:szCs w:val="20"/>
        </w:rPr>
        <w:t xml:space="preserve"> and Regulatory Capital by approximately </w:t>
      </w:r>
      <w:r>
        <w:rPr>
          <w:rFonts w:ascii="Arial" w:cs="Arial" w:eastAsia="Arial" w:hAnsi="Arial"/>
          <w:b/>
          <w:color w:val="CC0000"/>
          <w:sz w:val="20"/>
          <w:szCs w:val="20"/>
        </w:rPr>
        <w:t>£1.5m</w:t>
      </w:r>
      <w:r>
        <w:rPr>
          <w:rFonts w:ascii="Arial" w:cs="Arial" w:eastAsia="Arial" w:hAnsi="Arial"/>
          <w:color w:val="444444"/>
          <w:sz w:val="20"/>
          <w:szCs w:val="20"/>
        </w:rPr>
        <w:t xml:space="preserve">. Implementing a change of this magnitude mid-cycle requires a new UAT, formal sign-off from Retail Methodology and an Independent Validation Test (IVT). Given the governance overhead and the operational risk of deploying a capital-impacting change outside a planned release window, </w:t>
      </w:r>
      <w:r>
        <w:rPr>
          <w:rFonts w:ascii="Arial" w:cs="Arial" w:eastAsia="Arial" w:hAnsi="Arial"/>
          <w:b/>
          <w:color w:val="444444"/>
          <w:sz w:val="20"/>
          <w:szCs w:val="20"/>
        </w:rPr>
        <w:t>the decision was taken not to implement the change at this time.</w:t>
      </w:r>
    </w:p>
    <w:p>
      <w:pPr>
        <w:jc w:val="both"/>
        <w:spacing w:before="60" w:after="80"/>
      </w:pPr>
      <w:r>
        <w:rPr>
          <w:rFonts w:ascii="Arial" w:cs="Arial" w:eastAsia="Arial" w:hAnsi="Arial"/>
          <w:color w:val="444444"/>
          <w:sz w:val="20"/>
          <w:szCs w:val="20"/>
        </w:rPr>
        <w:t xml:space="preserve">This document formally records that decision. The discrepancy is known, understood and quantified. It must be addressed in a future planned model change request, following the full governance process: scoping agreement, UAT execution, Retail Methodology sign-off, IVT and capital impact assessment prior to any regulatory submission.</w:t>
      </w:r>
    </w:p>
    <w:p>
      <w:pPr>
        <w:pBdr>
          <w:bottom w:val="single" w:color="CCCCCC" w:sz="4" w:space="1"/>
        </w:pBdr>
        <w:spacing w:before="200" w:after="80"/>
      </w:pPr>
    </w:p>
    <w:p>
      <w:pPr>
        <w:spacing w:before="80" w:after="0"/>
      </w:pPr>
      <w:r>
        <w:rPr>
          <w:rFonts w:ascii="Arial" w:cs="Arial" w:eastAsia="Arial" w:hAnsi="Arial"/>
          <w:i/>
          <w:iCs/>
          <w:color w:val="999999"/>
          <w:sz w:val="16"/>
          <w:szCs w:val="16"/>
        </w:rPr>
        <w:t>End of document — Mortgage Hybrid IRB Models Change Log v1.0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8500"/>
      </w:tabs>
      <w:spacing w:after="0" w:before="80"/>
    </w:pPr>
    <w:r>
      <w:rPr>
        <w:rFonts w:ascii="Arial" w:cs="Arial" w:eastAsia="Arial" w:hAnsi="Arial"/>
        <w:color w:val="999999"/>
        <w:sz w:val="16"/>
        <w:szCs w:val="16"/>
      </w:rPr>
      <w:t xml:space="preserve">Santander Technology</w:t>
    </w:r>
    <w:r>
      <w:rPr>
        <w:rFonts w:ascii="Arial" w:cs="Arial" w:eastAsia="Arial" w:hAnsi="Arial"/>
        <w:color w:val="999999"/>
        <w:sz w:val="16"/>
        <w:szCs w:val="16"/>
      </w:rPr>
      <w:t xml:space="preserve">	Page </w:t>
    </w:r>
    <w:r>
      <w:rPr>
        <w:rFonts w:ascii="Arial" w:cs="Arial" w:eastAsia="Arial" w:hAnsi="Arial"/>
        <w:color w:val="99999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6" w:space="1"/>
      </w:pBdr>
      <w:spacing w:after="120" w:before="0"/>
    </w:pPr>
    <w:r>
      <w:rPr>
        <w:rFonts w:ascii="Arial" w:cs="Arial" w:eastAsia="Arial" w:hAnsi="Arial"/>
        <w:color w:val="999999"/>
        <w:sz w:val="16"/>
        <w:szCs w:val="16"/>
      </w:rPr>
      <w:t xml:space="preserve">Confidential</w:t>
    </w:r>
    <w:r>
      <w:rPr>
        <w:rFonts w:ascii="Arial" w:cs="Arial" w:eastAsia="Arial" w:hAnsi="Arial"/>
        <w:color w:val="444444"/>
        <w:sz w:val="16"/>
        <w:szCs w:val="16"/>
      </w:rPr>
      <w:t xml:space="preserve">     Mortgage Hybrid IRB Models –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CC000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CC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2026-05-18T14:16:09.542Z</dcterms:created>
  <dcterms:modified xsi:type="dcterms:W3CDTF">2026-05-18T14:16:09.556Z</dcterms:modified>
</cp:coreProperties>
</file>

<file path=docProps/custom.xml><?xml version="1.0" encoding="utf-8"?>
<Properties xmlns="http://schemas.openxmlformats.org/officeDocument/2006/custom-properties" xmlns:vt="http://schemas.openxmlformats.org/officeDocument/2006/docPropsVTypes"/>
</file>