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CE18" w14:textId="77777777" w:rsidR="009D24A8" w:rsidRPr="009D24A8" w:rsidRDefault="009D24A8" w:rsidP="009D24A8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D24A8">
        <w:rPr>
          <w:rFonts w:ascii="宋体" w:eastAsia="宋体" w:hAnsi="宋体" w:cs="宋体"/>
          <w:color w:val="000000"/>
          <w:kern w:val="0"/>
          <w:sz w:val="20"/>
          <w:szCs w:val="20"/>
        </w:rPr>
        <w:t>本专利的实现背景为xxx，主要实现方案为XXX，备注说明为：XXX</w:t>
      </w:r>
    </w:p>
    <w:p w14:paraId="39D4865C" w14:textId="77777777" w:rsidR="00B435F1" w:rsidRPr="009D24A8" w:rsidRDefault="00B435F1"/>
    <w:sectPr w:rsidR="00B435F1" w:rsidRPr="009D2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F5"/>
    <w:rsid w:val="00322DF5"/>
    <w:rsid w:val="009D24A8"/>
    <w:rsid w:val="00B4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EB1D-CA1F-4578-9AE7-654A39FD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2023-11-01T07:29:00Z</dcterms:created>
  <dcterms:modified xsi:type="dcterms:W3CDTF">2023-11-01T07:30:00Z</dcterms:modified>
</cp:coreProperties>
</file>