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Georgia" w:cs="Georgia" w:eastAsia="Georgia" w:hAnsi="Georgia"/>
          <w:b/>
          <w:bCs/>
          <w:color w:val="1A1A2E"/>
          <w:sz w:val="38"/>
          <w:szCs w:val="38"/>
        </w:rPr>
        <w:t xml:space="preserve">How the Model Works</w:t>
      </w:r>
    </w:p>
    <w:p>
      <w:pPr>
        <w:spacing w:after="10"/>
      </w:pPr>
      <w:r>
        <w:rPr>
          <w:rFonts w:ascii="Georgia" w:cs="Georgia" w:eastAsia="Georgia" w:hAnsi="Georgia"/>
          <w:color w:val="0D7377"/>
          <w:sz w:val="24"/>
          <w:szCs w:val="24"/>
        </w:rPr>
        <w:t xml:space="preserve">A Plain-English Walkthrough of the Systemic Risk Projection Model</w:t>
      </w:r>
    </w:p>
    <w:p>
      <w:pPr>
        <w:spacing w:after="300"/>
      </w:pPr>
      <w:r>
        <w:rPr>
          <w:rFonts w:ascii="Georgia" w:cs="Georgia" w:eastAsia="Georgia" w:hAnsi="Georgia"/>
          <w:color w:val="999999"/>
          <w:sz w:val="19"/>
          <w:szCs w:val="19"/>
        </w:rPr>
        <w:t xml:space="preserve">February 2026  |  v4.0</w:t>
      </w:r>
    </w:p>
    <w:p>
      <w:pPr>
        <w:pStyle w:val="Heading1"/>
      </w:pPr>
      <w:r>
        <w:t xml:space="preserve">The Basic Premise</w:t>
      </w:r>
    </w:p>
    <w:p>
      <w:pPr>
        <w:spacing w:after="180" w:before="0"/>
      </w:pPr>
      <w:r>
        <w:rPr>
          <w:rFonts w:ascii="Georgia" w:cs="Georgia" w:eastAsia="Georgia" w:hAnsi="Georgia"/>
          <w:color w:val="333333"/>
          <w:sz w:val="22"/>
          <w:szCs w:val="22"/>
        </w:rPr>
        <w:t xml:space="preserve">Every investment portfolio is a bet on the future. Not just on which stocks will go up or which bonds will pay, but on something deeper: that the world will remain roughly functional. That courts will enforce contracts. That currencies will hold value. That insurance markets will exist. That supply chains will deliver goods. That governments will maintain order.</w:t>
      </w:r>
    </w:p>
    <w:p>
      <w:pPr>
        <w:spacing w:after="180" w:before="0"/>
      </w:pPr>
      <w:r>
        <w:rPr>
          <w:rFonts w:ascii="Georgia" w:cs="Georgia" w:eastAsia="Georgia" w:hAnsi="Georgia"/>
          <w:color w:val="333333"/>
          <w:sz w:val="22"/>
          <w:szCs w:val="22"/>
        </w:rPr>
        <w:t xml:space="preserve">We call this the substrate. It is the institutional, ecological, and governance infrastructure beneath the financial system. Most portfolio models treat it as a constant. This model asks: what if it isn't?</w:t>
      </w:r>
    </w:p>
    <w:p>
      <w:pPr>
        <w:spacing w:after="180" w:before="0"/>
      </w:pPr>
      <w:r>
        <w:rPr>
          <w:rFonts w:ascii="Georgia" w:cs="Georgia" w:eastAsia="Georgia" w:hAnsi="Georgia"/>
          <w:color w:val="333333"/>
          <w:sz w:val="22"/>
          <w:szCs w:val="22"/>
        </w:rPr>
        <w:t xml:space="preserve">The model does not predict the future. It does something more useful. It takes your beliefs about how likely various disruptions are, and shows you the consequences of those beliefs played out over ten years across 5,000 simulated futures. It makes the implicit explicit.</w:t>
      </w:r>
    </w:p>
    <w:p>
      <w:pPr>
        <w:pStyle w:val="Heading1"/>
      </w:pPr>
      <w:r>
        <w:t xml:space="preserve">What We Actually Know</w:t>
      </w:r>
    </w:p>
    <w:p>
      <w:pPr>
        <w:spacing w:after="180" w:before="0"/>
      </w:pPr>
      <w:r>
        <w:rPr>
          <w:rFonts w:ascii="Georgia" w:cs="Georgia" w:eastAsia="Georgia" w:hAnsi="Georgia"/>
          <w:color w:val="333333"/>
          <w:sz w:val="22"/>
          <w:szCs w:val="22"/>
        </w:rPr>
        <w:t xml:space="preserve">The model starts with twelve things that could go wrong (or right) over the next decade. Each one is grounded in observable data, not speculation. Here is what the data says as of early 2026:</w:t>
      </w:r>
    </w:p>
    <w:p>
      <w:pPr>
        <w:pStyle w:val="Heading2"/>
      </w:pPr>
      <w:r>
        <w:t xml:space="preserve">The hard data</w:t>
      </w:r>
    </w:p>
    <w:p>
      <w:pPr>
        <w:spacing w:after="180" w:before="0"/>
      </w:pPr>
      <w:r>
        <w:rPr>
          <w:rFonts w:ascii="Georgia" w:cs="Georgia" w:eastAsia="Georgia" w:hAnsi="Georgia"/>
          <w:b/>
          <w:bCs/>
          <w:color w:val="333333"/>
          <w:sz w:val="22"/>
          <w:szCs w:val="22"/>
        </w:rPr>
        <w:t xml:space="preserve">Insurance markets are already retreating. </w:t>
      </w:r>
      <w:r>
        <w:rPr>
          <w:rFonts w:ascii="Georgia" w:cs="Georgia" w:eastAsia="Georgia" w:hAnsi="Georgia"/>
          <w:color w:val="333333"/>
          <w:sz w:val="22"/>
          <w:szCs w:val="22"/>
        </w:rPr>
        <w:t xml:space="preserve">California's FAIR Plan (the insurer of last resort) grew from 272,000 policies in September 2022 to 668,609 by December 2025. That is a 146% increase in three years. Eighteen or more U.S. states now face similar dynamics. No major insurer that has withdrawn from a geographic market has ever returned. This is not a forecast. It is a trend with no observable reversal mechanism.</w:t>
      </w:r>
    </w:p>
    <w:p>
      <w:pPr>
        <w:spacing w:after="180" w:before="0"/>
      </w:pPr>
      <w:r>
        <w:rPr>
          <w:rFonts w:ascii="Georgia" w:cs="Georgia" w:eastAsia="Georgia" w:hAnsi="Georgia"/>
          <w:b/>
          <w:bCs/>
          <w:color w:val="333333"/>
          <w:sz w:val="22"/>
          <w:szCs w:val="22"/>
        </w:rPr>
        <w:t xml:space="preserve">Democracy has declined for 18 consecutive years. </w:t>
      </w:r>
      <w:r>
        <w:rPr>
          <w:rFonts w:ascii="Georgia" w:cs="Georgia" w:eastAsia="Georgia" w:hAnsi="Georgia"/>
          <w:color w:val="333333"/>
          <w:sz w:val="22"/>
          <w:szCs w:val="22"/>
        </w:rPr>
        <w:t xml:space="preserve">Freedom House and the V-Dem Institute independently track democratic health globally. Both show sustained, uninterrupted decline since 2006. That is not a cycle. It is a structural shift.</w:t>
      </w:r>
    </w:p>
    <w:p>
      <w:pPr>
        <w:spacing w:after="180" w:before="0"/>
      </w:pPr>
      <w:r>
        <w:rPr>
          <w:rFonts w:ascii="Georgia" w:cs="Georgia" w:eastAsia="Georgia" w:hAnsi="Georgia"/>
          <w:b/>
          <w:bCs/>
          <w:color w:val="333333"/>
          <w:sz w:val="22"/>
          <w:szCs w:val="22"/>
        </w:rPr>
        <w:t xml:space="preserve">Sovereign debt is at historical highs. </w:t>
      </w:r>
      <w:r>
        <w:rPr>
          <w:rFonts w:ascii="Georgia" w:cs="Georgia" w:eastAsia="Georgia" w:hAnsi="Georgia"/>
          <w:color w:val="333333"/>
          <w:sz w:val="22"/>
          <w:szCs w:val="22"/>
        </w:rPr>
        <w:t xml:space="preserve">The IMF and the Bank for International Settlements report that G7 debt-to-GDP ratios are at levels previously seen only during major wars. This compresses the fiscal space available for crisis response.</w:t>
      </w:r>
    </w:p>
    <w:p>
      <w:pPr>
        <w:spacing w:after="180" w:before="0"/>
      </w:pPr>
      <w:r>
        <w:rPr>
          <w:rFonts w:ascii="Georgia" w:cs="Georgia" w:eastAsia="Georgia" w:hAnsi="Georgia"/>
          <w:b/>
          <w:bCs/>
          <w:color w:val="333333"/>
          <w:sz w:val="22"/>
          <w:szCs w:val="22"/>
        </w:rPr>
        <w:t xml:space="preserve">AI is displacing cognitive labor. </w:t>
      </w:r>
      <w:r>
        <w:rPr>
          <w:rFonts w:ascii="Georgia" w:cs="Georgia" w:eastAsia="Georgia" w:hAnsi="Georgia"/>
          <w:color w:val="333333"/>
          <w:sz w:val="22"/>
          <w:szCs w:val="22"/>
        </w:rPr>
        <w:t xml:space="preserve">The MIT Work of the Future Lab and Bureau of Labor Statistics data show college graduate unemployment reaching 5.8% in late 2025. Unlike previous automation waves, this one affects knowledge work directly.</w:t>
      </w:r>
    </w:p>
    <w:p>
      <w:pPr>
        <w:spacing w:after="180" w:before="0"/>
      </w:pPr>
      <w:r>
        <w:rPr>
          <w:rFonts w:ascii="Georgia" w:cs="Georgia" w:eastAsia="Georgia" w:hAnsi="Georgia"/>
          <w:b/>
          <w:bCs/>
          <w:color w:val="333333"/>
          <w:sz w:val="22"/>
          <w:szCs w:val="22"/>
        </w:rPr>
        <w:t xml:space="preserve">Climate tipping points are closer than expected. </w:t>
      </w:r>
      <w:r>
        <w:rPr>
          <w:rFonts w:ascii="Georgia" w:cs="Georgia" w:eastAsia="Georgia" w:hAnsi="Georgia"/>
          <w:color w:val="333333"/>
          <w:sz w:val="22"/>
          <w:szCs w:val="22"/>
        </w:rPr>
        <w:t xml:space="preserve">Armstrong McKay et al. (2022), published in Science, identified five tipping elements that could be triggered below 1.5°C of warming. We are currently at approximately 1.3°C.</w:t>
      </w:r>
    </w:p>
    <w:p>
      <w:pPr>
        <w:spacing w:after="180" w:before="0"/>
      </w:pPr>
      <w:r>
        <w:rPr>
          <w:rFonts w:ascii="Georgia" w:cs="Georgia" w:eastAsia="Georgia" w:hAnsi="Georgia"/>
          <w:b/>
          <w:bCs/>
          <w:color w:val="333333"/>
          <w:sz w:val="22"/>
          <w:szCs w:val="22"/>
        </w:rPr>
        <w:t xml:space="preserve">The nuclear risk is the highest in 77 years. </w:t>
      </w:r>
      <w:r>
        <w:rPr>
          <w:rFonts w:ascii="Georgia" w:cs="Georgia" w:eastAsia="Georgia" w:hAnsi="Georgia"/>
          <w:color w:val="333333"/>
          <w:sz w:val="22"/>
          <w:szCs w:val="22"/>
        </w:rPr>
        <w:t xml:space="preserve">The Bulletin of Atomic Scientists' Doomsday Clock stands at 90 seconds to midnight, the closest it has ever been.</w:t>
      </w:r>
    </w:p>
    <w:p>
      <w:pPr>
        <w:spacing w:after="180" w:before="0"/>
      </w:pPr>
      <w:r>
        <w:rPr>
          <w:rFonts w:ascii="Georgia" w:cs="Georgia" w:eastAsia="Georgia" w:hAnsi="Georgia"/>
          <w:b/>
          <w:bCs/>
          <w:color w:val="333333"/>
          <w:sz w:val="22"/>
          <w:szCs w:val="22"/>
        </w:rPr>
        <w:t xml:space="preserve">Cyber risk is a top-five global threat. </w:t>
      </w:r>
      <w:r>
        <w:rPr>
          <w:rFonts w:ascii="Georgia" w:cs="Georgia" w:eastAsia="Georgia" w:hAnsi="Georgia"/>
          <w:color w:val="333333"/>
          <w:sz w:val="22"/>
          <w:szCs w:val="22"/>
        </w:rPr>
        <w:t xml:space="preserve">The World Economic Forum's Global Risk Report has ranked it in the top five for three consecutive years. CISA's 2024 threat assessment confirms increasing frequency and sophistication.</w:t>
      </w:r>
    </w:p>
    <w:p>
      <w:pPr>
        <w:spacing w:after="180" w:before="0"/>
      </w:pPr>
      <w:r>
        <w:rPr>
          <w:rFonts w:ascii="Georgia" w:cs="Georgia" w:eastAsia="Georgia" w:hAnsi="Georgia"/>
          <w:b/>
          <w:bCs/>
          <w:color w:val="333333"/>
          <w:sz w:val="22"/>
          <w:szCs w:val="22"/>
        </w:rPr>
        <w:t xml:space="preserve">Food systems are structurally fragile. </w:t>
      </w:r>
      <w:r>
        <w:rPr>
          <w:rFonts w:ascii="Georgia" w:cs="Georgia" w:eastAsia="Georgia" w:hAnsi="Georgia"/>
          <w:color w:val="333333"/>
          <w:sz w:val="22"/>
          <w:szCs w:val="22"/>
        </w:rPr>
        <w:t xml:space="preserve">The FAO's State of Food Security report shows a third consecutive year of elevated price volatility. The underlying drivers are structural: pollinator loss, soil degradation, supply chain concentration.</w:t>
      </w:r>
    </w:p>
    <w:p>
      <w:pPr>
        <w:pBdr>
          <w:left w:val="single" w:color="0D7377" w:sz="4" w:space="8"/>
        </w:pBdr>
        <w:spacing w:after="160" w:before="80"/>
        <w:ind w:left="480" w:right="480"/>
      </w:pPr>
      <w:r>
        <w:rPr>
          <w:rFonts w:ascii="Georgia" w:cs="Georgia" w:eastAsia="Georgia" w:hAnsi="Georgia"/>
          <w:i/>
          <w:iCs/>
          <w:color w:val="555555"/>
          <w:sz w:val="20"/>
          <w:szCs w:val="20"/>
        </w:rPr>
        <w:t xml:space="preserve">Every one of these data points comes from mainstream institutional sources: the IMF, the UN, major reinsurers, government agencies, peer-reviewed journals. There is nothing speculative in the inputs. The question the model asks is what happens when you put them together.</w:t>
      </w:r>
    </w:p>
    <w:p>
      <w:r>
        <w:br w:type="page"/>
      </w:r>
    </w:p>
    <w:p>
      <w:pPr>
        <w:pStyle w:val="Heading1"/>
      </w:pPr>
      <w:r>
        <w:t xml:space="preserve">The Five Worlds</w:t>
      </w:r>
    </w:p>
    <w:p>
      <w:pPr>
        <w:spacing w:after="180" w:before="0"/>
      </w:pPr>
      <w:r>
        <w:rPr>
          <w:rFonts w:ascii="Georgia" w:cs="Georgia" w:eastAsia="Georgia" w:hAnsi="Georgia"/>
          <w:color w:val="333333"/>
          <w:sz w:val="22"/>
          <w:szCs w:val="22"/>
        </w:rPr>
        <w:t xml:space="preserve">The model imagines five possible states the world could be in at any point over the next decade. Think of them as five rooms the world can occupy, and each year it moves between them:</w:t>
      </w:r>
    </w:p>
    <w:p>
      <w:pPr>
        <w:spacing w:after="180" w:before="0"/>
      </w:pPr>
      <w:r>
        <w:rPr>
          <w:rFonts w:ascii="Georgia" w:cs="Georgia" w:eastAsia="Georgia" w:hAnsi="Georgia"/>
          <w:b/>
          <w:bCs/>
          <w:color w:val="333333"/>
          <w:sz w:val="22"/>
          <w:szCs w:val="22"/>
        </w:rPr>
        <w:t xml:space="preserve">Stable Adaptation. </w:t>
      </w:r>
      <w:r>
        <w:rPr>
          <w:rFonts w:ascii="Georgia" w:cs="Georgia" w:eastAsia="Georgia" w:hAnsi="Georgia"/>
          <w:color w:val="333333"/>
          <w:sz w:val="22"/>
          <w:szCs w:val="22"/>
        </w:rPr>
        <w:t xml:space="preserve">Things are working. Institutions absorb shocks. Growth continues. Conventional investing makes sense. This is the world most portfolios are built for.</w:t>
      </w:r>
    </w:p>
    <w:p>
      <w:pPr>
        <w:spacing w:after="180" w:before="0"/>
      </w:pPr>
      <w:r>
        <w:rPr>
          <w:rFonts w:ascii="Georgia" w:cs="Georgia" w:eastAsia="Georgia" w:hAnsi="Georgia"/>
          <w:b/>
          <w:bCs/>
          <w:color w:val="333333"/>
          <w:sz w:val="22"/>
          <w:szCs w:val="22"/>
        </w:rPr>
        <w:t xml:space="preserve">Managed Disruption. </w:t>
      </w:r>
      <w:r>
        <w:rPr>
          <w:rFonts w:ascii="Georgia" w:cs="Georgia" w:eastAsia="Georgia" w:hAnsi="Georgia"/>
          <w:color w:val="333333"/>
          <w:sz w:val="22"/>
          <w:szCs w:val="22"/>
        </w:rPr>
        <w:t xml:space="preserve">Measurable stress in multiple areas, but institutions are holding. This is roughly where we are now in early 2026. Insurance is retreating, AI is displacing workers, democracy is under pressure, but the system is still functioning.</w:t>
      </w:r>
    </w:p>
    <w:p>
      <w:pPr>
        <w:spacing w:after="180" w:before="0"/>
      </w:pPr>
      <w:r>
        <w:rPr>
          <w:rFonts w:ascii="Georgia" w:cs="Georgia" w:eastAsia="Georgia" w:hAnsi="Georgia"/>
          <w:b/>
          <w:bCs/>
          <w:color w:val="333333"/>
          <w:sz w:val="22"/>
          <w:szCs w:val="22"/>
        </w:rPr>
        <w:t xml:space="preserve">Severe Disruption. </w:t>
      </w:r>
      <w:r>
        <w:rPr>
          <w:rFonts w:ascii="Georgia" w:cs="Georgia" w:eastAsia="Georgia" w:hAnsi="Georgia"/>
          <w:color w:val="333333"/>
          <w:sz w:val="22"/>
          <w:szCs w:val="22"/>
        </w:rPr>
        <w:t xml:space="preserve">Multiple crises happening simultaneously and exceeding institutional capacity. Recovery is possible but not guaranteed. This is the zone where conventional portfolio assumptions start to break.</w:t>
      </w:r>
    </w:p>
    <w:p>
      <w:pPr>
        <w:spacing w:after="180" w:before="0"/>
      </w:pPr>
      <w:r>
        <w:rPr>
          <w:rFonts w:ascii="Georgia" w:cs="Georgia" w:eastAsia="Georgia" w:hAnsi="Georgia"/>
          <w:b/>
          <w:bCs/>
          <w:color w:val="333333"/>
          <w:sz w:val="22"/>
          <w:szCs w:val="22"/>
        </w:rPr>
        <w:t xml:space="preserve">Systemic Crisis. </w:t>
      </w:r>
      <w:r>
        <w:rPr>
          <w:rFonts w:ascii="Georgia" w:cs="Georgia" w:eastAsia="Georgia" w:hAnsi="Georgia"/>
          <w:color w:val="333333"/>
          <w:sz w:val="22"/>
          <w:szCs w:val="22"/>
        </w:rPr>
        <w:t xml:space="preserve">Institutional failure is underway. Correlated asset repricing across classes. The diversification you thought you had reveals itself as concentrated exposure to a single condition: institutional continuity.</w:t>
      </w:r>
    </w:p>
    <w:p>
      <w:pPr>
        <w:spacing w:after="180" w:before="0"/>
      </w:pPr>
      <w:r>
        <w:rPr>
          <w:rFonts w:ascii="Georgia" w:cs="Georgia" w:eastAsia="Georgia" w:hAnsi="Georgia"/>
          <w:b/>
          <w:bCs/>
          <w:color w:val="333333"/>
          <w:sz w:val="22"/>
          <w:szCs w:val="22"/>
        </w:rPr>
        <w:t xml:space="preserve">Civilizational Stress. </w:t>
      </w:r>
      <w:r>
        <w:rPr>
          <w:rFonts w:ascii="Georgia" w:cs="Georgia" w:eastAsia="Georgia" w:hAnsi="Georgia"/>
          <w:color w:val="333333"/>
          <w:sz w:val="22"/>
          <w:szCs w:val="22"/>
        </w:rPr>
        <w:t xml:space="preserve">Near-complete institutional breakdown. Contract enforcement, liquidity, and governance are severely impaired. This is the tail risk that most models assign a probability near zero and then ignore.</w:t>
      </w:r>
    </w:p>
    <w:p>
      <w:pPr>
        <w:spacing w:after="180" w:before="0"/>
      </w:pPr>
      <w:r>
        <w:rPr>
          <w:rFonts w:ascii="Georgia" w:cs="Georgia" w:eastAsia="Georgia" w:hAnsi="Georgia"/>
          <w:color w:val="333333"/>
          <w:sz w:val="22"/>
          <w:szCs w:val="22"/>
        </w:rPr>
        <w:t xml:space="preserve">The model starts the world in Managed Disruption (the second room), because that is where the observable data places us. If you disagree, you can change the starting point.</w:t>
      </w:r>
    </w:p>
    <w:p>
      <w:pPr>
        <w:pStyle w:val="Heading1"/>
      </w:pPr>
      <w:r>
        <w:t xml:space="preserve">How the World Moves Between States</w:t>
      </w:r>
    </w:p>
    <w:p>
      <w:pPr>
        <w:spacing w:after="180" w:before="0"/>
      </w:pPr>
      <w:r>
        <w:rPr>
          <w:rFonts w:ascii="Georgia" w:cs="Georgia" w:eastAsia="Georgia" w:hAnsi="Georgia"/>
          <w:color w:val="333333"/>
          <w:sz w:val="22"/>
          <w:szCs w:val="22"/>
        </w:rPr>
        <w:t xml:space="preserve">Each year, the model calculates the probability of moving from the current state to any other state. This is done through a transition matrix: a table of probabilities that says, given where you are now, how likely is it that you move to each of the five states next year?</w:t>
      </w:r>
    </w:p>
    <w:p>
      <w:pPr>
        <w:spacing w:after="180" w:before="0"/>
      </w:pPr>
      <w:r>
        <w:rPr>
          <w:rFonts w:ascii="Georgia" w:cs="Georgia" w:eastAsia="Georgia" w:hAnsi="Georgia"/>
          <w:color w:val="333333"/>
          <w:sz w:val="22"/>
          <w:szCs w:val="22"/>
        </w:rPr>
        <w:t xml:space="preserve">The base transition matrix represents a calm world with no active disruptions. In that world, if you are in Managed Disruption, there is a 35% chance you improve to Stable Adaptation next year, a 52% chance you stay where you are, a 10% chance you get worse, and small probabilities for the extremes. The matrix is designed with two key properties:</w:t>
      </w:r>
    </w:p>
    <w:p>
      <w:pPr>
        <w:spacing w:after="180" w:before="0"/>
      </w:pPr>
      <w:r>
        <w:rPr>
          <w:rFonts w:ascii="Georgia" w:cs="Georgia" w:eastAsia="Georgia" w:hAnsi="Georgia"/>
          <w:b/>
          <w:bCs/>
          <w:color w:val="333333"/>
          <w:sz w:val="22"/>
          <w:szCs w:val="22"/>
        </w:rPr>
        <w:t xml:space="preserve">States tend to persist. </w:t>
      </w:r>
      <w:r>
        <w:rPr>
          <w:rFonts w:ascii="Georgia" w:cs="Georgia" w:eastAsia="Georgia" w:hAnsi="Georgia"/>
          <w:color w:val="333333"/>
          <w:sz w:val="22"/>
          <w:szCs w:val="22"/>
        </w:rPr>
        <w:t xml:space="preserve">The world does not randomly jump between states year to year. If you are in crisis, you are more likely to still be in crisis next year than to suddenly recover. This matches how the real world works.</w:t>
      </w:r>
    </w:p>
    <w:p>
      <w:pPr>
        <w:spacing w:after="180" w:before="0"/>
      </w:pPr>
      <w:r>
        <w:rPr>
          <w:rFonts w:ascii="Georgia" w:cs="Georgia" w:eastAsia="Georgia" w:hAnsi="Georgia"/>
          <w:b/>
          <w:bCs/>
          <w:color w:val="333333"/>
          <w:sz w:val="22"/>
          <w:szCs w:val="22"/>
        </w:rPr>
        <w:t xml:space="preserve">It is easier to break things than to fix them. </w:t>
      </w:r>
      <w:r>
        <w:rPr>
          <w:rFonts w:ascii="Georgia" w:cs="Georgia" w:eastAsia="Georgia" w:hAnsi="Georgia"/>
          <w:color w:val="333333"/>
          <w:sz w:val="22"/>
          <w:szCs w:val="22"/>
        </w:rPr>
        <w:t xml:space="preserve">The probability of degrading is higher than the probability of recovering, at any given level of stress. This is a fundamental property of complex systems.</w:t>
      </w:r>
    </w:p>
    <w:p>
      <w:pPr>
        <w:spacing w:after="180" w:before="0"/>
      </w:pPr>
      <w:r>
        <w:rPr>
          <w:rFonts w:ascii="Georgia" w:cs="Georgia" w:eastAsia="Georgia" w:hAnsi="Georgia"/>
          <w:color w:val="333333"/>
          <w:sz w:val="22"/>
          <w:szCs w:val="22"/>
        </w:rPr>
        <w:t xml:space="preserve">The base matrix is just the starting point. Each year, the model modifies it based on what is actually happening.</w:t>
      </w:r>
    </w:p>
    <w:p>
      <w:pPr>
        <w:pStyle w:val="Heading1"/>
      </w:pPr>
      <w:r>
        <w:t xml:space="preserve">How Events Change the Probabilities</w:t>
      </w:r>
    </w:p>
    <w:p>
      <w:pPr>
        <w:spacing w:after="180" w:before="0"/>
      </w:pPr>
      <w:r>
        <w:rPr>
          <w:rFonts w:ascii="Georgia" w:cs="Georgia" w:eastAsia="Georgia" w:hAnsi="Georgia"/>
          <w:color w:val="333333"/>
          <w:sz w:val="22"/>
          <w:szCs w:val="22"/>
        </w:rPr>
        <w:t xml:space="preserve">This is where the twelve disruption vectors enter the simulation. Each one has four properties:</w:t>
      </w:r>
    </w:p>
    <w:p>
      <w:pPr>
        <w:spacing w:after="180" w:before="0"/>
      </w:pPr>
      <w:r>
        <w:rPr>
          <w:rFonts w:ascii="Georgia" w:cs="Georgia" w:eastAsia="Georgia" w:hAnsi="Georgia"/>
          <w:b/>
          <w:bCs/>
          <w:color w:val="333333"/>
          <w:sz w:val="22"/>
          <w:szCs w:val="22"/>
        </w:rPr>
        <w:t xml:space="preserve">A probability: </w:t>
      </w:r>
      <w:r>
        <w:rPr>
          <w:rFonts w:ascii="Georgia" w:cs="Georgia" w:eastAsia="Georgia" w:hAnsi="Georgia"/>
          <w:color w:val="333333"/>
          <w:sz w:val="22"/>
          <w:szCs w:val="22"/>
        </w:rPr>
        <w:t xml:space="preserve">How likely is it to happen? This is the slider you move in the interface. The defaults reflect observable 2026 trends. The percentage represents the cumulative probability that the event fires at some point during its peak window, not the annual probability. So "Insurance Market Failure: 70%" means a 70% chance that significant insurance market failure occurs at some point during 2027-2031. The model distributes that 70% across those years, testing each year independently.</w:t>
      </w:r>
    </w:p>
    <w:p>
      <w:pPr>
        <w:spacing w:after="180" w:before="0"/>
      </w:pPr>
      <w:r>
        <w:rPr>
          <w:rFonts w:ascii="Georgia" w:cs="Georgia" w:eastAsia="Georgia" w:hAnsi="Georgia"/>
          <w:b/>
          <w:bCs/>
          <w:color w:val="333333"/>
          <w:sz w:val="22"/>
          <w:szCs w:val="22"/>
        </w:rPr>
        <w:t xml:space="preserve">A peak window: </w:t>
      </w:r>
      <w:r>
        <w:rPr>
          <w:rFonts w:ascii="Georgia" w:cs="Georgia" w:eastAsia="Georgia" w:hAnsi="Georgia"/>
          <w:color w:val="333333"/>
          <w:sz w:val="22"/>
          <w:szCs w:val="22"/>
        </w:rPr>
        <w:t xml:space="preserve">When is it most likely to fire? Insurance failure peaks in years 1-5. Climate tipping peaks in years 5-9. This reflects the underlying dynamics.</w:t>
      </w:r>
    </w:p>
    <w:p>
      <w:pPr>
        <w:spacing w:after="180" w:before="0"/>
      </w:pPr>
      <w:r>
        <w:rPr>
          <w:rFonts w:ascii="Georgia" w:cs="Georgia" w:eastAsia="Georgia" w:hAnsi="Georgia"/>
          <w:b/>
          <w:bCs/>
          <w:color w:val="333333"/>
          <w:sz w:val="22"/>
          <w:szCs w:val="22"/>
        </w:rPr>
        <w:t xml:space="preserve">A magnitude: </w:t>
      </w:r>
      <w:r>
        <w:rPr>
          <w:rFonts w:ascii="Georgia" w:cs="Georgia" w:eastAsia="Georgia" w:hAnsi="Georgia"/>
          <w:color w:val="333333"/>
          <w:sz w:val="22"/>
          <w:szCs w:val="22"/>
        </w:rPr>
        <w:t xml:space="preserve">How much pressure does it create when active? Nuclear exchange (0.55) is the highest. Pandemic (0.20) is lower because systems demonstrated adaptation capacity in 2020.</w:t>
      </w:r>
    </w:p>
    <w:p>
      <w:pPr>
        <w:spacing w:after="180" w:before="0"/>
      </w:pPr>
      <w:r>
        <w:rPr>
          <w:rFonts w:ascii="Georgia" w:cs="Georgia" w:eastAsia="Georgia" w:hAnsi="Georgia"/>
          <w:b/>
          <w:bCs/>
          <w:color w:val="333333"/>
          <w:sz w:val="22"/>
          <w:szCs w:val="22"/>
        </w:rPr>
        <w:t xml:space="preserve">A duration: </w:t>
      </w:r>
      <w:r>
        <w:rPr>
          <w:rFonts w:ascii="Georgia" w:cs="Georgia" w:eastAsia="Georgia" w:hAnsi="Georgia"/>
          <w:color w:val="333333"/>
          <w:sz w:val="22"/>
          <w:szCs w:val="22"/>
        </w:rPr>
        <w:t xml:space="preserve">How long does it stay active once it fires? This is the most consequential distinction in the model.</w:t>
      </w:r>
    </w:p>
    <w:p>
      <w:pPr>
        <w:spacing w:after="180" w:before="0"/>
      </w:pPr>
      <w:r>
        <w:rPr>
          <w:rFonts w:ascii="Georgia" w:cs="Georgia" w:eastAsia="Georgia" w:hAnsi="Georgia"/>
          <w:color w:val="333333"/>
          <w:sz w:val="22"/>
          <w:szCs w:val="22"/>
        </w:rPr>
        <w:t xml:space="preserve">Duration matters more than most people expect. A pandemic lasts two years because societies adapt. A cyber attack lasts two years because systems rebuild. But insurance market failure lasts ten years because no insurer has ever returned to a market it abandoned. Democratic collapse lasts ten years because no country has reversed 18 years of democratic decline in a single decade. AI displacement lasts eight years because once a job is automated, it does not come back.</w:t>
      </w:r>
    </w:p>
    <w:p>
      <w:pPr>
        <w:pBdr>
          <w:left w:val="single" w:color="0D7377" w:sz="4" w:space="8"/>
        </w:pBdr>
        <w:spacing w:after="160" w:before="80"/>
        <w:ind w:left="480" w:right="480"/>
      </w:pPr>
      <w:r>
        <w:rPr>
          <w:rFonts w:ascii="Georgia" w:cs="Georgia" w:eastAsia="Georgia" w:hAnsi="Georgia"/>
          <w:i/>
          <w:iCs/>
          <w:color w:val="555555"/>
          <w:sz w:val="20"/>
          <w:szCs w:val="20"/>
        </w:rPr>
        <w:t xml:space="preserve">The model distinguishes between acute shocks and structural shifts. Acute shocks (pandemic, cyber, conflict) hit hard but resolve. Structural shifts (insurance, democracy, AI, climate) persist for most or all of the decade. A model that treats them as equivalent will systematically underestimate long-run risk.</w:t>
      </w:r>
    </w:p>
    <w:p>
      <w:r>
        <w:br w:type="page"/>
      </w:r>
    </w:p>
    <w:p>
      <w:pPr>
        <w:pStyle w:val="Heading1"/>
      </w:pPr>
      <w:r>
        <w:t xml:space="preserve">Events Are Not Independent</w:t>
      </w:r>
    </w:p>
    <w:p>
      <w:pPr>
        <w:spacing w:after="180" w:before="0"/>
      </w:pPr>
      <w:r>
        <w:rPr>
          <w:rFonts w:ascii="Georgia" w:cs="Georgia" w:eastAsia="Georgia" w:hAnsi="Georgia"/>
          <w:color w:val="333333"/>
          <w:sz w:val="22"/>
          <w:szCs w:val="22"/>
        </w:rPr>
        <w:t xml:space="preserve">This is the piece most risk models get wrong. They treat each risk as if it exists in isolation. Insurance failure over here. Sovereign debt over there. Climate change in a separate box.</w:t>
      </w:r>
    </w:p>
    <w:p>
      <w:pPr>
        <w:spacing w:after="180" w:before="0"/>
      </w:pPr>
      <w:r>
        <w:rPr>
          <w:rFonts w:ascii="Georgia" w:cs="Georgia" w:eastAsia="Georgia" w:hAnsi="Georgia"/>
          <w:color w:val="333333"/>
          <w:sz w:val="22"/>
          <w:szCs w:val="22"/>
        </w:rPr>
        <w:t xml:space="preserve">In reality, these things are connected. When insurers withdraw from a region, the cost of uninsured losses falls on local governments. When local government finances deteriorate, the stress aggregates to sovereign balance sheets. When sovereign debt rises, the fiscal space available to respond to the next crisis shrinks. Each failure makes the next one more likely and more severe.</w:t>
      </w:r>
    </w:p>
    <w:p>
      <w:pPr>
        <w:spacing w:after="180" w:before="0"/>
      </w:pPr>
      <w:r>
        <w:rPr>
          <w:rFonts w:ascii="Georgia" w:cs="Georgia" w:eastAsia="Georgia" w:hAnsi="Georgia"/>
          <w:color w:val="333333"/>
          <w:sz w:val="22"/>
          <w:szCs w:val="22"/>
        </w:rPr>
        <w:t xml:space="preserve">The model captures this through a correlation matrix. When two connected events are both active at the same time, their combined pressure is amplified. For example:</w:t>
      </w:r>
    </w:p>
    <w:p>
      <w:pPr>
        <w:spacing w:after="180" w:before="0"/>
      </w:pPr>
      <w:r>
        <w:rPr>
          <w:rFonts w:ascii="Georgia" w:cs="Georgia" w:eastAsia="Georgia" w:hAnsi="Georgia"/>
          <w:b/>
          <w:bCs/>
          <w:color w:val="333333"/>
          <w:sz w:val="22"/>
          <w:szCs w:val="22"/>
        </w:rPr>
        <w:t xml:space="preserve">Climate + Food Systems (1.5x): </w:t>
      </w:r>
      <w:r>
        <w:rPr>
          <w:rFonts w:ascii="Georgia" w:cs="Georgia" w:eastAsia="Georgia" w:hAnsi="Georgia"/>
          <w:color w:val="333333"/>
          <w:sz w:val="22"/>
          <w:szCs w:val="22"/>
        </w:rPr>
        <w:t xml:space="preserve">Climate shocks propagate directly through agricultural supply chains. Drought destroys crops. Heat stress kills pollinators. This is the strongest linkage in the model because the causal mechanism is direct and well-documented.</w:t>
      </w:r>
    </w:p>
    <w:p>
      <w:pPr>
        <w:spacing w:after="180" w:before="0"/>
      </w:pPr>
      <w:r>
        <w:rPr>
          <w:rFonts w:ascii="Georgia" w:cs="Georgia" w:eastAsia="Georgia" w:hAnsi="Georgia"/>
          <w:b/>
          <w:bCs/>
          <w:color w:val="333333"/>
          <w:sz w:val="22"/>
          <w:szCs w:val="22"/>
        </w:rPr>
        <w:t xml:space="preserve">Insurance + Sovereign Debt (1.4x): </w:t>
      </w:r>
      <w:r>
        <w:rPr>
          <w:rFonts w:ascii="Georgia" w:cs="Georgia" w:eastAsia="Georgia" w:hAnsi="Georgia"/>
          <w:color w:val="333333"/>
          <w:sz w:val="22"/>
          <w:szCs w:val="22"/>
        </w:rPr>
        <w:t xml:space="preserve">When insurers withdraw, uninsured losses become government liabilities. The mechanism is straightforward: someone has to pay, and when the private sector won't, the public sector must.</w:t>
      </w:r>
    </w:p>
    <w:p>
      <w:pPr>
        <w:spacing w:after="180" w:before="0"/>
      </w:pPr>
      <w:r>
        <w:rPr>
          <w:rFonts w:ascii="Georgia" w:cs="Georgia" w:eastAsia="Georgia" w:hAnsi="Georgia"/>
          <w:b/>
          <w:bCs/>
          <w:color w:val="333333"/>
          <w:sz w:val="22"/>
          <w:szCs w:val="22"/>
        </w:rPr>
        <w:t xml:space="preserve">Democracy + Conflict (1.3x): </w:t>
      </w:r>
      <w:r>
        <w:rPr>
          <w:rFonts w:ascii="Georgia" w:cs="Georgia" w:eastAsia="Georgia" w:hAnsi="Georgia"/>
          <w:color w:val="333333"/>
          <w:sz w:val="22"/>
          <w:szCs w:val="22"/>
        </w:rPr>
        <w:t xml:space="preserve">Democratic erosion reduces conflict-resolution capacity and invites external pressure. Countries with weakened institutions are more vulnerable to both internal and external conflict.</w:t>
      </w:r>
    </w:p>
    <w:p>
      <w:pPr>
        <w:pBdr>
          <w:left w:val="single" w:color="0D7377" w:sz="4" w:space="8"/>
        </w:pBdr>
        <w:spacing w:after="160" w:before="80"/>
        <w:ind w:left="480" w:right="480"/>
      </w:pPr>
      <w:r>
        <w:rPr>
          <w:rFonts w:ascii="Georgia" w:cs="Georgia" w:eastAsia="Georgia" w:hAnsi="Georgia"/>
          <w:i/>
          <w:iCs/>
          <w:color w:val="555555"/>
          <w:sz w:val="20"/>
          <w:szCs w:val="20"/>
        </w:rPr>
        <w:t xml:space="preserve">These multipliers are not derived from a physics equation. They are structured judgments about transmission mechanisms. The relative ordering matters more than the absolute numbers. Climate-food is the strongest because the causal chain is shortest and best documented. If you think the ordering is wrong, that is exactly the kind of challenge this model invites.</w:t>
      </w:r>
    </w:p>
    <w:p>
      <w:pPr>
        <w:pStyle w:val="Heading1"/>
      </w:pPr>
      <w:r>
        <w:t xml:space="preserve">The Compounding Effect</w:t>
      </w:r>
    </w:p>
    <w:p>
      <w:pPr>
        <w:spacing w:after="180" w:before="0"/>
      </w:pPr>
      <w:r>
        <w:rPr>
          <w:rFonts w:ascii="Georgia" w:cs="Georgia" w:eastAsia="Georgia" w:hAnsi="Georgia"/>
          <w:color w:val="333333"/>
          <w:sz w:val="22"/>
          <w:szCs w:val="22"/>
        </w:rPr>
        <w:t xml:space="preserve">Here is the most important insight in the model: three simultaneous crises are not three times as bad as one. They are much worse.</w:t>
      </w:r>
    </w:p>
    <w:p>
      <w:pPr>
        <w:spacing w:after="180" w:before="0"/>
      </w:pPr>
      <w:r>
        <w:rPr>
          <w:rFonts w:ascii="Georgia" w:cs="Georgia" w:eastAsia="Georgia" w:hAnsi="Georgia"/>
          <w:color w:val="333333"/>
          <w:sz w:val="22"/>
          <w:szCs w:val="22"/>
        </w:rPr>
        <w:t xml:space="preserve">Think about it this way. If your house floods and your car breaks down on the same day, the total disruption to your life is not the flood disruption plus the car disruption. It is worse, because you cannot use the car to deal with the flood. Your coping capacity is divided. Each problem makes the other harder to manage.</w:t>
      </w:r>
    </w:p>
    <w:p>
      <w:pPr>
        <w:spacing w:after="180" w:before="0"/>
      </w:pPr>
      <w:r>
        <w:rPr>
          <w:rFonts w:ascii="Georgia" w:cs="Georgia" w:eastAsia="Georgia" w:hAnsi="Georgia"/>
          <w:color w:val="333333"/>
          <w:sz w:val="22"/>
          <w:szCs w:val="22"/>
        </w:rPr>
        <w:t xml:space="preserve">The model captures this with a nonlinear compounding function. The math is:</w:t>
      </w:r>
    </w:p>
    <w:p>
      <w:pPr>
        <w:shd w:fill="F5F5F0" w:val="clear"/>
        <w:spacing w:after="100" w:before="100"/>
        <w:jc w:val="center"/>
      </w:pPr>
      <w:r>
        <w:rPr>
          <w:rFonts w:ascii="Consolas" w:cs="Consolas" w:eastAsia="Consolas" w:hAnsi="Consolas"/>
          <w:color w:val="1A1A2E"/>
          <w:sz w:val="20"/>
          <w:szCs w:val="20"/>
        </w:rPr>
        <w:t xml:space="preserve">Compounded Pressure = 1 - (1 - raw pressure) ^ (1 + number of events x compounding scale)</w:t>
      </w:r>
    </w:p>
    <w:p>
      <w:pPr>
        <w:spacing w:after="180" w:before="0"/>
      </w:pPr>
      <w:r>
        <w:rPr>
          <w:rFonts w:ascii="Georgia" w:cs="Georgia" w:eastAsia="Georgia" w:hAnsi="Georgia"/>
          <w:color w:val="333333"/>
          <w:sz w:val="22"/>
          <w:szCs w:val="22"/>
        </w:rPr>
        <w:t xml:space="preserve">The compounding scale is adjustable. The default is 0.30, which means: with one event, the exponent is 1.3, a mild amplification. With three events, the exponent is 1.9, producing significant extra pressure. With five simultaneous events, the exponent is 2.5, which pushes the system hard toward worse states.</w:t>
      </w:r>
    </w:p>
    <w:p>
      <w:pPr>
        <w:spacing w:after="180" w:before="0"/>
      </w:pPr>
      <w:r>
        <w:rPr>
          <w:rFonts w:ascii="Georgia" w:cs="Georgia" w:eastAsia="Georgia" w:hAnsi="Georgia"/>
          <w:color w:val="333333"/>
          <w:sz w:val="22"/>
          <w:szCs w:val="22"/>
        </w:rPr>
        <w:t xml:space="preserve">You can test this yourself. The Compounding Intensity slider in the interface lets you move between conservative (0.15) and aggressive (0.50). At the conservative setting, three simultaneous events produce about 22% more pressure than their simple sum. At the default, about 47%. At aggressive, about 75%. Watch how the terminal distributions shift as you move the slider. If the results still concern you at conservative compounding, the argument does not depend on this assumption.</w:t>
      </w:r>
    </w:p>
    <w:p>
      <w:pPr>
        <w:spacing w:after="180" w:before="0"/>
      </w:pPr>
      <w:r>
        <w:rPr>
          <w:rFonts w:ascii="Georgia" w:cs="Georgia" w:eastAsia="Georgia" w:hAnsi="Georgia"/>
          <w:color w:val="333333"/>
          <w:sz w:val="22"/>
          <w:szCs w:val="22"/>
        </w:rPr>
        <w:t xml:space="preserve">This is not arbitrary. It reflects a well-documented property of complex systems: cascading failures produce emergent damage beyond what any individual failure would suggest. The 2008 financial crisis was not just a housing problem plus a banking problem plus a credit rating problem. It was the interaction between all three that produced the severity.</w:t>
      </w:r>
    </w:p>
    <w:p>
      <w:pPr>
        <w:pBdr>
          <w:left w:val="single" w:color="0D7377" w:sz="4" w:space="8"/>
        </w:pBdr>
        <w:spacing w:after="160" w:before="80"/>
        <w:ind w:left="480" w:right="480"/>
      </w:pPr>
      <w:r>
        <w:rPr>
          <w:rFonts w:ascii="Georgia" w:cs="Georgia" w:eastAsia="Georgia" w:hAnsi="Georgia"/>
          <w:i/>
          <w:iCs/>
          <w:color w:val="555555"/>
          <w:sz w:val="20"/>
          <w:szCs w:val="20"/>
        </w:rPr>
        <w:t xml:space="preserve">For the technically minded: the default 0.30 scaling factor was calibrated against historical multi-crisis periods (2008-2009, 2020). It is now exposed as a user-adjustable parameter precisely because it was the least empirically grounded choice in the model. Making it adjustable converts an assumption into a testable sensitivity. Better functional forms may exist from percolation theory or critical phenomena in physics. The current form has desirable mathematical properties: it is bounded between 0 and 1, monotonically increasing, and produces intuitive behavior at both extremes.</w:t>
      </w:r>
    </w:p>
    <w:p>
      <w:pPr>
        <w:pStyle w:val="Heading1"/>
      </w:pPr>
      <w:r>
        <w:t xml:space="preserve">The Persistence Trap</w:t>
      </w:r>
    </w:p>
    <w:p>
      <w:pPr>
        <w:spacing w:after="180" w:before="0"/>
      </w:pPr>
      <w:r>
        <w:rPr>
          <w:rFonts w:ascii="Georgia" w:cs="Georgia" w:eastAsia="Georgia" w:hAnsi="Georgia"/>
          <w:color w:val="333333"/>
          <w:sz w:val="22"/>
          <w:szCs w:val="22"/>
        </w:rPr>
        <w:t xml:space="preserve">There is one more mechanism that matters, and it is perhaps the most sobering.</w:t>
      </w:r>
    </w:p>
    <w:p>
      <w:pPr>
        <w:spacing w:after="180" w:before="0"/>
      </w:pPr>
      <w:r>
        <w:rPr>
          <w:rFonts w:ascii="Georgia" w:cs="Georgia" w:eastAsia="Georgia" w:hAnsi="Georgia"/>
          <w:color w:val="333333"/>
          <w:sz w:val="22"/>
          <w:szCs w:val="22"/>
        </w:rPr>
        <w:t xml:space="preserve">When the world spends time in stressed states (Severe Disruption or worse), its ability to recover degrades. This is not a modeling assumption. It is an observation about how institutions work. A government that has been running crisis budgets for five years has less fiscal capacity to respond to the next crisis. A society that has been under sustained stress has less social cohesion to draw on. An ecosystem that has been degraded for a decade has less resilience remaining.</w:t>
      </w:r>
    </w:p>
    <w:p>
      <w:pPr>
        <w:spacing w:after="180" w:before="0"/>
      </w:pPr>
      <w:r>
        <w:rPr>
          <w:rFonts w:ascii="Georgia" w:cs="Georgia" w:eastAsia="Georgia" w:hAnsi="Georgia"/>
          <w:color w:val="333333"/>
          <w:sz w:val="22"/>
          <w:szCs w:val="22"/>
        </w:rPr>
        <w:t xml:space="preserve">The model tracks this with a simple accumulator. Each year spent in a stressed state adds 0.08 to a recovery degradation score, which caps at 0.60. This score directly reduces the probability of recovering to a better state.</w:t>
      </w:r>
    </w:p>
    <w:p>
      <w:pPr>
        <w:spacing w:after="180" w:before="0"/>
      </w:pPr>
      <w:r>
        <w:rPr>
          <w:rFonts w:ascii="Georgia" w:cs="Georgia" w:eastAsia="Georgia" w:hAnsi="Georgia"/>
          <w:color w:val="333333"/>
          <w:sz w:val="22"/>
          <w:szCs w:val="22"/>
        </w:rPr>
        <w:t xml:space="preserve">What does that mean in practice? After five years of continuous stress, recovery probability is suppressed by 40%. After seven and a half years, it is suppressed by 60%, the maximum. At that point, the system is in what the model calls a persistence trap: even if the original disruption events resolve, the accumulated damage to recovery capacity keeps the system in a stressed state.</w:t>
      </w:r>
    </w:p>
    <w:p>
      <w:pPr>
        <w:spacing w:after="180" w:before="0"/>
      </w:pPr>
      <w:r>
        <w:rPr>
          <w:rFonts w:ascii="Georgia" w:cs="Georgia" w:eastAsia="Georgia" w:hAnsi="Georgia"/>
          <w:color w:val="333333"/>
          <w:sz w:val="22"/>
          <w:szCs w:val="22"/>
        </w:rPr>
        <w:t xml:space="preserve">This is why the model's ten-year horizon matters. Over short periods, acute shocks dominate. Over a decade, the persistence trap becomes the central dynamic. A world that enters Severe Disruption in Year 3 and stays there through Year 7 has fundamentally different recovery prospects than a world that enters the same state in Year 9.</w:t>
      </w:r>
    </w:p>
    <w:p>
      <w:pPr>
        <w:pBdr>
          <w:left w:val="single" w:color="0D7377" w:sz="4" w:space="8"/>
        </w:pBdr>
        <w:spacing w:after="160" w:before="80"/>
        <w:ind w:left="480" w:right="480"/>
      </w:pPr>
      <w:r>
        <w:rPr>
          <w:rFonts w:ascii="Georgia" w:cs="Georgia" w:eastAsia="Georgia" w:hAnsi="Georgia"/>
          <w:i/>
          <w:iCs/>
          <w:color w:val="555555"/>
          <w:sz w:val="20"/>
          <w:szCs w:val="20"/>
        </w:rPr>
        <w:t xml:space="preserve">The recovery degradation function is linear with a cap. Some reviewers have suggested that complex systems may exhibit threshold behavior instead: recovery capacity holds until a critical point, then collapses. If this is correct, the model may actually underestimate the severity of the persistence trap.</w:t>
      </w:r>
    </w:p>
    <w:p>
      <w:r>
        <w:br w:type="page"/>
      </w:r>
    </w:p>
    <w:p>
      <w:pPr>
        <w:pStyle w:val="Heading1"/>
      </w:pPr>
      <w:r>
        <w:t xml:space="preserve">The Background Constraint: Energy</w:t>
      </w:r>
    </w:p>
    <w:p>
      <w:pPr>
        <w:spacing w:after="180" w:before="0"/>
      </w:pPr>
      <w:r>
        <w:rPr>
          <w:rFonts w:ascii="Georgia" w:cs="Georgia" w:eastAsia="Georgia" w:hAnsi="Georgia"/>
          <w:color w:val="333333"/>
          <w:sz w:val="22"/>
          <w:szCs w:val="22"/>
        </w:rPr>
        <w:t xml:space="preserve">There is one force in the model that operates differently from all the others. It is not an event that fires or doesn't. It is a background condition that slowly tightens everything.</w:t>
      </w:r>
    </w:p>
    <w:p>
      <w:pPr>
        <w:spacing w:after="180" w:before="0"/>
      </w:pPr>
      <w:r>
        <w:rPr>
          <w:rFonts w:ascii="Georgia" w:cs="Georgia" w:eastAsia="Georgia" w:hAnsi="Georgia"/>
          <w:color w:val="333333"/>
          <w:sz w:val="22"/>
          <w:szCs w:val="22"/>
        </w:rPr>
        <w:t xml:space="preserve">Energy Return on Investment (EROI) measures how much energy you get back for each unit of energy you invest in getting it. In the 1930s, you could invest one barrel of oil's worth of energy and get back 100 barrels. Today, that ratio is closer to 15:1 for conventional oil and much lower for many alternative sources. The ratio is declining.</w:t>
      </w:r>
    </w:p>
    <w:p>
      <w:pPr>
        <w:spacing w:after="180" w:before="0"/>
      </w:pPr>
      <w:r>
        <w:rPr>
          <w:rFonts w:ascii="Georgia" w:cs="Georgia" w:eastAsia="Georgia" w:hAnsi="Georgia"/>
          <w:color w:val="333333"/>
          <w:sz w:val="22"/>
          <w:szCs w:val="22"/>
        </w:rPr>
        <w:t xml:space="preserve">This matters because surplus energy is what powers everything else. It powers the factories that build infrastructure. It powers the logistics networks that deliver goods. It powers the institutions that maintain order. When surplus energy declines, everything gets a little harder, every year.</w:t>
      </w:r>
    </w:p>
    <w:p>
      <w:pPr>
        <w:spacing w:after="180" w:before="0"/>
      </w:pPr>
      <w:r>
        <w:rPr>
          <w:rFonts w:ascii="Georgia" w:cs="Georgia" w:eastAsia="Georgia" w:hAnsi="Georgia"/>
          <w:color w:val="333333"/>
          <w:sz w:val="22"/>
          <w:szCs w:val="22"/>
        </w:rPr>
        <w:t xml:space="preserve">The model implements this as a background constraint that increases linearly over the decade. It does not cause sudden collapse. It applies gentle downward pressure on all transitions, making recovery slightly less likely and degradation slightly more likely with each passing year. The effect compounds over time.</w:t>
      </w:r>
    </w:p>
    <w:p>
      <w:pPr>
        <w:spacing w:after="180" w:before="0"/>
      </w:pPr>
      <w:r>
        <w:rPr>
          <w:rFonts w:ascii="Georgia" w:cs="Georgia" w:eastAsia="Georgia" w:hAnsi="Georgia"/>
          <w:color w:val="333333"/>
          <w:sz w:val="22"/>
          <w:szCs w:val="22"/>
        </w:rPr>
        <w:t xml:space="preserve">At the maximum EROI setting, by Year 10 the constraint is adding roughly 2% additional downward pressure on each transition probability per year. That sounds small. But compounded over a decade, across thousands of simulations, it meaningfully shifts the terminal distribution toward worse states.</w:t>
      </w:r>
    </w:p>
    <w:p>
      <w:pPr>
        <w:pBdr>
          <w:left w:val="single" w:color="0D7377" w:sz="4" w:space="8"/>
        </w:pBdr>
        <w:spacing w:after="160" w:before="80"/>
        <w:ind w:left="480" w:right="480"/>
      </w:pPr>
      <w:r>
        <w:rPr>
          <w:rFonts w:ascii="Georgia" w:cs="Georgia" w:eastAsia="Georgia" w:hAnsi="Georgia"/>
          <w:i/>
          <w:iCs/>
          <w:color w:val="555555"/>
          <w:sz w:val="20"/>
          <w:szCs w:val="20"/>
        </w:rPr>
        <w:t xml:space="preserve">This represents the thesis of energy researchers like Nate Hagens: that declining net energy is the master variable, constraining everything else from beneath. You can set this to zero if you disagree. The model will still produce concerning results from the other vectors alone, but the distributions will be less severe.</w:t>
      </w:r>
    </w:p>
    <w:p>
      <w:pPr>
        <w:pStyle w:val="Heading1"/>
      </w:pPr>
      <w:r>
        <w:t xml:space="preserve">The Substrate Health Index</w:t>
      </w:r>
    </w:p>
    <w:p>
      <w:pPr>
        <w:spacing w:after="180" w:before="0"/>
      </w:pPr>
      <w:r>
        <w:rPr>
          <w:rFonts w:ascii="Georgia" w:cs="Georgia" w:eastAsia="Georgia" w:hAnsi="Georgia"/>
          <w:color w:val="333333"/>
          <w:sz w:val="22"/>
          <w:szCs w:val="22"/>
        </w:rPr>
        <w:t xml:space="preserve">The model tracks something most financial models ignore entirely: the health of the institutional, ecological, and governance infrastructure that all financial claims depend on.</w:t>
      </w:r>
    </w:p>
    <w:p>
      <w:pPr>
        <w:spacing w:after="180" w:before="0"/>
      </w:pPr>
      <w:r>
        <w:rPr>
          <w:rFonts w:ascii="Georgia" w:cs="Georgia" w:eastAsia="Georgia" w:hAnsi="Georgia"/>
          <w:color w:val="333333"/>
          <w:sz w:val="22"/>
          <w:szCs w:val="22"/>
        </w:rPr>
        <w:t xml:space="preserve">Think of it this way. A bond is a promise. A stock is a claim on future earnings. A property deed is a legal right. Every one of these depends on something outside the financial system: courts that enforce contracts, governments that maintain order, ecosystems that provide resources, energy systems that power logistics. That infrastructure is the substrate.</w:t>
      </w:r>
    </w:p>
    <w:p>
      <w:pPr>
        <w:spacing w:after="180" w:before="0"/>
      </w:pPr>
      <w:r>
        <w:rPr>
          <w:rFonts w:ascii="Georgia" w:cs="Georgia" w:eastAsia="Georgia" w:hAnsi="Georgia"/>
          <w:color w:val="333333"/>
          <w:sz w:val="22"/>
          <w:szCs w:val="22"/>
        </w:rPr>
        <w:t xml:space="preserve">The Substrate Health Index starts at 100 and accumulates damage from active disruption events and EROI decline. It is partially restored by stabilizing vectors (energy transition success, institutional formation). When it falls below 50, the model suggests that institutional cascade dynamics become the central risk rather than a tail risk.</w:t>
      </w:r>
    </w:p>
    <w:p>
      <w:pPr>
        <w:spacing w:after="180" w:before="0"/>
      </w:pPr>
      <w:r>
        <w:rPr>
          <w:rFonts w:ascii="Georgia" w:cs="Georgia" w:eastAsia="Georgia" w:hAnsi="Georgia"/>
          <w:color w:val="333333"/>
          <w:sz w:val="22"/>
          <w:szCs w:val="22"/>
        </w:rPr>
        <w:t xml:space="preserve">The index is a diagnostic tool. It makes visible the thing that is normally invisible: the slow degradation of the infrastructure beneath the financial system. A portfolio can look well-diversified while the substrate it depends on is eroding. The index shows when that is happening.</w:t>
      </w:r>
    </w:p>
    <w:p>
      <w:pPr>
        <w:pStyle w:val="Heading1"/>
      </w:pPr>
      <w:r>
        <w:t xml:space="preserve">What This Means for Money</w:t>
      </w:r>
    </w:p>
    <w:p>
      <w:pPr>
        <w:spacing w:after="180" w:before="0"/>
      </w:pPr>
      <w:r>
        <w:rPr>
          <w:rFonts w:ascii="Georgia" w:cs="Georgia" w:eastAsia="Georgia" w:hAnsi="Georgia"/>
          <w:color w:val="333333"/>
          <w:sz w:val="22"/>
          <w:szCs w:val="22"/>
        </w:rPr>
        <w:t xml:space="preserve">The model tracks three portfolio strategies across all 5,000 simulations, starting with $100 million:</w:t>
      </w:r>
    </w:p>
    <w:p>
      <w:pPr>
        <w:spacing w:after="180" w:before="0"/>
      </w:pPr>
      <w:r>
        <w:rPr>
          <w:rFonts w:ascii="Georgia" w:cs="Georgia" w:eastAsia="Georgia" w:hAnsi="Georgia"/>
          <w:b/>
          <w:bCs/>
          <w:color w:val="333333"/>
          <w:sz w:val="22"/>
          <w:szCs w:val="22"/>
        </w:rPr>
        <w:t xml:space="preserve">Conventional Portfolio </w:t>
      </w:r>
      <w:r>
        <w:rPr>
          <w:rFonts w:ascii="Georgia" w:cs="Georgia" w:eastAsia="Georgia" w:hAnsi="Georgia"/>
          <w:color w:val="333333"/>
          <w:sz w:val="22"/>
          <w:szCs w:val="22"/>
        </w:rPr>
        <w:t xml:space="preserve">performs well when the world is stable (+7% per year) but loses badly in crisis (-28%) and is devastated in civilizational stress (-50%). This is the standard diversified portfolio: global equities, investment-grade credit, commercial real estate, venture capital.</w:t>
      </w:r>
    </w:p>
    <w:p>
      <w:pPr>
        <w:spacing w:after="180" w:before="0"/>
      </w:pPr>
      <w:r>
        <w:rPr>
          <w:rFonts w:ascii="Georgia" w:cs="Georgia" w:eastAsia="Georgia" w:hAnsi="Georgia"/>
          <w:b/>
          <w:bCs/>
          <w:color w:val="333333"/>
          <w:sz w:val="22"/>
          <w:szCs w:val="22"/>
        </w:rPr>
        <w:t xml:space="preserve">Resilient Real Assets </w:t>
      </w:r>
      <w:r>
        <w:rPr>
          <w:rFonts w:ascii="Georgia" w:cs="Georgia" w:eastAsia="Georgia" w:hAnsi="Georgia"/>
          <w:color w:val="333333"/>
          <w:sz w:val="22"/>
          <w:szCs w:val="22"/>
        </w:rPr>
        <w:t xml:space="preserve">perform slightly worse in stable times (+5%) but hold up better in crisis (-8%) and suffer less in extreme stress (-20%). Think productive farmland, essential infrastructure, water rights.</w:t>
      </w:r>
    </w:p>
    <w:p>
      <w:pPr>
        <w:spacing w:after="180" w:before="0"/>
      </w:pPr>
      <w:r>
        <w:rPr>
          <w:rFonts w:ascii="Georgia" w:cs="Georgia" w:eastAsia="Georgia" w:hAnsi="Georgia"/>
          <w:b/>
          <w:bCs/>
          <w:color w:val="333333"/>
          <w:sz w:val="22"/>
          <w:szCs w:val="22"/>
        </w:rPr>
        <w:t xml:space="preserve">Formation Capital </w:t>
      </w:r>
      <w:r>
        <w:rPr>
          <w:rFonts w:ascii="Georgia" w:cs="Georgia" w:eastAsia="Georgia" w:hAnsi="Georgia"/>
          <w:color w:val="333333"/>
          <w:sz w:val="22"/>
          <w:szCs w:val="22"/>
        </w:rPr>
        <w:t xml:space="preserve">performs modestly in stable times (+4%) but actually improves in stressed conditions (+10% in Severe Disruption, +3% in Crisis). It only loses in the most extreme scenario (-8%). This is capital deployed toward building the institutional infrastructure the model shows is needed: community resilience, local food systems, regional energy, risk pooling.</w:t>
      </w:r>
    </w:p>
    <w:p>
      <w:pPr>
        <w:spacing w:after="180" w:before="0"/>
      </w:pPr>
      <w:r>
        <w:rPr>
          <w:rFonts w:ascii="Georgia" w:cs="Georgia" w:eastAsia="Georgia" w:hAnsi="Georgia"/>
          <w:color w:val="333333"/>
          <w:sz w:val="22"/>
          <w:szCs w:val="22"/>
        </w:rPr>
        <w:t xml:space="preserve">The key insight is not in the medians. It is in the worst outcomes. At the 10th percentile (the worst 10% of simulated futures), the conventional portfolio is nearly wiped out. Formation capital holds or grows. The worse things get, the more valuable resilient institutional infrastructure becomes.</w:t>
      </w:r>
    </w:p>
    <w:p>
      <w:pPr>
        <w:pBdr>
          <w:left w:val="single" w:color="0D7377" w:sz="4" w:space="8"/>
        </w:pBdr>
        <w:spacing w:after="160" w:before="80"/>
        <w:ind w:left="480" w:right="480"/>
      </w:pPr>
      <w:r>
        <w:rPr>
          <w:rFonts w:ascii="Georgia" w:cs="Georgia" w:eastAsia="Georgia" w:hAnsi="Georgia"/>
          <w:i/>
          <w:iCs/>
          <w:color w:val="555555"/>
          <w:sz w:val="20"/>
          <w:szCs w:val="20"/>
        </w:rPr>
        <w:t xml:space="preserve">These return assumptions are illustrative, not predictive. The structural insight is the correlation pattern: conventional portfolios are positively correlated with institutional stability. Formation capital is negatively correlated. In a world where institutional stability is the thing in question, this distinction determines everything.</w:t>
      </w:r>
    </w:p>
    <w:p>
      <w:r>
        <w:br w:type="page"/>
      </w:r>
    </w:p>
    <w:p>
      <w:pPr>
        <w:pStyle w:val="Heading1"/>
      </w:pPr>
      <w:r>
        <w:t xml:space="preserve">The Institutional Cascade</w:t>
      </w:r>
    </w:p>
    <w:p>
      <w:pPr>
        <w:spacing w:after="180" w:before="0"/>
      </w:pPr>
      <w:r>
        <w:rPr>
          <w:rFonts w:ascii="Georgia" w:cs="Georgia" w:eastAsia="Georgia" w:hAnsi="Georgia"/>
          <w:color w:val="333333"/>
          <w:sz w:val="22"/>
          <w:szCs w:val="22"/>
        </w:rPr>
        <w:t xml:space="preserve">There is one more piece of the model that deserves attention, because it explains why the numbers are so stark.</w:t>
      </w:r>
    </w:p>
    <w:p>
      <w:pPr>
        <w:spacing w:after="180" w:before="0"/>
      </w:pPr>
      <w:r>
        <w:rPr>
          <w:rFonts w:ascii="Georgia" w:cs="Georgia" w:eastAsia="Georgia" w:hAnsi="Georgia"/>
          <w:color w:val="333333"/>
          <w:sz w:val="22"/>
          <w:szCs w:val="22"/>
        </w:rPr>
        <w:t xml:space="preserve">Physical risk alone is survivable. If climate impacts damage your assets while institutions are functioning, a representative portfolio loses about 22% over 30 years. Painful, but manageable. You file insurance claims. Courts enforce contracts. Governments provide disaster relief. The system works.</w:t>
      </w:r>
    </w:p>
    <w:p>
      <w:pPr>
        <w:spacing w:after="180" w:before="0"/>
      </w:pPr>
      <w:r>
        <w:rPr>
          <w:rFonts w:ascii="Georgia" w:cs="Georgia" w:eastAsia="Georgia" w:hAnsi="Georgia"/>
          <w:color w:val="333333"/>
          <w:sz w:val="22"/>
          <w:szCs w:val="22"/>
        </w:rPr>
        <w:t xml:space="preserve">But physical risk does not stay physical. It cascades through institutions:</w:t>
      </w:r>
    </w:p>
    <w:p>
      <w:pPr>
        <w:spacing w:after="180" w:before="0"/>
      </w:pPr>
      <w:r>
        <w:rPr>
          <w:rFonts w:ascii="Georgia" w:cs="Georgia" w:eastAsia="Georgia" w:hAnsi="Georgia"/>
          <w:b/>
          <w:bCs/>
          <w:color w:val="333333"/>
          <w:sz w:val="22"/>
          <w:szCs w:val="22"/>
        </w:rPr>
        <w:t xml:space="preserve">Step 1: Insurance retreat. </w:t>
      </w:r>
      <w:r>
        <w:rPr>
          <w:rFonts w:ascii="Georgia" w:cs="Georgia" w:eastAsia="Georgia" w:hAnsi="Georgia"/>
          <w:color w:val="333333"/>
          <w:sz w:val="22"/>
          <w:szCs w:val="22"/>
        </w:rPr>
        <w:t xml:space="preserve">Insurers withdraw from high-risk geographies. Suddenly assets that were insured become uninsurable. Their value drops. Loss estimate: ~33%.</w:t>
      </w:r>
    </w:p>
    <w:p>
      <w:pPr>
        <w:spacing w:after="180" w:before="0"/>
      </w:pPr>
      <w:r>
        <w:rPr>
          <w:rFonts w:ascii="Georgia" w:cs="Georgia" w:eastAsia="Georgia" w:hAnsi="Georgia"/>
          <w:b/>
          <w:bCs/>
          <w:color w:val="333333"/>
          <w:sz w:val="22"/>
          <w:szCs w:val="22"/>
        </w:rPr>
        <w:t xml:space="preserve">Step 2: Municipal fiscal stress. </w:t>
      </w:r>
      <w:r>
        <w:rPr>
          <w:rFonts w:ascii="Georgia" w:cs="Georgia" w:eastAsia="Georgia" w:hAnsi="Georgia"/>
          <w:color w:val="333333"/>
          <w:sz w:val="22"/>
          <w:szCs w:val="22"/>
        </w:rPr>
        <w:t xml:space="preserve">Uninsured infrastructure degrades the tax base. Local governments lose revenue. Services contract. Credit ratings deteriorate. Loss estimate: ~52%.</w:t>
      </w:r>
    </w:p>
    <w:p>
      <w:pPr>
        <w:spacing w:after="180" w:before="0"/>
      </w:pPr>
      <w:r>
        <w:rPr>
          <w:rFonts w:ascii="Georgia" w:cs="Georgia" w:eastAsia="Georgia" w:hAnsi="Georgia"/>
          <w:b/>
          <w:bCs/>
          <w:color w:val="333333"/>
          <w:sz w:val="22"/>
          <w:szCs w:val="22"/>
        </w:rPr>
        <w:t xml:space="preserve">Step 3: Sovereign contagion. </w:t>
      </w:r>
      <w:r>
        <w:rPr>
          <w:rFonts w:ascii="Georgia" w:cs="Georgia" w:eastAsia="Georgia" w:hAnsi="Georgia"/>
          <w:color w:val="333333"/>
          <w:sz w:val="22"/>
          <w:szCs w:val="22"/>
        </w:rPr>
        <w:t xml:space="preserve">Municipal stress aggregates to sovereign balance sheets. Government borrowing costs rise across the economy. Credit reprices everywhere. Loss estimate: ~71%.</w:t>
      </w:r>
    </w:p>
    <w:p>
      <w:pPr>
        <w:spacing w:after="180" w:before="0"/>
      </w:pPr>
      <w:r>
        <w:rPr>
          <w:rFonts w:ascii="Georgia" w:cs="Georgia" w:eastAsia="Georgia" w:hAnsi="Georgia"/>
          <w:b/>
          <w:bCs/>
          <w:color w:val="333333"/>
          <w:sz w:val="22"/>
          <w:szCs w:val="22"/>
        </w:rPr>
        <w:t xml:space="preserve">Step 4: Full cascade. </w:t>
      </w:r>
      <w:r>
        <w:rPr>
          <w:rFonts w:ascii="Georgia" w:cs="Georgia" w:eastAsia="Georgia" w:hAnsi="Georgia"/>
          <w:color w:val="333333"/>
          <w:sz w:val="22"/>
          <w:szCs w:val="22"/>
        </w:rPr>
        <w:t xml:space="preserve">Correlated credit repricing across asset classes. The diversification you thought you had disappears because every asset class depends on the same thing: functioning institutions. Loss estimate: ~86%.</w:t>
      </w:r>
    </w:p>
    <w:p>
      <w:pPr>
        <w:spacing w:after="180" w:before="0"/>
      </w:pPr>
      <w:r>
        <w:rPr>
          <w:rFonts w:ascii="Georgia" w:cs="Georgia" w:eastAsia="Georgia" w:hAnsi="Georgia"/>
          <w:color w:val="333333"/>
          <w:sz w:val="22"/>
          <w:szCs w:val="22"/>
        </w:rPr>
        <w:t xml:space="preserve">The gap between 22% and 86% is not additional physical risk. It is the cost of institutional entanglement. Most portfolios carry this exposure without recognizing it, because most models treat the substrate as a constant.</w:t>
      </w:r>
    </w:p>
    <w:p>
      <w:pPr>
        <w:pStyle w:val="Heading1"/>
      </w:pPr>
      <w:r>
        <w:t xml:space="preserve">The Question the Model Asks</w:t>
      </w:r>
    </w:p>
    <w:p>
      <w:pPr>
        <w:spacing w:after="180" w:before="0"/>
      </w:pPr>
      <w:r>
        <w:rPr>
          <w:rFonts w:ascii="Georgia" w:cs="Georgia" w:eastAsia="Georgia" w:hAnsi="Georgia"/>
          <w:color w:val="333333"/>
          <w:sz w:val="22"/>
          <w:szCs w:val="22"/>
        </w:rPr>
        <w:t xml:space="preserve">The model does not tell you what to believe. It asks you to make your beliefs explicit and then shows you the consequences.</w:t>
      </w:r>
    </w:p>
    <w:p>
      <w:pPr>
        <w:spacing w:after="180" w:before="0"/>
      </w:pPr>
      <w:r>
        <w:rPr>
          <w:rFonts w:ascii="Georgia" w:cs="Georgia" w:eastAsia="Georgia" w:hAnsi="Georgia"/>
          <w:color w:val="333333"/>
          <w:sz w:val="22"/>
          <w:szCs w:val="22"/>
        </w:rPr>
        <w:t xml:space="preserve">The sliders in the interface let you adjust every probability. If you think insurance market failure is less likely than 70%, move it down. If you think AI displacement is overblown, move it to 20%. If you think the energy transition will succeed spectacularly, slide it to -60%. The model recalculates instantly.</w:t>
      </w:r>
    </w:p>
    <w:p>
      <w:pPr>
        <w:spacing w:after="180" w:before="0"/>
      </w:pPr>
      <w:r>
        <w:rPr>
          <w:rFonts w:ascii="Georgia" w:cs="Georgia" w:eastAsia="Georgia" w:hAnsi="Georgia"/>
          <w:color w:val="333333"/>
          <w:sz w:val="22"/>
          <w:szCs w:val="22"/>
        </w:rPr>
        <w:t xml:space="preserve">Eight preset scenarios tell different stories. The Optimist requires belief that current trends reverse across most domains. Adaptation Succeeds shows what happens with strong positive vectors. The Simplification models Nate Hagens' thesis of declining net energy. The Tindale Trap models a world where monetary policy itself is the structural contradiction. Current Trajectory simply projects observable 2026 data forward without assuming improvement or deterioration.</w:t>
      </w:r>
    </w:p>
    <w:p>
      <w:pPr>
        <w:spacing w:after="180" w:before="0"/>
      </w:pPr>
      <w:r>
        <w:rPr>
          <w:rFonts w:ascii="Georgia" w:cs="Georgia" w:eastAsia="Georgia" w:hAnsi="Georgia"/>
          <w:color w:val="333333"/>
          <w:sz w:val="22"/>
          <w:szCs w:val="22"/>
        </w:rPr>
        <w:t xml:space="preserve">The question at the heart of the model is simple:</w:t>
      </w:r>
    </w:p>
    <w:p>
      <w:pPr>
        <w:spacing w:after="180" w:before="0"/>
      </w:pPr>
      <w:r>
        <w:rPr>
          <w:rFonts w:ascii="Georgia" w:cs="Georgia" w:eastAsia="Georgia" w:hAnsi="Georgia"/>
          <w:b/>
          <w:bCs/>
          <w:i/>
          <w:iCs/>
          <w:color w:val="333333"/>
          <w:sz w:val="22"/>
          <w:szCs w:val="22"/>
        </w:rPr>
        <w:t xml:space="preserve">At what settings do the sliders need to be before you stop worrying?</w:t>
      </w:r>
    </w:p>
    <w:p>
      <w:pPr>
        <w:spacing w:after="180" w:before="0"/>
      </w:pPr>
      <w:r>
        <w:rPr>
          <w:rFonts w:ascii="Georgia" w:cs="Georgia" w:eastAsia="Georgia" w:hAnsi="Georgia"/>
          <w:color w:val="333333"/>
          <w:sz w:val="22"/>
          <w:szCs w:val="22"/>
        </w:rPr>
        <w:t xml:space="preserve">If you cannot find settings you believe in that bring the probability of Severe Disruption or worse below 20%, the case for a different kind of capital allocation makes itself.</w:t>
      </w:r>
    </w:p>
    <w:p>
      <w:pPr>
        <w:spacing w:after="180" w:before="0"/>
      </w:pPr>
      <w:r>
        <w:rPr>
          <w:rFonts w:ascii="Georgia" w:cs="Georgia" w:eastAsia="Georgia" w:hAnsi="Georgia"/>
          <w:color w:val="333333"/>
          <w:sz w:val="22"/>
          <w:szCs w:val="22"/>
        </w:rPr>
        <w:t xml:space="preserve">In practice, achieving a sub-20% probability requires setting most threat probabilities well below observable trend lines. That position requires active disbelief in current data. The model does not say that is wrong. It says that is what it takes.</w:t>
      </w:r>
    </w:p>
    <w:p>
      <w:pPr>
        <w:pStyle w:val="Heading1"/>
      </w:pPr>
      <w:r>
        <w:t xml:space="preserve">What This Model Does Not Do</w:t>
      </w:r>
    </w:p>
    <w:p>
      <w:pPr>
        <w:spacing w:after="180" w:before="0"/>
      </w:pPr>
      <w:r>
        <w:rPr>
          <w:rFonts w:ascii="Georgia" w:cs="Georgia" w:eastAsia="Georgia" w:hAnsi="Georgia"/>
          <w:color w:val="333333"/>
          <w:sz w:val="22"/>
          <w:szCs w:val="22"/>
        </w:rPr>
        <w:t xml:space="preserve">The model does not predict the future. It runs structured scenarios forward and shows you the probability distribution of outcomes given your assumptions.</w:t>
      </w:r>
    </w:p>
    <w:p>
      <w:pPr>
        <w:spacing w:after="180" w:before="0"/>
      </w:pPr>
      <w:r>
        <w:rPr>
          <w:rFonts w:ascii="Georgia" w:cs="Georgia" w:eastAsia="Georgia" w:hAnsi="Georgia"/>
          <w:color w:val="333333"/>
          <w:sz w:val="22"/>
          <w:szCs w:val="22"/>
        </w:rPr>
        <w:t xml:space="preserve">The model does not tell you what probabilities to use. The defaults reflect current observable data. If you have better data, use it. The sliders are there for that purpose.</w:t>
      </w:r>
    </w:p>
    <w:p>
      <w:pPr>
        <w:spacing w:after="180" w:before="0"/>
      </w:pPr>
      <w:r>
        <w:rPr>
          <w:rFonts w:ascii="Georgia" w:cs="Georgia" w:eastAsia="Georgia" w:hAnsi="Georgia"/>
          <w:color w:val="333333"/>
          <w:sz w:val="22"/>
          <w:szCs w:val="22"/>
        </w:rPr>
        <w:t xml:space="preserve">The model does not capture everything. It treats the world as one system (no geographic dimension). It does not model feedback from portfolio crashes back into systemic stress. It does not capture human adaptive capacity or policy innovation. It uses a simplified three-archetype portfolio model. All of these are real limitations.</w:t>
      </w:r>
    </w:p>
    <w:p>
      <w:pPr>
        <w:spacing w:after="180" w:before="0"/>
      </w:pPr>
      <w:r>
        <w:rPr>
          <w:rFonts w:ascii="Georgia" w:cs="Georgia" w:eastAsia="Georgia" w:hAnsi="Georgia"/>
          <w:color w:val="333333"/>
          <w:sz w:val="22"/>
          <w:szCs w:val="22"/>
        </w:rPr>
        <w:t xml:space="preserve">The model produces sampling noise. With 5,000 simulations, terminal state probabilities carry roughly plus or minus 2-3 percentage points of variation. Re-rolling the simulation confirms whether a pattern is stable.</w:t>
      </w:r>
    </w:p>
    <w:p>
      <w:pPr>
        <w:spacing w:after="180" w:before="0"/>
      </w:pPr>
      <w:r>
        <w:rPr>
          <w:rFonts w:ascii="Georgia" w:cs="Georgia" w:eastAsia="Georgia" w:hAnsi="Georgia"/>
          <w:color w:val="333333"/>
          <w:sz w:val="22"/>
          <w:szCs w:val="22"/>
        </w:rPr>
        <w:t xml:space="preserve">Despite these limitations, the model does something no spreadsheet or scenario narrative can do. It makes the interaction effects visible. It shows how twelve individually manageable risks compound into something much larger when they co-occur. It reveals the persistence trap. It tracks the substrate. And it asks the one question that most financial models are designed to avoid.</w:t>
      </w:r>
    </w:p>
    <w:p>
      <w:pPr>
        <w:pStyle w:val="Heading1"/>
      </w:pPr>
      <w:r>
        <w:t xml:space="preserve">An Invitation, Not an Answer</w:t>
      </w:r>
    </w:p>
    <w:p>
      <w:pPr>
        <w:spacing w:after="180" w:before="0"/>
      </w:pPr>
      <w:r>
        <w:rPr>
          <w:rFonts w:ascii="Georgia" w:cs="Georgia" w:eastAsia="Georgia" w:hAnsi="Georgia"/>
          <w:color w:val="333333"/>
          <w:sz w:val="22"/>
          <w:szCs w:val="22"/>
        </w:rPr>
        <w:t xml:space="preserve">This model is designed to be interrogated, not accepted on authority. Every assumption is visible. Every parameter is adjustable. Every slider tells you two things: what the vector is, and what your current setting actually means in the model's mechanics. The source code is 200 lines of readable JavaScript that implements every equation described in this document.</w:t>
      </w:r>
    </w:p>
    <w:p>
      <w:pPr>
        <w:spacing w:after="180" w:before="0"/>
      </w:pPr>
      <w:r>
        <w:rPr>
          <w:rFonts w:ascii="Georgia" w:cs="Georgia" w:eastAsia="Georgia" w:hAnsi="Georgia"/>
          <w:color w:val="333333"/>
          <w:sz w:val="22"/>
          <w:szCs w:val="22"/>
        </w:rPr>
        <w:t xml:space="preserve">If you think a probability is wrong, change it. If you think a correlation is too high or too low, that is a conversation worth having. If you think the compounding function overstates the interaction effect, there may be a better functional form. If you think the recovery degradation mechanism is too pessimistic, test the sensitivity.</w:t>
      </w:r>
    </w:p>
    <w:p>
      <w:pPr>
        <w:spacing w:after="180" w:before="0"/>
      </w:pPr>
      <w:r>
        <w:rPr>
          <w:rFonts w:ascii="Georgia" w:cs="Georgia" w:eastAsia="Georgia" w:hAnsi="Georgia"/>
          <w:color w:val="333333"/>
          <w:sz w:val="22"/>
          <w:szCs w:val="22"/>
        </w:rPr>
        <w:t xml:space="preserve">The model's purpose is not to produce alarm. It is to shift the burden of proof. Instead of arguing about whether the world is getting worse, it asks: show me the version of the next decade where conventional allocation is coherent. If you can build that version from settings you believe in, the model has done its work by making your assumptions visible. If you cannot, the question becomes: what do you do about it?</w:t>
      </w:r>
    </w:p>
    <w:p>
      <w:pPr>
        <w:spacing w:after="180" w:before="0"/>
      </w:pPr>
      <w:r>
        <w:rPr>
          <w:rFonts w:ascii="Georgia" w:cs="Georgia" w:eastAsia="Georgia" w:hAnsi="Georgia"/>
          <w:color w:val="333333"/>
          <w:sz w:val="22"/>
          <w:szCs w:val="22"/>
        </w:rPr>
        <w:t xml:space="preserve">That is a question worth taking seriously.</w:t>
      </w:r>
    </w:p>
    <w:sectPr>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5"/>
        <w:szCs w:val="15"/>
      </w:rPr>
      <w:t xml:space="preserve">Systemic Risk Projection Model  |  How It Works  |  </w:t>
    </w:r>
    <w:r>
      <w:rPr>
        <w:rFonts w:ascii="Georgia" w:cs="Georgia" w:eastAsia="Georgia" w:hAnsi="Georgia"/>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40" w:before="260"/>
      <w:outlineLvl w:val="1"/>
    </w:pPr>
    <w:rPr>
      <w:rFonts w:ascii="Georgia" w:cs="Georgia" w:eastAsia="Georgia" w:hAnsi="Georgia"/>
      <w:b/>
      <w:bCs/>
      <w:color w:val="2E40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2026-03-01T00:29:18.729Z</dcterms:created>
  <dcterms:modified xsi:type="dcterms:W3CDTF">2026-03-01T00:29:18.731Z</dcterms:modified>
</cp:coreProperties>
</file>

<file path=docProps/custom.xml><?xml version="1.0" encoding="utf-8"?>
<Properties xmlns="http://schemas.openxmlformats.org/officeDocument/2006/custom-properties" xmlns:vt="http://schemas.openxmlformats.org/officeDocument/2006/docPropsVTypes"/>
</file>