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pPr>
      <w:r>
        <w:rPr>
          <w:rFonts w:ascii="Aptos" w:cs="Aptos" w:eastAsia="Aptos" w:hAnsi="Aptos"/>
          <w:b/>
          <w:bCs/>
          <w:color w:val="1A1A2E"/>
          <w:sz w:val="36"/>
          <w:szCs w:val="36"/>
        </w:rPr>
        <w:t xml:space="preserve">Systemic Risk Projection Model v4.0</w:t>
      </w:r>
    </w:p>
    <w:p>
      <w:pPr>
        <w:spacing w:after="10"/>
      </w:pPr>
      <w:r>
        <w:rPr>
          <w:rFonts w:ascii="Aptos" w:cs="Aptos" w:eastAsia="Aptos" w:hAnsi="Aptos"/>
          <w:color w:val="0D7377"/>
          <w:sz w:val="28"/>
          <w:szCs w:val="28"/>
        </w:rPr>
        <w:t xml:space="preserve">Technical Documentation</w:t>
      </w:r>
    </w:p>
    <w:p>
      <w:pPr>
        <w:spacing w:after="240"/>
      </w:pPr>
      <w:r>
        <w:rPr>
          <w:rFonts w:ascii="Aptos" w:cs="Aptos" w:eastAsia="Aptos" w:hAnsi="Aptos"/>
          <w:color w:val="888888"/>
          <w:sz w:val="19"/>
          <w:szCs w:val="19"/>
        </w:rPr>
        <w:t xml:space="preserve">Monte Carlo State-Transition Framework  |  February 2026  |  Draft for Technical Review</w:t>
      </w:r>
    </w:p>
    <w:p>
      <w:pPr>
        <w:spacing w:after="160" w:before="0"/>
      </w:pPr>
      <w:r>
        <w:rPr>
          <w:rFonts w:ascii="Aptos" w:cs="Aptos" w:eastAsia="Aptos" w:hAnsi="Aptos"/>
          <w:color w:val="333333"/>
          <w:sz w:val="21"/>
          <w:szCs w:val="21"/>
        </w:rPr>
        <w:t xml:space="preserve">This document describes the mathematical structure, functional forms, parameter calibration, and design rationale underlying the Systemic Risk Projection Model. It is intended for technical reviewers who wish to interrogate the assumptions, validate the mechanics, or propose improvements.</w:t>
      </w:r>
    </w:p>
    <w:p>
      <w:pPr>
        <w:spacing w:after="160" w:before="0"/>
      </w:pPr>
      <w:r>
        <w:rPr>
          <w:rFonts w:ascii="Aptos" w:cs="Aptos" w:eastAsia="Aptos" w:hAnsi="Aptos"/>
          <w:color w:val="333333"/>
          <w:sz w:val="21"/>
          <w:szCs w:val="21"/>
        </w:rPr>
        <w:t xml:space="preserve">The model is a structured scenario framework, not a predictive product. All parameters are transparent and adjustable. It is designed to be interrogated, not accepted on authority.</w:t>
      </w:r>
    </w:p>
    <w:p>
      <w:pPr>
        <w:pStyle w:val="Heading1"/>
      </w:pPr>
      <w:r>
        <w:t xml:space="preserve">1. Model Architecture</w:t>
      </w:r>
    </w:p>
    <w:p>
      <w:pPr>
        <w:spacing w:after="160" w:before="0"/>
      </w:pPr>
      <w:r>
        <w:rPr>
          <w:rFonts w:ascii="Aptos" w:cs="Aptos" w:eastAsia="Aptos" w:hAnsi="Aptos"/>
          <w:color w:val="333333"/>
          <w:sz w:val="21"/>
          <w:szCs w:val="21"/>
        </w:rPr>
        <w:t xml:space="preserve">The model runs 5,000 Monte Carlo simulations, each projecting a single trajectory through five discrete world-states over a 10-year horizon (2026-2036). Each simulation proceeds year by year, with state transitions governed by a modified Markov chain whose transition probabilities are dynamically adjusted by active disruption events, stabilization vectors, EROI background pressure, event correlation, nonlinear compounding, and recovery degradation.</w:t>
      </w:r>
    </w:p>
    <w:p>
      <w:pPr>
        <w:pStyle w:val="Heading2"/>
      </w:pPr>
      <w:r>
        <w:t xml:space="preserve">1.1 World-States</w:t>
      </w:r>
    </w:p>
    <w:p>
      <w:pPr>
        <w:spacing w:after="160" w:before="0"/>
      </w:pPr>
      <w:r>
        <w:rPr>
          <w:rFonts w:ascii="Aptos" w:cs="Aptos" w:eastAsia="Aptos" w:hAnsi="Aptos"/>
          <w:color w:val="333333"/>
          <w:sz w:val="21"/>
          <w:szCs w:val="21"/>
        </w:rPr>
        <w:t xml:space="preserve">The model defines five mutually exclusive system states representing increasing levels of systemic disruption: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State</w:t>
            </w:r>
          </w:p>
        </w:tc>
        <w:tc>
          <w:tcPr>
            <w:tcW w:type="dxa" w:w="716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0: Stable Adaptation</w:t>
            </w:r>
          </w:p>
        </w:tc>
        <w:tc>
          <w:tcPr>
            <w:tcW w:type="dxa" w:w="7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Institutional frameworks functioning. Disruptions absorbed within existing capacity. Growth remains structurally plausible.</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1: Managed Disruption</w:t>
            </w:r>
          </w:p>
        </w:tc>
        <w:tc>
          <w:tcPr>
            <w:tcW w:type="dxa" w:w="7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Measurable stress across multiple domains. Institutions strained but operational. Current starting default.</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2: Severe Disruption</w:t>
            </w:r>
          </w:p>
        </w:tc>
        <w:tc>
          <w:tcPr>
            <w:tcW w:type="dxa" w:w="7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Multiple simultaneous stresses exceeding institutional capacity. Recovery possible but not assured.</w:t>
            </w:r>
          </w:p>
        </w:tc>
      </w:tr>
      <w:tr>
        <w:tc>
          <w:tcPr>
            <w:tcW w:type="dxa" w:w="2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3: Systemic Crisis</w:t>
            </w:r>
          </w:p>
        </w:tc>
        <w:tc>
          <w:tcPr>
            <w:tcW w:type="dxa" w:w="7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Institutional failure in progress. Correlated asset repricing. Conventional diversification fails.</w:t>
            </w:r>
          </w:p>
        </w:tc>
      </w:tr>
      <w:tr>
        <w:tc>
          <w:tcPr>
            <w:tcW w:type="dxa" w:w="22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4: Civilizational Stress</w:t>
            </w:r>
          </w:p>
        </w:tc>
        <w:tc>
          <w:tcPr>
            <w:tcW w:type="dxa" w:w="71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Near-complete institutional breakdown. Enforcement, liquidity, and governance severely impaired.</w:t>
            </w:r>
          </w:p>
        </w:tc>
      </w:tr>
    </w:tbl>
    <w:p>
      <w:pPr>
        <w:spacing w:after="160" w:before="0"/>
      </w:pPr>
      <w:r>
        <w:rPr>
          <w:rFonts w:ascii="Aptos" w:cs="Aptos" w:eastAsia="Aptos" w:hAnsi="Aptos"/>
          <w:color w:val="333333"/>
          <w:sz w:val="21"/>
          <w:szCs w:val="21"/>
        </w:rPr>
        <w:t xml:space="preserve"/>
      </w:r>
    </w:p>
    <w:p>
      <w:pPr>
        <w:pStyle w:val="Heading2"/>
      </w:pPr>
      <w:r>
        <w:t xml:space="preserve">1.2 Base Transition Matrix</w:t>
      </w:r>
    </w:p>
    <w:p>
      <w:pPr>
        <w:spacing w:after="160" w:before="0"/>
      </w:pPr>
      <w:r>
        <w:rPr>
          <w:rFonts w:ascii="Aptos" w:cs="Aptos" w:eastAsia="Aptos" w:hAnsi="Aptos"/>
          <w:color w:val="333333"/>
          <w:sz w:val="21"/>
          <w:szCs w:val="21"/>
        </w:rPr>
        <w:t xml:space="preserve">The base transition matrix governs state-to-state movement in the absence of events, EROI pressure, or recovery degradation. It encodes three structural properties:</w:t>
      </w:r>
    </w:p>
    <w:p>
      <w:pPr>
        <w:spacing w:after="160" w:before="0"/>
      </w:pPr>
      <w:r>
        <w:rPr>
          <w:rFonts w:ascii="Aptos" w:cs="Aptos" w:eastAsia="Aptos" w:hAnsi="Aptos"/>
          <w:b/>
          <w:bCs/>
          <w:color w:val="333333"/>
          <w:sz w:val="21"/>
          <w:szCs w:val="21"/>
        </w:rPr>
        <w:t xml:space="preserve">Strong diagonal: </w:t>
      </w:r>
      <w:r>
        <w:rPr>
          <w:rFonts w:ascii="Aptos" w:cs="Aptos" w:eastAsia="Aptos" w:hAnsi="Aptos"/>
          <w:color w:val="333333"/>
          <w:sz w:val="21"/>
          <w:szCs w:val="21"/>
        </w:rPr>
        <w:t xml:space="preserve">States persist. The system does not oscillate randomly between states year to year.</w:t>
      </w:r>
    </w:p>
    <w:p>
      <w:pPr>
        <w:spacing w:after="160" w:before="0"/>
      </w:pPr>
      <w:r>
        <w:rPr>
          <w:rFonts w:ascii="Aptos" w:cs="Aptos" w:eastAsia="Aptos" w:hAnsi="Aptos"/>
          <w:b/>
          <w:bCs/>
          <w:color w:val="333333"/>
          <w:sz w:val="21"/>
          <w:szCs w:val="21"/>
        </w:rPr>
        <w:t xml:space="preserve">Asymmetric recovery: </w:t>
      </w:r>
      <w:r>
        <w:rPr>
          <w:rFonts w:ascii="Aptos" w:cs="Aptos" w:eastAsia="Aptos" w:hAnsi="Aptos"/>
          <w:color w:val="333333"/>
          <w:sz w:val="21"/>
          <w:szCs w:val="21"/>
        </w:rPr>
        <w:t xml:space="preserve">Upward transitions (recovery) carry lower probability than downward transitions (degradation). Complex systems are easier to break than to repair.</w:t>
      </w:r>
    </w:p>
    <w:p>
      <w:pPr>
        <w:spacing w:after="160" w:before="0"/>
      </w:pPr>
      <w:r>
        <w:rPr>
          <w:rFonts w:ascii="Aptos" w:cs="Aptos" w:eastAsia="Aptos" w:hAnsi="Aptos"/>
          <w:b/>
          <w:bCs/>
          <w:color w:val="333333"/>
          <w:sz w:val="21"/>
          <w:szCs w:val="21"/>
        </w:rPr>
        <w:t xml:space="preserve">Near-absorbing extremes: </w:t>
      </w:r>
      <w:r>
        <w:rPr>
          <w:rFonts w:ascii="Aptos" w:cs="Aptos" w:eastAsia="Aptos" w:hAnsi="Aptos"/>
          <w:color w:val="333333"/>
          <w:sz w:val="21"/>
          <w:szCs w:val="21"/>
        </w:rPr>
        <w:t xml:space="preserve">States 0 and 4 have strong self-persistence. Once the system reaches either extreme, it tends to stay there.</w:t>
      </w:r>
    </w:p>
    <w:p>
      <w:pPr>
        <w:spacing w:after="160" w:before="0"/>
      </w:pPr>
      <w:r>
        <w:rPr>
          <w:rFonts w:ascii="Aptos" w:cs="Aptos" w:eastAsia="Aptos" w:hAnsi="Aptos"/>
          <w:color w:val="333333"/>
          <w:sz w:val="21"/>
          <w:szCs w:val="21"/>
        </w:rPr>
        <w:t xml:space="preserve">The matrix (rows = current state, columns = next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From \ To</w:t>
            </w:r>
          </w:p>
        </w:tc>
        <w:tc>
          <w:tcPr>
            <w:tcW w:type="dxa" w:w="1872"/>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SA</w:t>
            </w:r>
          </w:p>
        </w:tc>
        <w:tc>
          <w:tcPr>
            <w:tcW w:type="dxa" w:w="1872"/>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MD</w:t>
            </w:r>
          </w:p>
        </w:tc>
        <w:tc>
          <w:tcPr>
            <w:tcW w:type="dxa" w:w="1872"/>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SD</w:t>
            </w:r>
          </w:p>
        </w:tc>
        <w:tc>
          <w:tcPr>
            <w:tcW w:type="dxa" w:w="1872"/>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SC / CS</w:t>
            </w:r>
          </w:p>
        </w:tc>
      </w:tr>
      <w:tr>
        <w:tc>
          <w:tcPr>
            <w:tcW w:type="dxa" w:w="187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Stable (0)</w:t>
            </w:r>
          </w:p>
        </w:tc>
        <w:tc>
          <w:tcPr>
            <w:tcW w:type="dxa" w:w="187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0.970</w:t>
            </w:r>
          </w:p>
        </w:tc>
        <w:tc>
          <w:tcPr>
            <w:tcW w:type="dxa" w:w="187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0.025</w:t>
            </w:r>
          </w:p>
        </w:tc>
        <w:tc>
          <w:tcPr>
            <w:tcW w:type="dxa" w:w="187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0.004</w:t>
            </w:r>
          </w:p>
        </w:tc>
        <w:tc>
          <w:tcPr>
            <w:tcW w:type="dxa" w:w="187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0.001 / 0.000</w:t>
            </w:r>
          </w:p>
        </w:tc>
      </w:tr>
      <w:tr>
        <w:tc>
          <w:tcPr>
            <w:tcW w:type="dxa" w:w="1872"/>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Managed (1)</w:t>
            </w:r>
          </w:p>
        </w:tc>
        <w:tc>
          <w:tcPr>
            <w:tcW w:type="dxa" w:w="1872"/>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0.350</w:t>
            </w:r>
          </w:p>
        </w:tc>
        <w:tc>
          <w:tcPr>
            <w:tcW w:type="dxa" w:w="1872"/>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0.520</w:t>
            </w:r>
          </w:p>
        </w:tc>
        <w:tc>
          <w:tcPr>
            <w:tcW w:type="dxa" w:w="1872"/>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0.100</w:t>
            </w:r>
          </w:p>
        </w:tc>
        <w:tc>
          <w:tcPr>
            <w:tcW w:type="dxa" w:w="1872"/>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0.025 / 0.005</w:t>
            </w:r>
          </w:p>
        </w:tc>
      </w:tr>
      <w:tr>
        <w:tc>
          <w:tcPr>
            <w:tcW w:type="dxa" w:w="187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Severe (2)</w:t>
            </w:r>
          </w:p>
        </w:tc>
        <w:tc>
          <w:tcPr>
            <w:tcW w:type="dxa" w:w="187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0.080</w:t>
            </w:r>
          </w:p>
        </w:tc>
        <w:tc>
          <w:tcPr>
            <w:tcW w:type="dxa" w:w="187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0.270</w:t>
            </w:r>
          </w:p>
        </w:tc>
        <w:tc>
          <w:tcPr>
            <w:tcW w:type="dxa" w:w="187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0.450</w:t>
            </w:r>
          </w:p>
        </w:tc>
        <w:tc>
          <w:tcPr>
            <w:tcW w:type="dxa" w:w="187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0.150 / 0.050</w:t>
            </w:r>
          </w:p>
        </w:tc>
      </w:tr>
      <w:tr>
        <w:tc>
          <w:tcPr>
            <w:tcW w:type="dxa" w:w="1872"/>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Crisis (3)</w:t>
            </w:r>
          </w:p>
        </w:tc>
        <w:tc>
          <w:tcPr>
            <w:tcW w:type="dxa" w:w="1872"/>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0.020</w:t>
            </w:r>
          </w:p>
        </w:tc>
        <w:tc>
          <w:tcPr>
            <w:tcW w:type="dxa" w:w="1872"/>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0.080</w:t>
            </w:r>
          </w:p>
        </w:tc>
        <w:tc>
          <w:tcPr>
            <w:tcW w:type="dxa" w:w="1872"/>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0.220</w:t>
            </w:r>
          </w:p>
        </w:tc>
        <w:tc>
          <w:tcPr>
            <w:tcW w:type="dxa" w:w="1872"/>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0.500 / 0.180</w:t>
            </w:r>
          </w:p>
        </w:tc>
      </w:tr>
      <w:tr>
        <w:tc>
          <w:tcPr>
            <w:tcW w:type="dxa" w:w="187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Civ. Stress (4)</w:t>
            </w:r>
          </w:p>
        </w:tc>
        <w:tc>
          <w:tcPr>
            <w:tcW w:type="dxa" w:w="187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0.000</w:t>
            </w:r>
          </w:p>
        </w:tc>
        <w:tc>
          <w:tcPr>
            <w:tcW w:type="dxa" w:w="187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0.020</w:t>
            </w:r>
          </w:p>
        </w:tc>
        <w:tc>
          <w:tcPr>
            <w:tcW w:type="dxa" w:w="187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0.080</w:t>
            </w:r>
          </w:p>
        </w:tc>
        <w:tc>
          <w:tcPr>
            <w:tcW w:type="dxa" w:w="187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0.250 / 0.650</w:t>
            </w:r>
          </w:p>
        </w:tc>
      </w:tr>
    </w:tbl>
    <w:p>
      <w:pPr>
        <w:spacing w:after="160" w:before="0"/>
      </w:pPr>
      <w:r>
        <w:rPr>
          <w:rFonts w:ascii="Aptos" w:cs="Aptos" w:eastAsia="Aptos" w:hAnsi="Aptos"/>
          <w:color w:val="333333"/>
          <w:sz w:val="21"/>
          <w:szCs w:val="21"/>
        </w:rPr>
        <w:t xml:space="preserve"/>
      </w:r>
    </w:p>
    <w:p>
      <w:pPr>
        <w:spacing w:after="140" w:before="60"/>
        <w:ind w:left="360"/>
      </w:pPr>
      <w:r>
        <w:rPr>
          <w:rFonts w:ascii="Aptos" w:cs="Aptos" w:eastAsia="Aptos" w:hAnsi="Aptos"/>
          <w:i/>
          <w:iCs/>
          <w:color w:val="666666"/>
          <w:sz w:val="19"/>
          <w:szCs w:val="19"/>
        </w:rPr>
        <w:t xml:space="preserve">Design note: The base matrix represents a world with no active disruptions and no EROI pressure. It produces gradual mean-reversion toward Managed Disruption (State 1) from any starting point. All modifications described below operate on this base.</w:t>
      </w:r>
    </w:p>
    <w:p>
      <w:r>
        <w:br w:type="page"/>
      </w:r>
    </w:p>
    <w:p>
      <w:pPr>
        <w:pStyle w:val="Heading1"/>
      </w:pPr>
      <w:r>
        <w:t xml:space="preserve">2. Disruption Vectors</w:t>
      </w:r>
    </w:p>
    <w:p>
      <w:pPr>
        <w:spacing w:after="160" w:before="0"/>
      </w:pPr>
      <w:r>
        <w:rPr>
          <w:rFonts w:ascii="Aptos" w:cs="Aptos" w:eastAsia="Aptos" w:hAnsi="Aptos"/>
          <w:color w:val="333333"/>
          <w:sz w:val="21"/>
          <w:szCs w:val="21"/>
        </w:rPr>
        <w:t xml:space="preserve">The model tracks 12 disruption vectors: 10 threat vectors and 2 bidirectional vectors (Energy Transition and Institutional Formation) that can operate as either threats or stabilizers depending on their sign.</w:t>
      </w:r>
    </w:p>
    <w:p>
      <w:pPr>
        <w:pStyle w:val="Heading2"/>
      </w:pPr>
      <w:r>
        <w:t xml:space="preserve">2.1 Event Firing Mechanism</w:t>
      </w:r>
    </w:p>
    <w:p>
      <w:pPr>
        <w:spacing w:after="160" w:before="0"/>
      </w:pPr>
      <w:r>
        <w:rPr>
          <w:rFonts w:ascii="Aptos" w:cs="Aptos" w:eastAsia="Aptos" w:hAnsi="Aptos"/>
          <w:color w:val="333333"/>
          <w:sz w:val="21"/>
          <w:szCs w:val="21"/>
        </w:rPr>
        <w:t xml:space="preserve">Each vector has a base annual probability (user-adjustable), a peak window [y_start, y_end], and fires at most once per simulation. The firing mechanism distributes the cumulative probability across the peak window years:</w:t>
      </w:r>
    </w:p>
    <w:p>
      <w:pPr>
        <w:shd w:fill="F5F5F0" w:val="clear"/>
        <w:spacing w:after="120" w:before="120"/>
        <w:jc w:val="center"/>
      </w:pPr>
      <w:r>
        <w:rPr>
          <w:rFonts w:ascii="Consolas" w:cs="Consolas" w:eastAsia="Consolas" w:hAnsi="Consolas"/>
          <w:color w:val="1A1A2E"/>
          <w:sz w:val="20"/>
          <w:szCs w:val="20"/>
        </w:rPr>
        <w:t xml:space="preserve">P(fire in year y) = 1 - (1 - P_base)^(1 / window_width)</w:t>
      </w:r>
    </w:p>
    <w:p>
      <w:pPr>
        <w:spacing w:after="160" w:before="0"/>
      </w:pPr>
      <w:r>
        <w:rPr>
          <w:rFonts w:ascii="Aptos" w:cs="Aptos" w:eastAsia="Aptos" w:hAnsi="Aptos"/>
          <w:color w:val="333333"/>
          <w:sz w:val="21"/>
          <w:szCs w:val="21"/>
        </w:rPr>
        <w:t xml:space="preserve">Each year within the window is tested independently with this adjusted annual probability. Once an event fires, it remains active for its specified duration. Events fire at most once per simulation, reflecting the observation that most systemic disruptions are singular events that persist rather than repeated shocks.</w:t>
      </w:r>
    </w:p>
    <w:p>
      <w:pPr>
        <w:pStyle w:val="Heading2"/>
      </w:pPr>
      <w:r>
        <w:t xml:space="preserve">2.2 Vector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900"/>
        <w:gridCol w:w="700"/>
        <w:gridCol w:w="700"/>
        <w:gridCol w:w="4260"/>
      </w:tblGrid>
      <w:tr>
        <w:tc>
          <w:tcPr>
            <w:tcW w:type="dxa" w:w="200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Vector</w:t>
            </w:r>
          </w:p>
        </w:tc>
        <w:tc>
          <w:tcPr>
            <w:tcW w:type="dxa" w:w="80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Base %</w:t>
            </w:r>
          </w:p>
        </w:tc>
        <w:tc>
          <w:tcPr>
            <w:tcW w:type="dxa" w:w="90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Peak</w:t>
            </w:r>
          </w:p>
        </w:tc>
        <w:tc>
          <w:tcPr>
            <w:tcW w:type="dxa" w:w="70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Mag.</w:t>
            </w:r>
          </w:p>
        </w:tc>
        <w:tc>
          <w:tcPr>
            <w:tcW w:type="dxa" w:w="70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Dur.</w:t>
            </w:r>
          </w:p>
        </w:tc>
        <w:tc>
          <w:tcPr>
            <w:tcW w:type="dxa" w:w="426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Source &amp; Rationale</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AI Labour Displacement</w:t>
            </w:r>
          </w:p>
        </w:tc>
        <w:tc>
          <w:tcPr>
            <w:tcW w:type="dxa" w:w="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55%</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Y1-Y4</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0.30</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8yr</w:t>
            </w:r>
          </w:p>
        </w:tc>
        <w:tc>
          <w:tcPr>
            <w:tcW w:type="dxa" w:w="42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MIT Work of the Future Lab; BLS. College grad unemployment 5.8% late 2025.</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Insurance Market Failure</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70%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Y1-Y5</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0.25</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10yr</w:t>
            </w:r>
          </w:p>
        </w:tc>
        <w:tc>
          <w:tcPr>
            <w:tcW w:type="dxa" w:w="42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CA Dept. of Insurance; FAIR Plan. 668,609 policies Dec 2025. 18+ states affected.</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Climate Tipping Signal</w:t>
            </w:r>
          </w:p>
        </w:tc>
        <w:tc>
          <w:tcPr>
            <w:tcW w:type="dxa" w:w="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30%</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Y5-Y9</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0.35</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10yr</w:t>
            </w:r>
          </w:p>
        </w:tc>
        <w:tc>
          <w:tcPr>
            <w:tcW w:type="dxa" w:w="42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IPCC AR6; Armstrong McKay et al. (2022). 5 elements at risk below 1.5C.</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Conventional Conflict</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25%</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Y0-Y9</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0.22</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3yr</w:t>
            </w:r>
          </w:p>
        </w:tc>
        <w:tc>
          <w:tcPr>
            <w:tcW w:type="dxa" w:w="42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ACLED 2024; SIPRI. Highest fatalities since 1994.</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Nuclear Exchange</w:t>
            </w:r>
          </w:p>
        </w:tc>
        <w:tc>
          <w:tcPr>
            <w:tcW w:type="dxa" w:w="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8%</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Y0-Y9</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0.55</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10yr</w:t>
            </w:r>
          </w:p>
        </w:tc>
        <w:tc>
          <w:tcPr>
            <w:tcW w:type="dxa" w:w="42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Bulletin of Atomic Scientists. 90 seconds to midnight, closest in 77 years.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Pandemic / Biosecurity</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20%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Y0-Y9</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0.20</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2yr</w:t>
            </w:r>
          </w:p>
        </w:tc>
        <w:tc>
          <w:tcPr>
            <w:tcW w:type="dxa" w:w="42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WHO IHR Review 2024; GHS Index avg 38.9/100.</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Sovereign Debt Crisis</w:t>
            </w:r>
          </w:p>
        </w:tc>
        <w:tc>
          <w:tcPr>
            <w:tcW w:type="dxa" w:w="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35%</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Y1-Y6</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0.28</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4yr</w:t>
            </w:r>
          </w:p>
        </w:tc>
        <w:tc>
          <w:tcPr>
            <w:tcW w:type="dxa" w:w="42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IMF WEO 2025; BIS Annual Report. G7 debt-to-GDP at historical highs.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Food System Shock</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25%</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Y3-Y9</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0.30</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8yr</w:t>
            </w:r>
          </w:p>
        </w:tc>
        <w:tc>
          <w:tcPr>
            <w:tcW w:type="dxa" w:w="42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FAO SOFI 2024; IPCC Ch. 5. Third consecutive year of price volatility.</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Cyber / Infrastructure</w:t>
            </w:r>
          </w:p>
        </w:tc>
        <w:tc>
          <w:tcPr>
            <w:tcW w:type="dxa" w:w="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35%</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Y0-Y6</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0.26</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2yr</w:t>
            </w:r>
          </w:p>
        </w:tc>
        <w:tc>
          <w:tcPr>
            <w:tcW w:type="dxa" w:w="42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CISA 2024; WEF Global Risk Report. Top-5 risk three consecutive years.</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Democratic Collapse</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40%</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Y0-Y5</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0.32</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10yr</w:t>
            </w:r>
          </w:p>
        </w:tc>
        <w:tc>
          <w:tcPr>
            <w:tcW w:type="dxa" w:w="42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Freedom House 2025; V-Dem. 18 consecutive years of global decline.</w:t>
            </w:r>
          </w:p>
        </w:tc>
      </w:tr>
      <w:tr>
        <w:tc>
          <w:tcPr>
            <w:tcW w:type="dxa" w:w="2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Energy Transition (+/-)</w:t>
            </w:r>
          </w:p>
        </w:tc>
        <w:tc>
          <w:tcPr>
            <w:tcW w:type="dxa" w:w="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-20%</w:t>
            </w:r>
          </w:p>
        </w:tc>
        <w:tc>
          <w:tcPr>
            <w:tcW w:type="dxa" w:w="9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Y2-Y8</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0.30</w:t>
            </w:r>
          </w:p>
        </w:tc>
        <w:tc>
          <w:tcPr>
            <w:tcW w:type="dxa" w:w="7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7yr</w:t>
            </w:r>
          </w:p>
        </w:tc>
        <w:tc>
          <w:tcPr>
            <w:tcW w:type="dxa" w:w="42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IEA WEO 2024. Negative = clean energy success (stabilizing).</w:t>
            </w:r>
          </w:p>
        </w:tc>
      </w:tr>
      <w:tr>
        <w:tc>
          <w:tcPr>
            <w:tcW w:type="dxa" w:w="2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Institutional Formation (+/-)</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-15%</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Y3-Y9</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0.25</w:t>
            </w:r>
          </w:p>
        </w:tc>
        <w:tc>
          <w:tcPr>
            <w:tcW w:type="dxa" w:w="7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8yr</w:t>
            </w:r>
          </w:p>
        </w:tc>
        <w:tc>
          <w:tcPr>
            <w:tcW w:type="dxa" w:w="42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Design parameter. Negative = new institutional capacity (stabilizing).</w:t>
            </w:r>
          </w:p>
        </w:tc>
      </w:tr>
    </w:tbl>
    <w:p>
      <w:pPr>
        <w:spacing w:after="160" w:before="0"/>
      </w:pPr>
      <w:r>
        <w:rPr>
          <w:rFonts w:ascii="Aptos" w:cs="Aptos" w:eastAsia="Aptos" w:hAnsi="Aptos"/>
          <w:color w:val="333333"/>
          <w:sz w:val="21"/>
          <w:szCs w:val="21"/>
        </w:rPr>
        <w:t xml:space="preserve"/>
      </w:r>
    </w:p>
    <w:p>
      <w:pPr>
        <w:pStyle w:val="Heading2"/>
      </w:pPr>
      <w:r>
        <w:t xml:space="preserve">2.3 Persistence Differentiation</w:t>
      </w:r>
    </w:p>
    <w:p>
      <w:pPr>
        <w:spacing w:after="160" w:before="0"/>
      </w:pPr>
      <w:r>
        <w:rPr>
          <w:rFonts w:ascii="Aptos" w:cs="Aptos" w:eastAsia="Aptos" w:hAnsi="Aptos"/>
          <w:color w:val="333333"/>
          <w:sz w:val="21"/>
          <w:szCs w:val="21"/>
        </w:rPr>
        <w:t xml:space="preserve">Duration is the model's most consequential distinction. It separates acute shocks from structural shifts:</w:t>
      </w:r>
    </w:p>
    <w:p>
      <w:pPr>
        <w:spacing w:after="160" w:before="0"/>
      </w:pPr>
      <w:r>
        <w:rPr>
          <w:rFonts w:ascii="Aptos" w:cs="Aptos" w:eastAsia="Aptos" w:hAnsi="Aptos"/>
          <w:b/>
          <w:bCs/>
          <w:color w:val="333333"/>
          <w:sz w:val="21"/>
          <w:szCs w:val="21"/>
        </w:rPr>
        <w:t xml:space="preserve">Acute shocks (2-3 years): </w:t>
      </w:r>
      <w:r>
        <w:rPr>
          <w:rFonts w:ascii="Aptos" w:cs="Aptos" w:eastAsia="Aptos" w:hAnsi="Aptos"/>
          <w:color w:val="333333"/>
          <w:sz w:val="21"/>
          <w:szCs w:val="21"/>
        </w:rPr>
        <w:t xml:space="preserve">Pandemic, cyber, conventional conflict. Systems rebuild, trust recovers. These events produce sharp disruption but do not permanently alter the transition landscape.</w:t>
      </w:r>
    </w:p>
    <w:p>
      <w:pPr>
        <w:spacing w:after="160" w:before="0"/>
      </w:pPr>
      <w:r>
        <w:rPr>
          <w:rFonts w:ascii="Aptos" w:cs="Aptos" w:eastAsia="Aptos" w:hAnsi="Aptos"/>
          <w:b/>
          <w:bCs/>
          <w:color w:val="333333"/>
          <w:sz w:val="21"/>
          <w:szCs w:val="21"/>
        </w:rPr>
        <w:t xml:space="preserve">Structural shifts (7-10 years): </w:t>
      </w:r>
      <w:r>
        <w:rPr>
          <w:rFonts w:ascii="Aptos" w:cs="Aptos" w:eastAsia="Aptos" w:hAnsi="Aptos"/>
          <w:color w:val="333333"/>
          <w:sz w:val="21"/>
          <w:szCs w:val="21"/>
        </w:rPr>
        <w:t xml:space="preserve">Insurance failure, AI displacement, democratic collapse, climate tipping, food systems. These events persist because no reversal mechanism exists within the model's time horizon. No major insurer has returned to a withdrawn market. No country has reversed 18 years of democratic decline in a single decade.</w:t>
      </w:r>
    </w:p>
    <w:p>
      <w:pPr>
        <w:spacing w:after="140" w:before="60"/>
        <w:ind w:left="360"/>
      </w:pPr>
      <w:r>
        <w:rPr>
          <w:rFonts w:ascii="Aptos" w:cs="Aptos" w:eastAsia="Aptos" w:hAnsi="Aptos"/>
          <w:i/>
          <w:iCs/>
          <w:color w:val="666666"/>
          <w:sz w:val="19"/>
          <w:szCs w:val="19"/>
        </w:rPr>
        <w:t xml:space="preserve">Design rationale: A model that treats pandemic risk and insurance retreat as equivalent-duration events will systematically underestimate the contribution of structural shifts to terminal state distribution.</w:t>
      </w:r>
    </w:p>
    <w:p>
      <w:r>
        <w:br w:type="page"/>
      </w:r>
    </w:p>
    <w:p>
      <w:pPr>
        <w:pStyle w:val="Heading1"/>
      </w:pPr>
      <w:r>
        <w:t xml:space="preserve">3. Event Correlation and Nonlinear Compounding</w:t>
      </w:r>
    </w:p>
    <w:p>
      <w:pPr>
        <w:pStyle w:val="Heading2"/>
      </w:pPr>
      <w:r>
        <w:t xml:space="preserve">3.1 Pairwise Correlation Matrix</w:t>
      </w:r>
    </w:p>
    <w:p>
      <w:pPr>
        <w:spacing w:after="160" w:before="0"/>
      </w:pPr>
      <w:r>
        <w:rPr>
          <w:rFonts w:ascii="Aptos" w:cs="Aptos" w:eastAsia="Aptos" w:hAnsi="Aptos"/>
          <w:color w:val="333333"/>
          <w:sz w:val="21"/>
          <w:szCs w:val="21"/>
        </w:rPr>
        <w:t xml:space="preserve">When two correlated events are active simultaneously, their combined disruption pressure is amplified by a pairwise multiplier. The multipliers represent transmission mechanisms between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c>
          <w:tcPr>
            <w:tcW w:type="dxa" w:w="300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Event Pair</w:t>
            </w:r>
          </w:p>
        </w:tc>
        <w:tc>
          <w:tcPr>
            <w:tcW w:type="dxa" w:w="100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Multiplier</w:t>
            </w:r>
          </w:p>
        </w:tc>
        <w:tc>
          <w:tcPr>
            <w:tcW w:type="dxa" w:w="536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Transmission Mechanism</w:t>
            </w:r>
          </w:p>
        </w:tc>
      </w:tr>
      <w:tr>
        <w:tc>
          <w:tcPr>
            <w:tcW w:type="dxa" w:w="3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Climate + Food Systems</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1.5x</w:t>
            </w:r>
          </w:p>
        </w:tc>
        <w:tc>
          <w:tcPr>
            <w:tcW w:type="dxa" w:w="5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Climate shocks propagate through agricultural supply chains, soil systems, pollinator networks.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Insurance + Sovereign Debt</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1.4x</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Insurance retreat socializes risk onto fiscal balance sheets. Uninsured losses become government liabilities.</w:t>
            </w:r>
          </w:p>
        </w:tc>
      </w:tr>
      <w:tr>
        <w:tc>
          <w:tcPr>
            <w:tcW w:type="dxa" w:w="3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Insurance + Climate</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1.3x</w:t>
            </w:r>
          </w:p>
        </w:tc>
        <w:tc>
          <w:tcPr>
            <w:tcW w:type="dxa" w:w="5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Climate-driven losses trigger insurance withdrawal, creating uninsurable asset classes.</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Democracy + Conflict</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1.3x</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Democratic erosion reduces conflict-resolution capacity. Institutional weakness invites external pressure.</w:t>
            </w:r>
          </w:p>
        </w:tc>
      </w:tr>
      <w:tr>
        <w:tc>
          <w:tcPr>
            <w:tcW w:type="dxa" w:w="3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Democracy + Sovereign Debt</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1.25x</w:t>
            </w:r>
          </w:p>
        </w:tc>
        <w:tc>
          <w:tcPr>
            <w:tcW w:type="dxa" w:w="5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Political fragmentation prevents fiscal consolidation. Populist spending pressures intensify.</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Conflict + Cyber</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1.3x</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Modern conflict includes cyber components. Infrastructure attacks accompany kinetic operations.</w:t>
            </w:r>
          </w:p>
        </w:tc>
      </w:tr>
      <w:tr>
        <w:tc>
          <w:tcPr>
            <w:tcW w:type="dxa" w:w="3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Food + Conflict</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1.3x</w:t>
            </w:r>
          </w:p>
        </w:tc>
        <w:tc>
          <w:tcPr>
            <w:tcW w:type="dxa" w:w="5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Food price spikes historically correlate with civil unrest and state fragility.</w:t>
            </w:r>
          </w:p>
        </w:tc>
      </w:tr>
      <w:tr>
        <w:tc>
          <w:tcPr>
            <w:tcW w:type="dxa" w:w="3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AI + Democracy</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1.2x</w:t>
            </w:r>
          </w:p>
        </w:tc>
        <w:tc>
          <w:tcPr>
            <w:tcW w:type="dxa" w:w="5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AI-generated content degrades information environments. Algorithmic amplification of polarization.</w:t>
            </w:r>
          </w:p>
        </w:tc>
      </w:tr>
      <w:tr>
        <w:tc>
          <w:tcPr>
            <w:tcW w:type="dxa" w:w="3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AI + Sovereign Debt</w:t>
            </w:r>
          </w:p>
        </w:tc>
        <w:tc>
          <w:tcPr>
            <w:tcW w:type="dxa" w:w="10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1.2x</w:t>
            </w:r>
          </w:p>
        </w:tc>
        <w:tc>
          <w:tcPr>
            <w:tcW w:type="dxa" w:w="536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AI displacement reduces tax revenue from labor while increasing demand for social support.</w:t>
            </w:r>
          </w:p>
        </w:tc>
      </w:tr>
    </w:tbl>
    <w:p>
      <w:pPr>
        <w:spacing w:after="160" w:before="0"/>
      </w:pPr>
      <w:r>
        <w:rPr>
          <w:rFonts w:ascii="Aptos" w:cs="Aptos" w:eastAsia="Aptos" w:hAnsi="Aptos"/>
          <w:color w:val="333333"/>
          <w:sz w:val="21"/>
          <w:szCs w:val="21"/>
        </w:rPr>
        <w:t xml:space="preserve"/>
      </w:r>
    </w:p>
    <w:p>
      <w:pPr>
        <w:spacing w:after="140" w:before="60"/>
        <w:ind w:left="360"/>
      </w:pPr>
      <w:r>
        <w:rPr>
          <w:rFonts w:ascii="Aptos" w:cs="Aptos" w:eastAsia="Aptos" w:hAnsi="Aptos"/>
          <w:i/>
          <w:iCs/>
          <w:color w:val="666666"/>
          <w:sz w:val="19"/>
          <w:szCs w:val="19"/>
        </w:rPr>
        <w:t xml:space="preserve">These are not empirically derived coupling constants. They are structured judgments about transmission mechanisms. The relative ordering matters more than the absolute values. The maximum multiplier (1.5x for Climate + Food) reflects the strongest documented causal linkage.</w:t>
      </w:r>
    </w:p>
    <w:p>
      <w:pPr>
        <w:pStyle w:val="Heading2"/>
      </w:pPr>
      <w:r>
        <w:t xml:space="preserve">3.2 Disruption Pressure Calculation</w:t>
      </w:r>
    </w:p>
    <w:p>
      <w:pPr>
        <w:spacing w:after="160" w:before="0"/>
      </w:pPr>
      <w:r>
        <w:rPr>
          <w:rFonts w:ascii="Aptos" w:cs="Aptos" w:eastAsia="Aptos" w:hAnsi="Aptos"/>
          <w:color w:val="333333"/>
          <w:sz w:val="21"/>
          <w:szCs w:val="21"/>
        </w:rPr>
        <w:t xml:space="preserve">For each year, the model computes total disruption pressure through four steps:</w:t>
      </w:r>
    </w:p>
    <w:p>
      <w:pPr>
        <w:pStyle w:val="Heading3"/>
      </w:pPr>
      <w:r>
        <w:t xml:space="preserve">Step 1: Raw Pressure Accumulation</w:t>
      </w:r>
    </w:p>
    <w:p>
      <w:pPr>
        <w:spacing w:after="160" w:before="0"/>
      </w:pPr>
      <w:r>
        <w:rPr>
          <w:rFonts w:ascii="Aptos" w:cs="Aptos" w:eastAsia="Aptos" w:hAnsi="Aptos"/>
          <w:color w:val="333333"/>
          <w:sz w:val="21"/>
          <w:szCs w:val="21"/>
        </w:rPr>
        <w:t xml:space="preserve">Each active event contributes its magnitude, modified by proximity to the event's peak year:</w:t>
      </w:r>
    </w:p>
    <w:p>
      <w:pPr>
        <w:shd w:fill="F5F5F0" w:val="clear"/>
        <w:spacing w:after="120" w:before="120"/>
        <w:jc w:val="center"/>
      </w:pPr>
      <w:r>
        <w:rPr>
          <w:rFonts w:ascii="Consolas" w:cs="Consolas" w:eastAsia="Consolas" w:hAnsi="Consolas"/>
          <w:color w:val="1A1A2E"/>
          <w:sz w:val="20"/>
          <w:szCs w:val="20"/>
        </w:rPr>
        <w:t xml:space="preserve">rawP = EROI_pressure + SUM[ mag_i * (1 + 0.1 * max(0, 3 - |year - mid_i|)) ]</w:t>
      </w:r>
    </w:p>
    <w:p>
      <w:pPr>
        <w:spacing w:after="160" w:before="0"/>
      </w:pPr>
      <w:r>
        <w:rPr>
          <w:rFonts w:ascii="Aptos" w:cs="Aptos" w:eastAsia="Aptos" w:hAnsi="Aptos"/>
          <w:color w:val="333333"/>
          <w:sz w:val="21"/>
          <w:szCs w:val="21"/>
        </w:rPr>
        <w:t xml:space="preserve">The proximity modifier (the 0.1 * max(0, 3 - distance) term) increases an event's contribution when the simulation year is near the midpoint of the event's peak window, and decreases it at the edges. This produces a bell-shaped intensity curve rather than a flat rectangle.</w:t>
      </w:r>
    </w:p>
    <w:p>
      <w:pPr>
        <w:pStyle w:val="Heading3"/>
      </w:pPr>
      <w:r>
        <w:t xml:space="preserve">Step 2: Correlation Amplification</w:t>
      </w:r>
    </w:p>
    <w:p>
      <w:pPr>
        <w:spacing w:after="160" w:before="0"/>
      </w:pPr>
      <w:r>
        <w:rPr>
          <w:rFonts w:ascii="Aptos" w:cs="Aptos" w:eastAsia="Aptos" w:hAnsi="Aptos"/>
          <w:color w:val="333333"/>
          <w:sz w:val="21"/>
          <w:szCs w:val="21"/>
        </w:rPr>
        <w:t xml:space="preserve">The raw pressure is multiplied by the highest applicable pairwise correlation multiplier among all active event pairs:</w:t>
      </w:r>
    </w:p>
    <w:p>
      <w:pPr>
        <w:shd w:fill="F5F5F0" w:val="clear"/>
        <w:spacing w:after="120" w:before="120"/>
        <w:jc w:val="center"/>
      </w:pPr>
      <w:r>
        <w:rPr>
          <w:rFonts w:ascii="Consolas" w:cs="Consolas" w:eastAsia="Consolas" w:hAnsi="Consolas"/>
          <w:color w:val="1A1A2E"/>
          <w:sz w:val="20"/>
          <w:szCs w:val="20"/>
        </w:rPr>
        <w:t xml:space="preserve">rawP = rawP * max(correlation_multipliers for all active pairs)</w:t>
      </w:r>
    </w:p>
    <w:p>
      <w:pPr>
        <w:spacing w:after="140" w:before="60"/>
        <w:ind w:left="360"/>
      </w:pPr>
      <w:r>
        <w:rPr>
          <w:rFonts w:ascii="Aptos" w:cs="Aptos" w:eastAsia="Aptos" w:hAnsi="Aptos"/>
          <w:i/>
          <w:iCs/>
          <w:color w:val="666666"/>
          <w:sz w:val="19"/>
          <w:szCs w:val="19"/>
        </w:rPr>
        <w:t xml:space="preserve">The model uses the maximum rather than the product of all applicable multipliers. This is a conservative choice. Using the product would produce implausibly large amplification when three or more correlated events co-occur.</w:t>
      </w:r>
    </w:p>
    <w:p>
      <w:pPr>
        <w:pStyle w:val="Heading3"/>
      </w:pPr>
      <w:r>
        <w:t xml:space="preserve">Step 3: Nonlinear Compounding</w:t>
      </w:r>
    </w:p>
    <w:p>
      <w:pPr>
        <w:spacing w:after="160" w:before="0"/>
      </w:pPr>
      <w:r>
        <w:rPr>
          <w:rFonts w:ascii="Aptos" w:cs="Aptos" w:eastAsia="Aptos" w:hAnsi="Aptos"/>
          <w:color w:val="333333"/>
          <w:sz w:val="21"/>
          <w:szCs w:val="21"/>
        </w:rPr>
        <w:t xml:space="preserve">The central nonlinear function. When multiple events are active simultaneously, total disruption pressure compounds super-additively:</w:t>
      </w:r>
    </w:p>
    <w:p>
      <w:pPr>
        <w:shd w:fill="F5F5F0" w:val="clear"/>
        <w:spacing w:after="120" w:before="120"/>
        <w:jc w:val="center"/>
      </w:pPr>
      <w:r>
        <w:rPr>
          <w:rFonts w:ascii="Consolas" w:cs="Consolas" w:eastAsia="Consolas" w:hAnsi="Consolas"/>
          <w:color w:val="1A1A2E"/>
          <w:sz w:val="20"/>
          <w:szCs w:val="20"/>
        </w:rPr>
        <w:t xml:space="preserve">Compounded = 1 - (1 - rawPressure)^(1 + eventCount * compoundingScale)</w:t>
      </w:r>
    </w:p>
    <w:p>
      <w:pPr>
        <w:spacing w:after="160" w:before="0"/>
      </w:pPr>
      <w:r>
        <w:rPr>
          <w:rFonts w:ascii="Aptos" w:cs="Aptos" w:eastAsia="Aptos" w:hAnsi="Aptos"/>
          <w:color w:val="333333"/>
          <w:sz w:val="21"/>
          <w:szCs w:val="21"/>
        </w:rPr>
        <w:t xml:space="preserve">The compounding scale factor is user-adjustable via the Compounding Intensity control in the interface. It defaults to 0.30 and ranges from 0.10 (conservative) to 0.50 (aggressive). The exponent (1 + eventCount * scale) determines how steeply simultaneous crises amplify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20"/>
        <w:gridCol w:w="1920"/>
        <w:gridCol w:w="1920"/>
      </w:tblGrid>
      <w:tr>
        <w:tc>
          <w:tcPr>
            <w:tcW w:type="dxa" w:w="180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Scale Factor</w:t>
            </w:r>
          </w:p>
        </w:tc>
        <w:tc>
          <w:tcPr>
            <w:tcW w:type="dxa" w:w="180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Label</w:t>
            </w:r>
          </w:p>
        </w:tc>
        <w:tc>
          <w:tcPr>
            <w:tcW w:type="dxa" w:w="192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1 Event</w:t>
            </w:r>
          </w:p>
        </w:tc>
        <w:tc>
          <w:tcPr>
            <w:tcW w:type="dxa" w:w="192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3 Events</w:t>
            </w:r>
          </w:p>
        </w:tc>
        <w:tc>
          <w:tcPr>
            <w:tcW w:type="dxa" w:w="192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5 Events</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0.15</w:t>
            </w:r>
          </w:p>
        </w:tc>
        <w:tc>
          <w:tcPr>
            <w:tcW w:type="dxa" w:w="1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Conservative</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exp 1.15</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exp 1.45</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exp 1.75</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0.25</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Moderate</w:t>
            </w:r>
          </w:p>
        </w:tc>
        <w:tc>
          <w:tcPr>
            <w:tcW w:type="dxa" w:w="19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exp 1.25</w:t>
            </w:r>
          </w:p>
        </w:tc>
        <w:tc>
          <w:tcPr>
            <w:tcW w:type="dxa" w:w="19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exp 1.75</w:t>
            </w:r>
          </w:p>
        </w:tc>
        <w:tc>
          <w:tcPr>
            <w:tcW w:type="dxa" w:w="19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exp 2.25</w:t>
            </w:r>
          </w:p>
        </w:tc>
      </w:tr>
      <w:tr>
        <w:tc>
          <w:tcPr>
            <w:tcW w:type="dxa" w:w="1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0.30</w:t>
            </w:r>
          </w:p>
        </w:tc>
        <w:tc>
          <w:tcPr>
            <w:tcW w:type="dxa" w:w="18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Calibrated (default)</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exp 1.30</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exp 1.90</w:t>
            </w:r>
          </w:p>
        </w:tc>
        <w:tc>
          <w:tcPr>
            <w:tcW w:type="dxa" w:w="192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exp 2.50</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0.40</w:t>
            </w:r>
          </w:p>
        </w:tc>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Aggressive</w:t>
            </w:r>
          </w:p>
        </w:tc>
        <w:tc>
          <w:tcPr>
            <w:tcW w:type="dxa" w:w="19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exp 1.40</w:t>
            </w:r>
          </w:p>
        </w:tc>
        <w:tc>
          <w:tcPr>
            <w:tcW w:type="dxa" w:w="19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exp 2.20</w:t>
            </w:r>
          </w:p>
        </w:tc>
        <w:tc>
          <w:tcPr>
            <w:tcW w:type="dxa" w:w="19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exp 3.00</w:t>
            </w:r>
          </w:p>
        </w:tc>
      </w:tr>
    </w:tbl>
    <w:p>
      <w:pPr>
        <w:spacing w:after="160" w:before="0"/>
      </w:pPr>
      <w:r>
        <w:rPr>
          <w:rFonts w:ascii="Aptos" w:cs="Aptos" w:eastAsia="Aptos" w:hAnsi="Aptos"/>
          <w:color w:val="333333"/>
          <w:sz w:val="21"/>
          <w:szCs w:val="21"/>
        </w:rPr>
        <w:t xml:space="preserve"/>
      </w:r>
    </w:p>
    <w:p>
      <w:pPr>
        <w:spacing w:after="160" w:before="0"/>
      </w:pPr>
      <w:r>
        <w:rPr>
          <w:rFonts w:ascii="Aptos" w:cs="Aptos" w:eastAsia="Aptos" w:hAnsi="Aptos"/>
          <w:color w:val="333333"/>
          <w:sz w:val="21"/>
          <w:szCs w:val="21"/>
        </w:rPr>
        <w:t xml:space="preserve">At the default setting (0.30), three simultaneous events at a raw pressure of 0.5 produce a compounded pressure of approximately 0.73, roughly 47% more than the additive value. At the conservative setting (0.15), the same scenario produces approximately 0.61, a 22% amplification. Users can test the sensitivity directly by moving the slider and observing how terminal distributions shift.</w:t>
      </w:r>
    </w:p>
    <w:p>
      <w:pPr>
        <w:spacing w:after="160" w:before="0"/>
      </w:pPr>
      <w:r>
        <w:rPr>
          <w:rFonts w:ascii="Aptos" w:cs="Aptos" w:eastAsia="Aptos" w:hAnsi="Aptos"/>
          <w:color w:val="333333"/>
          <w:sz w:val="21"/>
          <w:szCs w:val="21"/>
        </w:rPr>
        <w:t xml:space="preserve">This functional form has several desirable properties: it is bounded between 0 and 1, it is monotonically increasing in both rawPressure and eventCount, and it produces the intuitive result that three simultaneous crises are more damaging than three times a single crisis.</w:t>
      </w:r>
    </w:p>
    <w:p>
      <w:pPr>
        <w:spacing w:after="140" w:before="60"/>
        <w:ind w:left="360"/>
      </w:pPr>
      <w:r>
        <w:rPr>
          <w:rFonts w:ascii="Aptos" w:cs="Aptos" w:eastAsia="Aptos" w:hAnsi="Aptos"/>
          <w:i/>
          <w:iCs/>
          <w:color w:val="666666"/>
          <w:sz w:val="19"/>
          <w:szCs w:val="19"/>
        </w:rPr>
        <w:t xml:space="preserve">The 0.30 default was calibrated iteratively against historical multi-crisis periods (2008-2009, 2020). It is now exposed as a user-adjustable parameter precisely because it was the parameter the author was least confident in. Making it adjustable converts an assumption into a testable sensitivity. A physicist might propose a better functional form from percolation theory or critical phenomena.</w:t>
      </w:r>
    </w:p>
    <w:p>
      <w:pPr>
        <w:pStyle w:val="Heading3"/>
      </w:pPr>
      <w:r>
        <w:t xml:space="preserve">Step 4: Stabilization Offset</w:t>
      </w:r>
    </w:p>
    <w:p>
      <w:pPr>
        <w:spacing w:after="160" w:before="0"/>
      </w:pPr>
      <w:r>
        <w:rPr>
          <w:rFonts w:ascii="Aptos" w:cs="Aptos" w:eastAsia="Aptos" w:hAnsi="Aptos"/>
          <w:color w:val="333333"/>
          <w:sz w:val="21"/>
          <w:szCs w:val="21"/>
        </w:rPr>
        <w:t xml:space="preserve">Bidirectional vectors with negative values (Energy Transition success, Institutional Formation) operate as stabilizers:</w:t>
      </w:r>
    </w:p>
    <w:p>
      <w:pPr>
        <w:shd w:fill="F5F5F0" w:val="clear"/>
        <w:spacing w:after="120" w:before="120"/>
        <w:jc w:val="center"/>
      </w:pPr>
      <w:r>
        <w:rPr>
          <w:rFonts w:ascii="Consolas" w:cs="Consolas" w:eastAsia="Consolas" w:hAnsi="Consolas"/>
          <w:color w:val="1A1A2E"/>
          <w:sz w:val="20"/>
          <w:szCs w:val="20"/>
        </w:rPr>
        <w:t xml:space="preserve">stabilizationPressure = SUM[ mag_i * 0.5 ]  (for active stabilizing events)</w:t>
      </w:r>
    </w:p>
    <w:p>
      <w:pPr>
        <w:spacing w:after="160" w:before="0"/>
      </w:pPr>
      <w:r>
        <w:rPr>
          <w:rFonts w:ascii="Aptos" w:cs="Aptos" w:eastAsia="Aptos" w:hAnsi="Aptos"/>
          <w:color w:val="333333"/>
          <w:sz w:val="21"/>
          <w:szCs w:val="21"/>
        </w:rPr>
        <w:t xml:space="preserve">The 0.5 coefficient (vs 0.7 for disruption transfer, described below) encodes the asymmetry: complex systems are easier to break than to repair. Stabilization partially offsets disruption but cannot fully neutralize it at equivalent magnitude.</w:t>
      </w:r>
    </w:p>
    <w:p>
      <w:r>
        <w:br w:type="page"/>
      </w:r>
    </w:p>
    <w:p>
      <w:pPr>
        <w:pStyle w:val="Heading1"/>
      </w:pPr>
      <w:r>
        <w:t xml:space="preserve">4. Transition Matrix Modification</w:t>
      </w:r>
    </w:p>
    <w:p>
      <w:pPr>
        <w:spacing w:after="160" w:before="0"/>
      </w:pPr>
      <w:r>
        <w:rPr>
          <w:rFonts w:ascii="Aptos" w:cs="Aptos" w:eastAsia="Aptos" w:hAnsi="Aptos"/>
          <w:color w:val="333333"/>
          <w:sz w:val="21"/>
          <w:szCs w:val="21"/>
        </w:rPr>
        <w:t xml:space="preserve">Each year, the base transition matrix is modified through four sequential operations. All modifications preserve the row-sum = 1 property through normalization.</w:t>
      </w:r>
    </w:p>
    <w:p>
      <w:pPr>
        <w:pStyle w:val="Heading2"/>
      </w:pPr>
      <w:r>
        <w:t xml:space="preserve">4.1 EROI Background Constraint</w:t>
      </w:r>
    </w:p>
    <w:p>
      <w:pPr>
        <w:spacing w:after="160" w:before="0"/>
      </w:pPr>
      <w:r>
        <w:rPr>
          <w:rFonts w:ascii="Aptos" w:cs="Aptos" w:eastAsia="Aptos" w:hAnsi="Aptos"/>
          <w:color w:val="333333"/>
          <w:sz w:val="21"/>
          <w:szCs w:val="21"/>
        </w:rPr>
        <w:t xml:space="preserve">The EROI constraint applies gentle downward pressure on all transitions, increasing linearly over the decade:</w:t>
      </w:r>
    </w:p>
    <w:p>
      <w:pPr>
        <w:shd w:fill="F5F5F0" w:val="clear"/>
        <w:spacing w:after="120" w:before="120"/>
        <w:jc w:val="center"/>
      </w:pPr>
      <w:r>
        <w:rPr>
          <w:rFonts w:ascii="Consolas" w:cs="Consolas" w:eastAsia="Consolas" w:hAnsi="Consolas"/>
          <w:color w:val="1A1A2E"/>
          <w:sz w:val="20"/>
          <w:szCs w:val="20"/>
        </w:rPr>
        <w:t xml:space="preserve">EROI_pressure = eroi_setting * (year / 10) * 0.15</w:t>
      </w:r>
    </w:p>
    <w:p>
      <w:pPr>
        <w:spacing w:after="160" w:before="0"/>
      </w:pPr>
      <w:r>
        <w:rPr>
          <w:rFonts w:ascii="Aptos" w:cs="Aptos" w:eastAsia="Aptos" w:hAnsi="Aptos"/>
          <w:color w:val="333333"/>
          <w:sz w:val="21"/>
          <w:szCs w:val="21"/>
        </w:rPr>
        <w:t xml:space="preserve">For each state at or above the current state, a fraction of that state's probability mass is shifted one state downward:</w:t>
      </w:r>
    </w:p>
    <w:p>
      <w:pPr>
        <w:shd w:fill="F5F5F0" w:val="clear"/>
        <w:spacing w:after="120" w:before="120"/>
        <w:jc w:val="center"/>
      </w:pPr>
      <w:r>
        <w:rPr>
          <w:rFonts w:ascii="Consolas" w:cs="Consolas" w:eastAsia="Consolas" w:hAnsi="Consolas"/>
          <w:color w:val="1A1A2E"/>
          <w:sz w:val="20"/>
          <w:szCs w:val="20"/>
        </w:rPr>
        <w:t xml:space="preserve">shift = row[s] * EROI_pressure * 0.15</w:t>
      </w:r>
    </w:p>
    <w:p>
      <w:pPr>
        <w:spacing w:after="160" w:before="0"/>
      </w:pPr>
      <w:r>
        <w:rPr>
          <w:rFonts w:ascii="Aptos" w:cs="Aptos" w:eastAsia="Aptos" w:hAnsi="Aptos"/>
          <w:color w:val="333333"/>
          <w:sz w:val="21"/>
          <w:szCs w:val="21"/>
        </w:rPr>
        <w:t xml:space="preserve">At the maximum EROI setting (1.0), this produces approximately 0.15 * 0.15 = 0.0225 downward probability shift per state per year by Year 10. The effect is cumulative: it does not cause sudden collapse but steadily degrades recovery probability and increases persistence in stressed states.</w:t>
      </w:r>
    </w:p>
    <w:p>
      <w:pPr>
        <w:spacing w:after="140" w:before="60"/>
        <w:ind w:left="360"/>
      </w:pPr>
      <w:r>
        <w:rPr>
          <w:rFonts w:ascii="Aptos" w:cs="Aptos" w:eastAsia="Aptos" w:hAnsi="Aptos"/>
          <w:i/>
          <w:iCs/>
          <w:color w:val="666666"/>
          <w:sz w:val="19"/>
          <w:szCs w:val="19"/>
        </w:rPr>
        <w:t xml:space="preserve">This represents Nate Hagens' thesis: declining net energy constrains institutional response capacity independently of acute events. The constraint is not an event. It is a background condition that makes every transition slightly worse over time.</w:t>
      </w:r>
    </w:p>
    <w:p>
      <w:pPr>
        <w:pStyle w:val="Heading2"/>
      </w:pPr>
      <w:r>
        <w:t xml:space="preserve">4.2 Downward Push from Disruption</w:t>
      </w:r>
    </w:p>
    <w:p>
      <w:pPr>
        <w:spacing w:after="160" w:before="0"/>
      </w:pPr>
      <w:r>
        <w:rPr>
          <w:rFonts w:ascii="Aptos" w:cs="Aptos" w:eastAsia="Aptos" w:hAnsi="Aptos"/>
          <w:color w:val="333333"/>
          <w:sz w:val="21"/>
          <w:szCs w:val="21"/>
        </w:rPr>
        <w:t xml:space="preserve">Active disruption events shift probability mass from better states to worse states. The transfer factor is 0.7, meaning 70% of the compounded disruption pressure is applied as probability redistribution:</w:t>
      </w:r>
    </w:p>
    <w:p>
      <w:pPr>
        <w:shd w:fill="F5F5F0" w:val="clear"/>
        <w:spacing w:after="120" w:before="120"/>
        <w:jc w:val="center"/>
      </w:pPr>
      <w:r>
        <w:rPr>
          <w:rFonts w:ascii="Consolas" w:cs="Consolas" w:eastAsia="Consolas" w:hAnsi="Consolas"/>
          <w:color w:val="1A1A2E"/>
          <w:sz w:val="20"/>
          <w:szCs w:val="20"/>
        </w:rPr>
        <w:t xml:space="preserve">For states better than current: moved = row[s] * compounded * 0.7 * 0.5</w:t>
      </w:r>
    </w:p>
    <w:p>
      <w:pPr>
        <w:shd w:fill="F5F5F0" w:val="clear"/>
        <w:spacing w:after="120" w:before="120"/>
        <w:jc w:val="center"/>
      </w:pPr>
      <w:r>
        <w:rPr>
          <w:rFonts w:ascii="Consolas" w:cs="Consolas" w:eastAsia="Consolas" w:hAnsi="Consolas"/>
          <w:color w:val="1A1A2E"/>
          <w:sz w:val="20"/>
          <w:szCs w:val="20"/>
        </w:rPr>
        <w:t xml:space="preserve">For current state: moved = row[current] * compounded * 0.7 * 0.3</w:t>
      </w:r>
    </w:p>
    <w:p>
      <w:pPr>
        <w:spacing w:after="160" w:before="0"/>
      </w:pPr>
      <w:r>
        <w:rPr>
          <w:rFonts w:ascii="Aptos" w:cs="Aptos" w:eastAsia="Aptos" w:hAnsi="Aptos"/>
          <w:color w:val="333333"/>
          <w:sz w:val="21"/>
          <w:szCs w:val="21"/>
        </w:rPr>
        <w:t xml:space="preserve">The moved probability mass is distributed to states worse than the current state, weighted by distance. This produces a skewed push: the system is more likely to degrade one step than to jump multiple steps in a single year.</w:t>
      </w:r>
    </w:p>
    <w:p>
      <w:pPr>
        <w:pStyle w:val="Heading2"/>
      </w:pPr>
      <w:r>
        <w:t xml:space="preserve">4.3 Recovery Suppression</w:t>
      </w:r>
    </w:p>
    <w:p>
      <w:pPr>
        <w:spacing w:after="160" w:before="0"/>
      </w:pPr>
      <w:r>
        <w:rPr>
          <w:rFonts w:ascii="Aptos" w:cs="Aptos" w:eastAsia="Aptos" w:hAnsi="Aptos"/>
          <w:color w:val="333333"/>
          <w:sz w:val="21"/>
          <w:szCs w:val="21"/>
        </w:rPr>
        <w:t xml:space="preserve">Two mechanisms suppress upward (recovery) transitions:</w:t>
      </w:r>
    </w:p>
    <w:p>
      <w:pPr>
        <w:spacing w:after="160" w:before="0"/>
      </w:pPr>
      <w:r>
        <w:rPr>
          <w:rFonts w:ascii="Aptos" w:cs="Aptos" w:eastAsia="Aptos" w:hAnsi="Aptos"/>
          <w:b/>
          <w:bCs/>
          <w:color w:val="333333"/>
          <w:sz w:val="21"/>
          <w:szCs w:val="21"/>
        </w:rPr>
        <w:t xml:space="preserve">Active event suppression: </w:t>
      </w:r>
      <w:r>
        <w:rPr>
          <w:rFonts w:ascii="Aptos" w:cs="Aptos" w:eastAsia="Aptos" w:hAnsi="Aptos"/>
          <w:color w:val="333333"/>
          <w:sz w:val="21"/>
          <w:szCs w:val="21"/>
        </w:rPr>
        <w:t xml:space="preserve">Each active event with recovery=true contributes 0.15 to recovery suppression. Three active recoverable events produce 0.45 suppression, reducing upward transition probabilities by 45%.</w:t>
      </w:r>
    </w:p>
    <w:p>
      <w:pPr>
        <w:spacing w:after="160" w:before="0"/>
      </w:pPr>
      <w:r>
        <w:rPr>
          <w:rFonts w:ascii="Aptos" w:cs="Aptos" w:eastAsia="Aptos" w:hAnsi="Aptos"/>
          <w:b/>
          <w:bCs/>
          <w:color w:val="333333"/>
          <w:sz w:val="21"/>
          <w:szCs w:val="21"/>
        </w:rPr>
        <w:t xml:space="preserve">Path-dependent degradation: </w:t>
      </w:r>
      <w:r>
        <w:rPr>
          <w:rFonts w:ascii="Aptos" w:cs="Aptos" w:eastAsia="Aptos" w:hAnsi="Aptos"/>
          <w:color w:val="333333"/>
          <w:sz w:val="21"/>
          <w:szCs w:val="21"/>
        </w:rPr>
        <w:t xml:space="preserve">Time spent in stressed states (Severe Disruption or worse) accumulates a degradation term:</w:t>
      </w:r>
    </w:p>
    <w:p>
      <w:pPr>
        <w:shd w:fill="F5F5F0" w:val="clear"/>
        <w:spacing w:after="120" w:before="120"/>
        <w:jc w:val="center"/>
      </w:pPr>
      <w:r>
        <w:rPr>
          <w:rFonts w:ascii="Consolas" w:cs="Consolas" w:eastAsia="Consolas" w:hAnsi="Consolas"/>
          <w:color w:val="1A1A2E"/>
          <w:sz w:val="20"/>
          <w:szCs w:val="20"/>
        </w:rPr>
        <w:t xml:space="preserve">timeInStress += 1.0 per year in state &gt;= 2    (decreases by 0.5 per year in state &lt; 2)</w:t>
      </w:r>
    </w:p>
    <w:p>
      <w:pPr>
        <w:shd w:fill="F5F5F0" w:val="clear"/>
        <w:spacing w:after="120" w:before="120"/>
        <w:jc w:val="center"/>
      </w:pPr>
      <w:r>
        <w:rPr>
          <w:rFonts w:ascii="Consolas" w:cs="Consolas" w:eastAsia="Consolas" w:hAnsi="Consolas"/>
          <w:color w:val="1A1A2E"/>
          <w:sz w:val="20"/>
          <w:szCs w:val="20"/>
        </w:rPr>
        <w:t xml:space="preserve">recoveryDegradation = min(0.6, timeInStress * 0.08)</w:t>
      </w:r>
    </w:p>
    <w:p>
      <w:pPr>
        <w:spacing w:after="160" w:before="0"/>
      </w:pPr>
      <w:r>
        <w:rPr>
          <w:rFonts w:ascii="Aptos" w:cs="Aptos" w:eastAsia="Aptos" w:hAnsi="Aptos"/>
          <w:color w:val="333333"/>
          <w:sz w:val="21"/>
          <w:szCs w:val="21"/>
        </w:rPr>
        <w:t xml:space="preserve">Total recovery suppression = min(0.8, activeEventSuppression + recoveryDegradation). This suppression is applied to all upward transition probabilities, with the removed mass transferred to the next-worse state.</w:t>
      </w:r>
    </w:p>
    <w:p>
      <w:pPr>
        <w:spacing w:after="140" w:before="60"/>
        <w:ind w:left="360"/>
      </w:pPr>
      <w:r>
        <w:rPr>
          <w:rFonts w:ascii="Aptos" w:cs="Aptos" w:eastAsia="Aptos" w:hAnsi="Aptos"/>
          <w:i/>
          <w:iCs/>
          <w:color w:val="666666"/>
          <w:sz w:val="19"/>
          <w:szCs w:val="19"/>
        </w:rPr>
        <w:t xml:space="preserve">The 0.08 per year accumulation and 0.6 cap are design choices. They produce the following profile: after 5 years of continuous stress, recovery degradation reaches 0.40 (severe). After 7.5 years, it caps at 0.60 (near-permanent). This creates the persistence trap: extended time in stressed states makes recovery progressively less likely, even if the original disruption events resolve.</w:t>
      </w:r>
    </w:p>
    <w:p>
      <w:pPr>
        <w:pStyle w:val="Heading2"/>
      </w:pPr>
      <w:r>
        <w:t xml:space="preserve">4.4 Stabilization Push</w:t>
      </w:r>
    </w:p>
    <w:p>
      <w:pPr>
        <w:spacing w:after="160" w:before="0"/>
      </w:pPr>
      <w:r>
        <w:rPr>
          <w:rFonts w:ascii="Aptos" w:cs="Aptos" w:eastAsia="Aptos" w:hAnsi="Aptos"/>
          <w:color w:val="333333"/>
          <w:sz w:val="21"/>
          <w:szCs w:val="21"/>
        </w:rPr>
        <w:t xml:space="preserve">Active stabilizing vectors shift probability mass upward:</w:t>
      </w:r>
    </w:p>
    <w:p>
      <w:pPr>
        <w:shd w:fill="F5F5F0" w:val="clear"/>
        <w:spacing w:after="120" w:before="120"/>
        <w:jc w:val="center"/>
      </w:pPr>
      <w:r>
        <w:rPr>
          <w:rFonts w:ascii="Consolas" w:cs="Consolas" w:eastAsia="Consolas" w:hAnsi="Consolas"/>
          <w:color w:val="1A1A2E"/>
          <w:sz w:val="20"/>
          <w:szCs w:val="20"/>
        </w:rPr>
        <w:t xml:space="preserve">For states worse than current: moved = row[s] * stabilP * 0.5 * 0.3</w:t>
      </w:r>
    </w:p>
    <w:p>
      <w:pPr>
        <w:shd w:fill="F5F5F0" w:val="clear"/>
        <w:spacing w:after="120" w:before="120"/>
        <w:jc w:val="center"/>
      </w:pPr>
      <w:r>
        <w:rPr>
          <w:rFonts w:ascii="Consolas" w:cs="Consolas" w:eastAsia="Consolas" w:hAnsi="Consolas"/>
          <w:color w:val="1A1A2E"/>
          <w:sz w:val="20"/>
          <w:szCs w:val="20"/>
        </w:rPr>
        <w:t xml:space="preserve">For current state: boost = row[current] * stabilP * 0.5 * 0.2</w:t>
      </w:r>
    </w:p>
    <w:p>
      <w:pPr>
        <w:spacing w:after="160" w:before="0"/>
      </w:pPr>
      <w:r>
        <w:rPr>
          <w:rFonts w:ascii="Aptos" w:cs="Aptos" w:eastAsia="Aptos" w:hAnsi="Aptos"/>
          <w:color w:val="333333"/>
          <w:sz w:val="21"/>
          <w:szCs w:val="21"/>
        </w:rPr>
        <w:t xml:space="preserve">The moved mass is redistributed one state better. The coefficients (0.3, 0.2) are lower than the disruption coefficients (0.5, 0.3), encoding the asymmetry principle.</w:t>
      </w:r>
    </w:p>
    <w:p>
      <w:pPr>
        <w:pStyle w:val="Heading2"/>
      </w:pPr>
      <w:r>
        <w:t xml:space="preserve">4.5 Normalization</w:t>
      </w:r>
    </w:p>
    <w:p>
      <w:pPr>
        <w:spacing w:after="160" w:before="0"/>
      </w:pPr>
      <w:r>
        <w:rPr>
          <w:rFonts w:ascii="Aptos" w:cs="Aptos" w:eastAsia="Aptos" w:hAnsi="Aptos"/>
          <w:color w:val="333333"/>
          <w:sz w:val="21"/>
          <w:szCs w:val="21"/>
        </w:rPr>
        <w:t xml:space="preserve">After all modifications, the row is normalized so probabilities sum to 1.0, and any negative values are clamped to zero. State transition is then sampled from this modified distribution.</w:t>
      </w:r>
    </w:p>
    <w:p>
      <w:r>
        <w:br w:type="page"/>
      </w:r>
    </w:p>
    <w:p>
      <w:pPr>
        <w:pStyle w:val="Heading1"/>
      </w:pPr>
      <w:r>
        <w:t xml:space="preserve">5. Substrate Health Index</w:t>
      </w:r>
    </w:p>
    <w:p>
      <w:pPr>
        <w:spacing w:after="160" w:before="0"/>
      </w:pPr>
      <w:r>
        <w:rPr>
          <w:rFonts w:ascii="Aptos" w:cs="Aptos" w:eastAsia="Aptos" w:hAnsi="Aptos"/>
          <w:color w:val="333333"/>
          <w:sz w:val="21"/>
          <w:szCs w:val="21"/>
        </w:rPr>
        <w:t xml:space="preserve">The Substrate Health Index tracks the cumulative condition of the institutional, ecological, and governance infrastructure beneath the financial system. It starts at 100 and evolves each year:</w:t>
      </w:r>
    </w:p>
    <w:p>
      <w:pPr>
        <w:shd w:fill="F5F5F0" w:val="clear"/>
        <w:spacing w:after="120" w:before="120"/>
        <w:jc w:val="center"/>
      </w:pPr>
      <w:r>
        <w:rPr>
          <w:rFonts w:ascii="Consolas" w:cs="Consolas" w:eastAsia="Consolas" w:hAnsi="Consolas"/>
          <w:color w:val="1A1A2E"/>
          <w:sz w:val="20"/>
          <w:szCs w:val="20"/>
        </w:rPr>
        <w:t xml:space="preserve">subHealth(t) = subHealth(t-1) - damage + recovery + stateAdjustment</w:t>
      </w:r>
    </w:p>
    <w:p>
      <w:pPr>
        <w:spacing w:after="160" w:before="0"/>
      </w:pPr>
      <w:r>
        <w:rPr>
          <w:rFonts w:ascii="Aptos" w:cs="Aptos" w:eastAsia="Aptos" w:hAnsi="Aptos"/>
          <w:color w:val="333333"/>
          <w:sz w:val="21"/>
          <w:szCs w:val="21"/>
        </w:rPr>
        <w:t xml:space="preserve">Where:</w:t>
      </w:r>
    </w:p>
    <w:p>
      <w:pPr>
        <w:shd w:fill="F5F5F0" w:val="clear"/>
        <w:spacing w:after="120" w:before="120"/>
        <w:jc w:val="center"/>
      </w:pPr>
      <w:r>
        <w:rPr>
          <w:rFonts w:ascii="Consolas" w:cs="Consolas" w:eastAsia="Consolas" w:hAnsi="Consolas"/>
          <w:color w:val="1A1A2E"/>
          <w:sz w:val="20"/>
          <w:szCs w:val="20"/>
        </w:rPr>
        <w:t xml:space="preserve">damage = compoundedPressure * 8 + EROI_pressure * 5</w:t>
      </w:r>
    </w:p>
    <w:p>
      <w:pPr>
        <w:shd w:fill="F5F5F0" w:val="clear"/>
        <w:spacing w:after="120" w:before="120"/>
        <w:jc w:val="center"/>
      </w:pPr>
      <w:r>
        <w:rPr>
          <w:rFonts w:ascii="Consolas" w:cs="Consolas" w:eastAsia="Consolas" w:hAnsi="Consolas"/>
          <w:color w:val="1A1A2E"/>
          <w:sz w:val="20"/>
          <w:szCs w:val="20"/>
        </w:rPr>
        <w:t xml:space="preserve">recovery = stabilizationPressure * 6</w:t>
      </w:r>
    </w:p>
    <w:p>
      <w:pPr>
        <w:shd w:fill="F5F5F0" w:val="clear"/>
        <w:spacing w:after="120" w:before="120"/>
        <w:jc w:val="center"/>
      </w:pPr>
      <w:r>
        <w:rPr>
          <w:rFonts w:ascii="Consolas" w:cs="Consolas" w:eastAsia="Consolas" w:hAnsi="Consolas"/>
          <w:color w:val="1A1A2E"/>
          <w:sz w:val="20"/>
          <w:szCs w:val="20"/>
        </w:rPr>
        <w:t xml:space="preserve">stateAdjustment = +0.5 (if state &lt;= 1) or -0.5 (if state &gt;= 2)</w:t>
      </w:r>
    </w:p>
    <w:p>
      <w:pPr>
        <w:spacing w:after="160" w:before="0"/>
      </w:pPr>
      <w:r>
        <w:rPr>
          <w:rFonts w:ascii="Aptos" w:cs="Aptos" w:eastAsia="Aptos" w:hAnsi="Aptos"/>
          <w:color w:val="333333"/>
          <w:sz w:val="21"/>
          <w:szCs w:val="21"/>
        </w:rPr>
        <w:t xml:space="preserve">The index is bounded [0, 100]. It does not feed back into the transition matrix directly (the transition modifications described above handle that), but it serves three functions:</w:t>
      </w:r>
    </w:p>
    <w:p>
      <w:pPr>
        <w:spacing w:after="160" w:before="0"/>
      </w:pPr>
      <w:r>
        <w:rPr>
          <w:rFonts w:ascii="Aptos" w:cs="Aptos" w:eastAsia="Aptos" w:hAnsi="Aptos"/>
          <w:b/>
          <w:bCs/>
          <w:color w:val="333333"/>
          <w:sz w:val="21"/>
          <w:szCs w:val="21"/>
        </w:rPr>
        <w:t xml:space="preserve">1. Visual diagnostic: </w:t>
      </w:r>
      <w:r>
        <w:rPr>
          <w:rFonts w:ascii="Aptos" w:cs="Aptos" w:eastAsia="Aptos" w:hAnsi="Aptos"/>
          <w:color w:val="333333"/>
          <w:sz w:val="21"/>
          <w:szCs w:val="21"/>
        </w:rPr>
        <w:t xml:space="preserve">It makes the invisible substrate visible. Users can watch institutional capacity degrade even when the headline state distribution looks manageable.</w:t>
      </w:r>
    </w:p>
    <w:p>
      <w:pPr>
        <w:spacing w:after="160" w:before="0"/>
      </w:pPr>
      <w:r>
        <w:rPr>
          <w:rFonts w:ascii="Aptos" w:cs="Aptos" w:eastAsia="Aptos" w:hAnsi="Aptos"/>
          <w:b/>
          <w:bCs/>
          <w:color w:val="333333"/>
          <w:sz w:val="21"/>
          <w:szCs w:val="21"/>
        </w:rPr>
        <w:t xml:space="preserve">2. Portfolio feedback: </w:t>
      </w:r>
      <w:r>
        <w:rPr>
          <w:rFonts w:ascii="Aptos" w:cs="Aptos" w:eastAsia="Aptos" w:hAnsi="Aptos"/>
          <w:color w:val="333333"/>
          <w:sz w:val="21"/>
          <w:szCs w:val="21"/>
        </w:rPr>
        <w:t xml:space="preserve">Formation Capital receives a +1% annual bonus when substrate health is above 60, and a -1% penalty when below 30. This is small but structurally meaningful: it encodes the insight that formation capital performs better when the substrate it invests in is improving.</w:t>
      </w:r>
    </w:p>
    <w:p>
      <w:pPr>
        <w:spacing w:after="160" w:before="0"/>
      </w:pPr>
      <w:r>
        <w:rPr>
          <w:rFonts w:ascii="Aptos" w:cs="Aptos" w:eastAsia="Aptos" w:hAnsi="Aptos"/>
          <w:b/>
          <w:bCs/>
          <w:color w:val="333333"/>
          <w:sz w:val="21"/>
          <w:szCs w:val="21"/>
        </w:rPr>
        <w:t xml:space="preserve">3. Cascade threshold: </w:t>
      </w:r>
      <w:r>
        <w:rPr>
          <w:rFonts w:ascii="Aptos" w:cs="Aptos" w:eastAsia="Aptos" w:hAnsi="Aptos"/>
          <w:color w:val="333333"/>
          <w:sz w:val="21"/>
          <w:szCs w:val="21"/>
        </w:rPr>
        <w:t xml:space="preserve">When the index falls below 50, the institutional cascade model (Section 7) suggests that cascade dynamics become the central risk rather than a tail risk.</w:t>
      </w:r>
    </w:p>
    <w:p>
      <w:pPr>
        <w:pStyle w:val="Heading1"/>
      </w:pPr>
      <w:r>
        <w:t xml:space="preserve">6. Portfolio Model</w:t>
      </w:r>
    </w:p>
    <w:p>
      <w:pPr>
        <w:spacing w:after="160" w:before="0"/>
      </w:pPr>
      <w:r>
        <w:rPr>
          <w:rFonts w:ascii="Aptos" w:cs="Aptos" w:eastAsia="Aptos" w:hAnsi="Aptos"/>
          <w:color w:val="333333"/>
          <w:sz w:val="21"/>
          <w:szCs w:val="21"/>
        </w:rPr>
        <w:t xml:space="preserve">Three portfolio archetypes are tracked across all simulations, starting at $100M. Annual returns are determined by the world-state plus noise:</w:t>
      </w:r>
    </w:p>
    <w:p>
      <w:pPr>
        <w:shd w:fill="F5F5F0" w:val="clear"/>
        <w:spacing w:after="120" w:before="120"/>
        <w:jc w:val="center"/>
      </w:pPr>
      <w:r>
        <w:rPr>
          <w:rFonts w:ascii="Consolas" w:cs="Consolas" w:eastAsia="Consolas" w:hAnsi="Consolas"/>
          <w:color w:val="1A1A2E"/>
          <w:sz w:val="20"/>
          <w:szCs w:val="20"/>
        </w:rPr>
        <w:t xml:space="preserve">Portfolio(t) = Portfolio(t-1) * (1 + Return[state] + noise)</w:t>
      </w:r>
    </w:p>
    <w:p>
      <w:pPr>
        <w:spacing w:after="160" w:before="0"/>
      </w:pPr>
      <w:r>
        <w:rPr>
          <w:rFonts w:ascii="Aptos" w:cs="Aptos" w:eastAsia="Aptos" w:hAnsi="Aptos"/>
          <w:color w:val="333333"/>
          <w:sz w:val="21"/>
          <w:szCs w:val="21"/>
        </w:rPr>
        <w:t xml:space="preserve">Where noise is uniform on [-0.03, +0.03], providing ±3% annual randomness independent of state. The state-dependent return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52"/>
        <w:gridCol w:w="1352"/>
        <w:gridCol w:w="1352"/>
        <w:gridCol w:w="1352"/>
        <w:gridCol w:w="1352"/>
      </w:tblGrid>
      <w:tr>
        <w:tc>
          <w:tcPr>
            <w:tcW w:type="dxa" w:w="2600"/>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Strategy</w:t>
            </w:r>
          </w:p>
        </w:tc>
        <w:tc>
          <w:tcPr>
            <w:tcW w:type="dxa" w:w="1352"/>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Stable</w:t>
            </w:r>
          </w:p>
        </w:tc>
        <w:tc>
          <w:tcPr>
            <w:tcW w:type="dxa" w:w="1352"/>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Managed</w:t>
            </w:r>
          </w:p>
        </w:tc>
        <w:tc>
          <w:tcPr>
            <w:tcW w:type="dxa" w:w="1352"/>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Severe</w:t>
            </w:r>
          </w:p>
        </w:tc>
        <w:tc>
          <w:tcPr>
            <w:tcW w:type="dxa" w:w="1352"/>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Crisis</w:t>
            </w:r>
          </w:p>
        </w:tc>
        <w:tc>
          <w:tcPr>
            <w:tcW w:type="dxa" w:w="1352"/>
            <w:tcBorders>
              <w:top w:val="single" w:color="CCCCCC" w:sz="1"/>
              <w:left w:val="single" w:color="CCCCCC" w:sz="1"/>
              <w:bottom w:val="single" w:color="CCCCCC" w:sz="1"/>
              <w:right w:val="single" w:color="CCCCCC" w:sz="1"/>
            </w:tcBorders>
            <w:shd w:fill="0D7377" w:val="clear"/>
            <w:tcMar>
              <w:top w:type="dxa" w:w="60"/>
              <w:left w:type="dxa" w:w="100"/>
              <w:bottom w:type="dxa" w:w="60"/>
              <w:right w:type="dxa" w:w="100"/>
            </w:tcMar>
          </w:tcPr>
          <w:p>
            <w:pPr>
              <w:spacing w:after="0"/>
            </w:pPr>
            <w:r>
              <w:rPr>
                <w:rFonts w:ascii="Aptos" w:cs="Aptos" w:eastAsia="Aptos" w:hAnsi="Aptos"/>
                <w:b/>
                <w:bCs/>
                <w:color w:val="FFFFFF"/>
                <w:sz w:val="18"/>
                <w:szCs w:val="18"/>
              </w:rPr>
              <w:t xml:space="preserve">Civ. Stress</w:t>
            </w:r>
          </w:p>
        </w:tc>
      </w:tr>
      <w:tr>
        <w:tc>
          <w:tcPr>
            <w:tcW w:type="dxa" w:w="26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Conventional Portfolio</w:t>
            </w:r>
          </w:p>
        </w:tc>
        <w:tc>
          <w:tcPr>
            <w:tcW w:type="dxa" w:w="135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+7%</w:t>
            </w:r>
          </w:p>
        </w:tc>
        <w:tc>
          <w:tcPr>
            <w:tcW w:type="dxa" w:w="135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+2%</w:t>
            </w:r>
          </w:p>
        </w:tc>
        <w:tc>
          <w:tcPr>
            <w:tcW w:type="dxa" w:w="135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-10%</w:t>
            </w:r>
          </w:p>
        </w:tc>
        <w:tc>
          <w:tcPr>
            <w:tcW w:type="dxa" w:w="135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-28%</w:t>
            </w:r>
          </w:p>
        </w:tc>
        <w:tc>
          <w:tcPr>
            <w:tcW w:type="dxa" w:w="135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-50%</w:t>
            </w:r>
          </w:p>
        </w:tc>
      </w:tr>
      <w:tr>
        <w:tc>
          <w:tcPr>
            <w:tcW w:type="dxa" w:w="26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Aptos" w:cs="Aptos" w:eastAsia="Aptos" w:hAnsi="Aptos"/>
                <w:color w:val="333333"/>
                <w:sz w:val="18"/>
                <w:szCs w:val="18"/>
              </w:rPr>
              <w:t xml:space="preserve">Resilient Real Assets</w:t>
            </w:r>
          </w:p>
        </w:tc>
        <w:tc>
          <w:tcPr>
            <w:tcW w:type="dxa" w:w="1352"/>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+5%</w:t>
            </w:r>
          </w:p>
        </w:tc>
        <w:tc>
          <w:tcPr>
            <w:tcW w:type="dxa" w:w="1352"/>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+6%</w:t>
            </w:r>
          </w:p>
        </w:tc>
        <w:tc>
          <w:tcPr>
            <w:tcW w:type="dxa" w:w="1352"/>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+2%</w:t>
            </w:r>
          </w:p>
        </w:tc>
        <w:tc>
          <w:tcPr>
            <w:tcW w:type="dxa" w:w="1352"/>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-8%</w:t>
            </w:r>
          </w:p>
        </w:tc>
        <w:tc>
          <w:tcPr>
            <w:tcW w:type="dxa" w:w="1352"/>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pPr>
            <w:r>
              <w:rPr>
                <w:rFonts w:ascii="Consolas" w:cs="Consolas" w:eastAsia="Consolas" w:hAnsi="Consolas"/>
                <w:color w:val="0D7377"/>
                <w:sz w:val="17"/>
                <w:szCs w:val="17"/>
              </w:rPr>
              <w:t xml:space="preserve">-20%</w:t>
            </w:r>
          </w:p>
        </w:tc>
      </w:tr>
      <w:tr>
        <w:tc>
          <w:tcPr>
            <w:tcW w:type="dxa" w:w="2600"/>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Aptos" w:cs="Aptos" w:eastAsia="Aptos" w:hAnsi="Aptos"/>
                <w:color w:val="333333"/>
                <w:sz w:val="18"/>
                <w:szCs w:val="18"/>
              </w:rPr>
              <w:t xml:space="preserve">Formation Capital</w:t>
            </w:r>
          </w:p>
        </w:tc>
        <w:tc>
          <w:tcPr>
            <w:tcW w:type="dxa" w:w="135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+4%</w:t>
            </w:r>
          </w:p>
        </w:tc>
        <w:tc>
          <w:tcPr>
            <w:tcW w:type="dxa" w:w="135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+8%</w:t>
            </w:r>
          </w:p>
        </w:tc>
        <w:tc>
          <w:tcPr>
            <w:tcW w:type="dxa" w:w="135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+10%</w:t>
            </w:r>
          </w:p>
        </w:tc>
        <w:tc>
          <w:tcPr>
            <w:tcW w:type="dxa" w:w="135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+3%</w:t>
            </w:r>
          </w:p>
        </w:tc>
        <w:tc>
          <w:tcPr>
            <w:tcW w:type="dxa" w:w="1352"/>
            <w:tcBorders>
              <w:top w:val="single" w:color="CCCCCC" w:sz="1"/>
              <w:left w:val="single" w:color="CCCCCC" w:sz="1"/>
              <w:bottom w:val="single" w:color="CCCCCC" w:sz="1"/>
              <w:right w:val="single" w:color="CCCCCC" w:sz="1"/>
            </w:tcBorders>
            <w:shd w:fill="F0F4F8" w:val="clear"/>
            <w:tcMar>
              <w:top w:type="dxa" w:w="50"/>
              <w:left w:type="dxa" w:w="100"/>
              <w:bottom w:type="dxa" w:w="50"/>
              <w:right w:type="dxa" w:w="100"/>
            </w:tcMar>
          </w:tcPr>
          <w:p>
            <w:pPr>
              <w:spacing w:after="0"/>
            </w:pPr>
            <w:r>
              <w:rPr>
                <w:rFonts w:ascii="Consolas" w:cs="Consolas" w:eastAsia="Consolas" w:hAnsi="Consolas"/>
                <w:color w:val="0D7377"/>
                <w:sz w:val="17"/>
                <w:szCs w:val="17"/>
              </w:rPr>
              <w:t xml:space="preserve">-8%</w:t>
            </w:r>
          </w:p>
        </w:tc>
      </w:tr>
    </w:tbl>
    <w:p>
      <w:pPr>
        <w:spacing w:after="160" w:before="0"/>
      </w:pPr>
      <w:r>
        <w:rPr>
          <w:rFonts w:ascii="Aptos" w:cs="Aptos" w:eastAsia="Aptos" w:hAnsi="Aptos"/>
          <w:color w:val="333333"/>
          <w:sz w:val="21"/>
          <w:szCs w:val="21"/>
        </w:rPr>
        <w:t xml:space="preserve"/>
      </w:r>
    </w:p>
    <w:p>
      <w:pPr>
        <w:spacing w:after="140" w:before="60"/>
        <w:ind w:left="360"/>
      </w:pPr>
      <w:r>
        <w:rPr>
          <w:rFonts w:ascii="Aptos" w:cs="Aptos" w:eastAsia="Aptos" w:hAnsi="Aptos"/>
          <w:i/>
          <w:iCs/>
          <w:color w:val="666666"/>
          <w:sz w:val="19"/>
          <w:szCs w:val="19"/>
        </w:rPr>
        <w:t xml:space="preserve">These returns are illustrative, not predictive. The key structural insight is the sign pattern: conventional portfolios are positively correlated with institutional stability (they perform well when the world is stable and collapse when it isn't). Formation capital is negatively correlated with institutional failure (it performs better in stressed states because the infrastructure it builds becomes more valuable). This divergence at the 10th percentile is where the allocation argument lives.</w:t>
      </w:r>
    </w:p>
    <w:p>
      <w:pPr>
        <w:pStyle w:val="Heading1"/>
      </w:pPr>
      <w:r>
        <w:t xml:space="preserve">8. Interface Transparency</w:t>
      </w:r>
    </w:p>
    <w:p>
      <w:pPr>
        <w:spacing w:after="160" w:before="0"/>
      </w:pPr>
      <w:r>
        <w:rPr>
          <w:rFonts w:ascii="Aptos" w:cs="Aptos" w:eastAsia="Aptos" w:hAnsi="Aptos"/>
          <w:color w:val="333333"/>
          <w:sz w:val="21"/>
          <w:szCs w:val="21"/>
        </w:rPr>
        <w:t xml:space="preserve">Each control in the interface provides two layers of explanation:</w:t>
      </w:r>
    </w:p>
    <w:p>
      <w:pPr>
        <w:spacing w:after="160" w:before="0"/>
      </w:pPr>
      <w:r>
        <w:rPr>
          <w:rFonts w:ascii="Aptos" w:cs="Aptos" w:eastAsia="Aptos" w:hAnsi="Aptos"/>
          <w:b/>
          <w:bCs/>
          <w:color w:val="333333"/>
          <w:sz w:val="21"/>
          <w:szCs w:val="21"/>
        </w:rPr>
        <w:t xml:space="preserve">Definition ("What is this?"): </w:t>
      </w:r>
      <w:r>
        <w:rPr>
          <w:rFonts w:ascii="Aptos" w:cs="Aptos" w:eastAsia="Aptos" w:hAnsi="Aptos"/>
          <w:color w:val="333333"/>
          <w:sz w:val="21"/>
          <w:szCs w:val="21"/>
        </w:rPr>
        <w:t xml:space="preserve">A plain-English description of what the vector encompasses, what it measures, and why it matters.</w:t>
      </w:r>
    </w:p>
    <w:p>
      <w:pPr>
        <w:spacing w:after="160" w:before="0"/>
      </w:pPr>
      <w:r>
        <w:rPr>
          <w:rFonts w:ascii="Aptos" w:cs="Aptos" w:eastAsia="Aptos" w:hAnsi="Aptos"/>
          <w:b/>
          <w:bCs/>
          <w:color w:val="333333"/>
          <w:sz w:val="21"/>
          <w:szCs w:val="21"/>
        </w:rPr>
        <w:t xml:space="preserve">Dynamic interpretation ("What does my setting mean?"): </w:t>
      </w:r>
      <w:r>
        <w:rPr>
          <w:rFonts w:ascii="Aptos" w:cs="Aptos" w:eastAsia="Aptos" w:hAnsi="Aptos"/>
          <w:color w:val="333333"/>
          <w:sz w:val="21"/>
          <w:szCs w:val="21"/>
        </w:rPr>
        <w:t xml:space="preserve">A real-time description that updates as the user moves the slider, stating exactly what the current value implies in the model's mechanics: the cumulative probability over the peak window, the persistence duration if the event fires, and the disruption magnitude.</w:t>
      </w:r>
    </w:p>
    <w:p>
      <w:pPr>
        <w:spacing w:after="160" w:before="0"/>
      </w:pPr>
      <w:r>
        <w:rPr>
          <w:rFonts w:ascii="Aptos" w:cs="Aptos" w:eastAsia="Aptos" w:hAnsi="Aptos"/>
          <w:color w:val="333333"/>
          <w:sz w:val="21"/>
          <w:szCs w:val="21"/>
        </w:rPr>
        <w:t xml:space="preserve">This transparency layer exists because early feedback identified a critical ambiguity: users saw a percentage on a slider but did not know what that percentage represented. A slider labeled "AI Displacement: 55%" could mean 55% annual probability, 55% of jobs displaced, or 55% cumulative probability over a window. The answer (cumulative probability over the peak window, distributed across individual years) is now stated explicitly for every vector at every setting.</w:t>
      </w:r>
    </w:p>
    <w:p>
      <w:pPr>
        <w:spacing w:after="160" w:before="0"/>
      </w:pPr>
      <w:r>
        <w:rPr>
          <w:rFonts w:ascii="Aptos" w:cs="Aptos" w:eastAsia="Aptos" w:hAnsi="Aptos"/>
          <w:color w:val="333333"/>
          <w:sz w:val="21"/>
          <w:szCs w:val="21"/>
        </w:rPr>
        <w:t xml:space="preserve">The three global controls (Starting State, EROI Decline Rate, and Compounding Intensity) receive the same treatment. Each states its definition and provides a dynamic interpretation that updates as the setting changes. The Compounding Intensity control, in particular, shows the user what three simultaneous events would produce at their chosen setting, making the sensitivity directly testable.</w:t>
      </w:r>
    </w:p>
    <w:p>
      <w:pPr>
        <w:pStyle w:val="Heading1"/>
      </w:pPr>
      <w:r>
        <w:t xml:space="preserve">9. Institutional Cascade Model</w:t>
      </w:r>
    </w:p>
    <w:p>
      <w:pPr>
        <w:spacing w:after="160" w:before="0"/>
      </w:pPr>
      <w:r>
        <w:rPr>
          <w:rFonts w:ascii="Aptos" w:cs="Aptos" w:eastAsia="Aptos" w:hAnsi="Aptos"/>
          <w:color w:val="333333"/>
          <w:sz w:val="21"/>
          <w:szCs w:val="21"/>
        </w:rPr>
        <w:t xml:space="preserve">The cascade model is narrative rather than simulated. It provides the conceptual framework for interpreting the simulation results. Five stages of cascading institutional failure applied to a representative $100M portfolio over 30 years:</w:t>
      </w:r>
    </w:p>
    <w:p>
      <w:pPr>
        <w:spacing w:after="160" w:before="0"/>
      </w:pPr>
      <w:r>
        <w:rPr>
          <w:rFonts w:ascii="Aptos" w:cs="Aptos" w:eastAsia="Aptos" w:hAnsi="Aptos"/>
          <w:b/>
          <w:bCs/>
          <w:color w:val="333333"/>
          <w:sz w:val="21"/>
          <w:szCs w:val="21"/>
        </w:rPr>
        <w:t xml:space="preserve">Stage 1 - Physical risk alone (~22% loss): </w:t>
      </w:r>
      <w:r>
        <w:rPr>
          <w:rFonts w:ascii="Aptos" w:cs="Aptos" w:eastAsia="Aptos" w:hAnsi="Aptos"/>
          <w:color w:val="333333"/>
          <w:sz w:val="21"/>
          <w:szCs w:val="21"/>
        </w:rPr>
        <w:t xml:space="preserve">Climate impacts with institutions functioning. Direct damage to physical assets. Insurable, manageable.</w:t>
      </w:r>
    </w:p>
    <w:p>
      <w:pPr>
        <w:spacing w:after="160" w:before="0"/>
      </w:pPr>
      <w:r>
        <w:rPr>
          <w:rFonts w:ascii="Aptos" w:cs="Aptos" w:eastAsia="Aptos" w:hAnsi="Aptos"/>
          <w:b/>
          <w:bCs/>
          <w:color w:val="333333"/>
          <w:sz w:val="21"/>
          <w:szCs w:val="21"/>
        </w:rPr>
        <w:t xml:space="preserve">Stage 2 - Insurance retreat (~33% loss): </w:t>
      </w:r>
      <w:r>
        <w:rPr>
          <w:rFonts w:ascii="Aptos" w:cs="Aptos" w:eastAsia="Aptos" w:hAnsi="Aptos"/>
          <w:color w:val="333333"/>
          <w:sz w:val="21"/>
          <w:szCs w:val="21"/>
        </w:rPr>
        <w:t xml:space="preserve">Insurers withdraw from high-risk geographies. Uninsurable assets lose value. Risk socializes onto public balance sheets.</w:t>
      </w:r>
    </w:p>
    <w:p>
      <w:pPr>
        <w:spacing w:after="160" w:before="0"/>
      </w:pPr>
      <w:r>
        <w:rPr>
          <w:rFonts w:ascii="Aptos" w:cs="Aptos" w:eastAsia="Aptos" w:hAnsi="Aptos"/>
          <w:b/>
          <w:bCs/>
          <w:color w:val="333333"/>
          <w:sz w:val="21"/>
          <w:szCs w:val="21"/>
        </w:rPr>
        <w:t xml:space="preserve">Stage 3 - Municipal fiscal stress (~52% loss): </w:t>
      </w:r>
      <w:r>
        <w:rPr>
          <w:rFonts w:ascii="Aptos" w:cs="Aptos" w:eastAsia="Aptos" w:hAnsi="Aptos"/>
          <w:color w:val="333333"/>
          <w:sz w:val="21"/>
          <w:szCs w:val="21"/>
        </w:rPr>
        <w:t xml:space="preserve">Uninsured infrastructure degrades the tax base. Municipal services contract. Credit ratings deteriorate.</w:t>
      </w:r>
    </w:p>
    <w:p>
      <w:pPr>
        <w:spacing w:after="160" w:before="0"/>
      </w:pPr>
      <w:r>
        <w:rPr>
          <w:rFonts w:ascii="Aptos" w:cs="Aptos" w:eastAsia="Aptos" w:hAnsi="Aptos"/>
          <w:b/>
          <w:bCs/>
          <w:color w:val="333333"/>
          <w:sz w:val="21"/>
          <w:szCs w:val="21"/>
        </w:rPr>
        <w:t xml:space="preserve">Stage 4 - Sovereign contagion (~71% loss): </w:t>
      </w:r>
      <w:r>
        <w:rPr>
          <w:rFonts w:ascii="Aptos" w:cs="Aptos" w:eastAsia="Aptos" w:hAnsi="Aptos"/>
          <w:color w:val="333333"/>
          <w:sz w:val="21"/>
          <w:szCs w:val="21"/>
        </w:rPr>
        <w:t xml:space="preserve">Municipal stress aggregates to sovereign balance sheets. Sovereign credit reprices. Borrowing costs rise across the economy.</w:t>
      </w:r>
    </w:p>
    <w:p>
      <w:pPr>
        <w:spacing w:after="160" w:before="0"/>
      </w:pPr>
      <w:r>
        <w:rPr>
          <w:rFonts w:ascii="Aptos" w:cs="Aptos" w:eastAsia="Aptos" w:hAnsi="Aptos"/>
          <w:b/>
          <w:bCs/>
          <w:color w:val="333333"/>
          <w:sz w:val="21"/>
          <w:szCs w:val="21"/>
        </w:rPr>
        <w:t xml:space="preserve">Stage 5 - Full cascade (~86% loss): </w:t>
      </w:r>
      <w:r>
        <w:rPr>
          <w:rFonts w:ascii="Aptos" w:cs="Aptos" w:eastAsia="Aptos" w:hAnsi="Aptos"/>
          <w:color w:val="333333"/>
          <w:sz w:val="21"/>
          <w:szCs w:val="21"/>
        </w:rPr>
        <w:t xml:space="preserve">Correlated credit repricing across asset classes. Diversification fails. The gap between 22% and 86% is not additional physical risk. It is the cost of institutional entanglement.</w:t>
      </w:r>
    </w:p>
    <w:p>
      <w:r>
        <w:br w:type="page"/>
      </w:r>
    </w:p>
    <w:p>
      <w:pPr>
        <w:pStyle w:val="Heading1"/>
      </w:pPr>
      <w:r>
        <w:t xml:space="preserve">10. Limitations and Open Questions</w:t>
      </w:r>
    </w:p>
    <w:p>
      <w:pPr>
        <w:pStyle w:val="Heading2"/>
      </w:pPr>
      <w:r>
        <w:t xml:space="preserve">10.1 Known Limitations</w:t>
      </w:r>
    </w:p>
    <w:p>
      <w:pPr>
        <w:spacing w:after="160" w:before="0"/>
      </w:pPr>
      <w:r>
        <w:rPr>
          <w:rFonts w:ascii="Aptos" w:cs="Aptos" w:eastAsia="Aptos" w:hAnsi="Aptos"/>
          <w:b/>
          <w:bCs/>
          <w:color w:val="333333"/>
          <w:sz w:val="21"/>
          <w:szCs w:val="21"/>
        </w:rPr>
        <w:t xml:space="preserve">Events fire independently. </w:t>
      </w:r>
      <w:r>
        <w:rPr>
          <w:rFonts w:ascii="Aptos" w:cs="Aptos" w:eastAsia="Aptos" w:hAnsi="Aptos"/>
          <w:color w:val="333333"/>
          <w:sz w:val="21"/>
          <w:szCs w:val="21"/>
        </w:rPr>
        <w:t xml:space="preserve">In reality, conflict amplifies cyber risk, democratic collapse worsens sovereign debt. The correlation matrix partially addresses this but does not implement full causal chains. A Bayesian network or agent-based model could capture this more faithfully.</w:t>
      </w:r>
    </w:p>
    <w:p>
      <w:pPr>
        <w:spacing w:after="160" w:before="0"/>
      </w:pPr>
      <w:r>
        <w:rPr>
          <w:rFonts w:ascii="Aptos" w:cs="Aptos" w:eastAsia="Aptos" w:hAnsi="Aptos"/>
          <w:b/>
          <w:bCs/>
          <w:color w:val="333333"/>
          <w:sz w:val="21"/>
          <w:szCs w:val="21"/>
        </w:rPr>
        <w:t xml:space="preserve">Static base transition matrix. </w:t>
      </w:r>
      <w:r>
        <w:rPr>
          <w:rFonts w:ascii="Aptos" w:cs="Aptos" w:eastAsia="Aptos" w:hAnsi="Aptos"/>
          <w:color w:val="333333"/>
          <w:sz w:val="21"/>
          <w:szCs w:val="21"/>
        </w:rPr>
        <w:t xml:space="preserve">The base matrix does not evolve over the simulation. Recovery capacity may degrade faster than the fixed matrix implies. The recovery degradation function partially compensates.</w:t>
      </w:r>
    </w:p>
    <w:p>
      <w:pPr>
        <w:spacing w:after="160" w:before="0"/>
      </w:pPr>
      <w:r>
        <w:rPr>
          <w:rFonts w:ascii="Aptos" w:cs="Aptos" w:eastAsia="Aptos" w:hAnsi="Aptos"/>
          <w:b/>
          <w:bCs/>
          <w:color w:val="333333"/>
          <w:sz w:val="21"/>
          <w:szCs w:val="21"/>
        </w:rPr>
        <w:t xml:space="preserve">No geographic dimension. </w:t>
      </w:r>
      <w:r>
        <w:rPr>
          <w:rFonts w:ascii="Aptos" w:cs="Aptos" w:eastAsia="Aptos" w:hAnsi="Aptos"/>
          <w:color w:val="333333"/>
          <w:sz w:val="21"/>
          <w:szCs w:val="21"/>
        </w:rPr>
        <w:t xml:space="preserve">The model treats the world as one system. Substrate degradation is uneven across regions. A geographically stratified model would be more realistic but substantially more complex.</w:t>
      </w:r>
    </w:p>
    <w:p>
      <w:pPr>
        <w:spacing w:after="160" w:before="0"/>
      </w:pPr>
      <w:r>
        <w:rPr>
          <w:rFonts w:ascii="Aptos" w:cs="Aptos" w:eastAsia="Aptos" w:hAnsi="Aptos"/>
          <w:b/>
          <w:bCs/>
          <w:color w:val="333333"/>
          <w:sz w:val="21"/>
          <w:szCs w:val="21"/>
        </w:rPr>
        <w:t xml:space="preserve">No portfolio-to-system feedback. </w:t>
      </w:r>
      <w:r>
        <w:rPr>
          <w:rFonts w:ascii="Aptos" w:cs="Aptos" w:eastAsia="Aptos" w:hAnsi="Aptos"/>
          <w:color w:val="333333"/>
          <w:sz w:val="21"/>
          <w:szCs w:val="21"/>
        </w:rPr>
        <w:t xml:space="preserve">In reality, portfolio crashes amplify systemic stress through forced selling, credit contraction, and pension fund failure. The model treats portfolio outcomes as passive measurements.</w:t>
      </w:r>
    </w:p>
    <w:p>
      <w:pPr>
        <w:spacing w:after="160" w:before="0"/>
      </w:pPr>
      <w:r>
        <w:rPr>
          <w:rFonts w:ascii="Aptos" w:cs="Aptos" w:eastAsia="Aptos" w:hAnsi="Aptos"/>
          <w:b/>
          <w:bCs/>
          <w:color w:val="333333"/>
          <w:sz w:val="21"/>
          <w:szCs w:val="21"/>
        </w:rPr>
        <w:t xml:space="preserve">Portfolio returns are simplified. </w:t>
      </w:r>
      <w:r>
        <w:rPr>
          <w:rFonts w:ascii="Aptos" w:cs="Aptos" w:eastAsia="Aptos" w:hAnsi="Aptos"/>
          <w:color w:val="333333"/>
          <w:sz w:val="21"/>
          <w:szCs w:val="21"/>
        </w:rPr>
        <w:t xml:space="preserve">Real performance depends on geographic concentration, sector exposure, leverage, and liquidity. The three archetypes are illustrative.</w:t>
      </w:r>
    </w:p>
    <w:p>
      <w:pPr>
        <w:spacing w:after="160" w:before="0"/>
      </w:pPr>
      <w:r>
        <w:rPr>
          <w:rFonts w:ascii="Aptos" w:cs="Aptos" w:eastAsia="Aptos" w:hAnsi="Aptos"/>
          <w:b/>
          <w:bCs/>
          <w:color w:val="333333"/>
          <w:sz w:val="21"/>
          <w:szCs w:val="21"/>
        </w:rPr>
        <w:t xml:space="preserve">5,000 simulations produce sampling noise. </w:t>
      </w:r>
      <w:r>
        <w:rPr>
          <w:rFonts w:ascii="Aptos" w:cs="Aptos" w:eastAsia="Aptos" w:hAnsi="Aptos"/>
          <w:color w:val="333333"/>
          <w:sz w:val="21"/>
          <w:szCs w:val="21"/>
        </w:rPr>
        <w:t xml:space="preserve">Terminal state probabilities carry approximately ±2-3 percentage points of sampling variation. Re-rolling confirms pattern stability.</w:t>
      </w:r>
    </w:p>
    <w:p>
      <w:pPr>
        <w:pStyle w:val="Heading2"/>
      </w:pPr>
      <w:r>
        <w:t xml:space="preserve">10.2 Open Questions for Technical Review</w:t>
      </w:r>
    </w:p>
    <w:p>
      <w:pPr>
        <w:spacing w:after="160" w:before="0"/>
      </w:pPr>
      <w:r>
        <w:rPr>
          <w:rFonts w:ascii="Aptos" w:cs="Aptos" w:eastAsia="Aptos" w:hAnsi="Aptos"/>
          <w:b/>
          <w:bCs/>
          <w:color w:val="333333"/>
          <w:sz w:val="21"/>
          <w:szCs w:val="21"/>
        </w:rPr>
        <w:t xml:space="preserve">Compounding function: </w:t>
      </w:r>
      <w:r>
        <w:rPr>
          <w:rFonts w:ascii="Aptos" w:cs="Aptos" w:eastAsia="Aptos" w:hAnsi="Aptos"/>
          <w:color w:val="333333"/>
          <w:sz w:val="21"/>
          <w:szCs w:val="21"/>
        </w:rPr>
        <w:t xml:space="preserve">The compounding scale factor is now user-adjustable (0.10 to 0.50). The functional form itself (power law with event-count-dependent exponent) remains fixed. Is there a better functional form from statistical mechanics, percolation theory, or critical phenomena that would be more defensible? The current form was chosen for its mathematical properties (bounded, monotonic, intuitive) rather than derived from first principles.</w:t>
      </w:r>
    </w:p>
    <w:p>
      <w:pPr>
        <w:spacing w:after="160" w:before="0"/>
      </w:pPr>
      <w:r>
        <w:rPr>
          <w:rFonts w:ascii="Aptos" w:cs="Aptos" w:eastAsia="Aptos" w:hAnsi="Aptos"/>
          <w:b/>
          <w:bCs/>
          <w:color w:val="333333"/>
          <w:sz w:val="21"/>
          <w:szCs w:val="21"/>
        </w:rPr>
        <w:t xml:space="preserve">Recovery degradation: </w:t>
      </w:r>
      <w:r>
        <w:rPr>
          <w:rFonts w:ascii="Aptos" w:cs="Aptos" w:eastAsia="Aptos" w:hAnsi="Aptos"/>
          <w:color w:val="333333"/>
          <w:sz w:val="21"/>
          <w:szCs w:val="21"/>
        </w:rPr>
        <w:t xml:space="preserve">Does the linear accumulation with cap (0.08/year, max 0.6) capture the right intuition about path dependence? Complex systems may exhibit threshold behavior rather than linear degradation.</w:t>
      </w:r>
    </w:p>
    <w:p>
      <w:pPr>
        <w:spacing w:after="160" w:before="0"/>
      </w:pPr>
      <w:r>
        <w:rPr>
          <w:rFonts w:ascii="Aptos" w:cs="Aptos" w:eastAsia="Aptos" w:hAnsi="Aptos"/>
          <w:b/>
          <w:bCs/>
          <w:color w:val="333333"/>
          <w:sz w:val="21"/>
          <w:szCs w:val="21"/>
        </w:rPr>
        <w:t xml:space="preserve">Correlation structure: </w:t>
      </w:r>
      <w:r>
        <w:rPr>
          <w:rFonts w:ascii="Aptos" w:cs="Aptos" w:eastAsia="Aptos" w:hAnsi="Aptos"/>
          <w:color w:val="333333"/>
          <w:sz w:val="21"/>
          <w:szCs w:val="21"/>
        </w:rPr>
        <w:t xml:space="preserve">The max-of-pairs approach is conservative. Should the model use a product of applicable multipliers, a correlation matrix with off-diagonal covariances, or a copula-based dependency structure?</w:t>
      </w:r>
    </w:p>
    <w:p>
      <w:pPr>
        <w:spacing w:after="160" w:before="0"/>
      </w:pPr>
      <w:r>
        <w:rPr>
          <w:rFonts w:ascii="Aptos" w:cs="Aptos" w:eastAsia="Aptos" w:hAnsi="Aptos"/>
          <w:b/>
          <w:bCs/>
          <w:color w:val="333333"/>
          <w:sz w:val="21"/>
          <w:szCs w:val="21"/>
        </w:rPr>
        <w:t xml:space="preserve">Transition matrix calibration: </w:t>
      </w:r>
      <w:r>
        <w:rPr>
          <w:rFonts w:ascii="Aptos" w:cs="Aptos" w:eastAsia="Aptos" w:hAnsi="Aptos"/>
          <w:color w:val="333333"/>
          <w:sz w:val="21"/>
          <w:szCs w:val="21"/>
        </w:rPr>
        <w:t xml:space="preserve">The base matrix was constructed from structural assumptions, not fitted to historical data. Could regime-switching models from financial econometrics (Hamilton 1989) provide empirical grounding?</w:t>
      </w:r>
    </w:p>
    <w:p>
      <w:pPr>
        <w:spacing w:after="160" w:before="0"/>
      </w:pPr>
      <w:r>
        <w:rPr>
          <w:rFonts w:ascii="Aptos" w:cs="Aptos" w:eastAsia="Aptos" w:hAnsi="Aptos"/>
          <w:b/>
          <w:bCs/>
          <w:color w:val="333333"/>
          <w:sz w:val="21"/>
          <w:szCs w:val="21"/>
        </w:rPr>
        <w:t xml:space="preserve">EROI functional form: </w:t>
      </w:r>
      <w:r>
        <w:rPr>
          <w:rFonts w:ascii="Aptos" w:cs="Aptos" w:eastAsia="Aptos" w:hAnsi="Aptos"/>
          <w:color w:val="333333"/>
          <w:sz w:val="21"/>
          <w:szCs w:val="21"/>
        </w:rPr>
        <w:t xml:space="preserve">The linear increase over the decade is a simplification. Hall &amp; Klitgaard suggest EROI decline may follow a logistic curve. Would a different functional form produce meaningfully different results?</w:t>
      </w:r>
    </w:p>
    <w:p>
      <w:pPr>
        <w:pStyle w:val="Heading1"/>
      </w:pPr>
      <w:r>
        <w:t xml:space="preserve">11. Source Code Access</w:t>
      </w:r>
    </w:p>
    <w:p>
      <w:pPr>
        <w:spacing w:after="160" w:before="0"/>
      </w:pPr>
      <w:r>
        <w:rPr>
          <w:rFonts w:ascii="Aptos" w:cs="Aptos" w:eastAsia="Aptos" w:hAnsi="Aptos"/>
          <w:color w:val="333333"/>
          <w:sz w:val="21"/>
          <w:szCs w:val="21"/>
        </w:rPr>
        <w:t xml:space="preserve">The complete simulation engine is implemented in engine.js (approximately 200 lines of JavaScript). The source code is readable without specialized tooling and implements every equation described in this document. It is available for inspection at the model's hosted URL or by request.</w:t>
      </w:r>
    </w:p>
    <w:p>
      <w:pPr>
        <w:spacing w:after="160" w:before="0"/>
      </w:pPr>
      <w:r>
        <w:rPr>
          <w:rFonts w:ascii="Aptos" w:cs="Aptos" w:eastAsia="Aptos" w:hAnsi="Aptos"/>
          <w:color w:val="333333"/>
          <w:sz w:val="21"/>
          <w:szCs w:val="21"/>
        </w:rPr>
        <w:t xml:space="preserve">The model requires no installation, no server, and no dependencies beyond Chart.js for visualization. It runs entirely in the browser. This is a deliberate design choice: the model should be as easy to interrogate as it is to use.</w:t>
      </w:r>
    </w:p>
    <w:p>
      <w:pPr>
        <w:pStyle w:val="Heading1"/>
      </w:pPr>
      <w:r>
        <w:t xml:space="preserve">Invitation</w:t>
      </w:r>
    </w:p>
    <w:p>
      <w:pPr>
        <w:spacing w:after="160" w:before="0"/>
      </w:pPr>
      <w:r>
        <w:rPr>
          <w:rFonts w:ascii="Aptos" w:cs="Aptos" w:eastAsia="Aptos" w:hAnsi="Aptos"/>
          <w:color w:val="333333"/>
          <w:sz w:val="21"/>
          <w:szCs w:val="21"/>
        </w:rPr>
        <w:t xml:space="preserve">This document lays bare every assumption, every functional form, and every parameter choice in the model. Some are well-grounded empirically (insurance market data, democratic decline trends). Some are structured judgments (correlation multipliers, compounding exponent). Some are design choices that could be improved (recovery degradation form, EROI functional form).</w:t>
      </w:r>
    </w:p>
    <w:p>
      <w:pPr>
        <w:spacing w:after="160" w:before="0"/>
      </w:pPr>
      <w:r>
        <w:rPr>
          <w:rFonts w:ascii="Aptos" w:cs="Aptos" w:eastAsia="Aptos" w:hAnsi="Aptos"/>
          <w:color w:val="333333"/>
          <w:sz w:val="21"/>
          <w:szCs w:val="21"/>
        </w:rPr>
        <w:t xml:space="preserve">The model is designed to be interrogated, not accepted on authority. If you find an assumption that should change, the sliders let you test the sensitivity immediately. If you find a structural choice that should be different, the engine is 200 lines of readable code. The purpose of this document is to make that interrogation as productive as possible.</w:t>
      </w:r>
    </w:p>
    <w:p>
      <w:pPr>
        <w:spacing w:after="160" w:before="0"/>
      </w:pPr>
      <w:r>
        <w:rPr>
          <w:rFonts w:ascii="Aptos" w:cs="Aptos" w:eastAsia="Aptos" w:hAnsi="Aptos"/>
          <w:color w:val="333333"/>
          <w:sz w:val="21"/>
          <w:szCs w:val="21"/>
        </w:rPr>
        <w:t xml:space="preserve">Feedback, criticism, and alternative parameterizations are actively welcomed.</w:t>
      </w:r>
    </w:p>
    <w:sectPr>
      <w:footerReference w:type="default" r:id="rId7"/>
      <w:pgSz w:w="12240" w:h="15840" w:orient="portrait"/>
      <w:pgMar w:top="126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AAAAA"/>
        <w:sz w:val="16"/>
        <w:szCs w:val="16"/>
      </w:rPr>
      <w:t xml:space="preserve">Systemic Risk Projection Model  |  Technical Documentation  |  </w:t>
    </w:r>
    <w:r>
      <w:rPr>
        <w:rFonts w:ascii="Aptos" w:cs="Aptos" w:eastAsia="Aptos" w:hAnsi="Aptos"/>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ptos" w:cs="Aptos" w:eastAsia="Aptos" w:hAnsi="Aptos"/>
      <w:b/>
      <w:bCs/>
      <w:color w:val="1A1A2E"/>
      <w:sz w:val="30"/>
      <w:szCs w:val="30"/>
    </w:rPr>
  </w:style>
  <w:style w:type="paragraph" w:styleId="Heading2">
    <w:name w:val="Heading 2"/>
    <w:basedOn w:val="Normal"/>
    <w:next w:val="Normal"/>
    <w:qFormat/>
    <w:pPr>
      <w:spacing w:after="120" w:before="240"/>
      <w:outlineLvl w:val="1"/>
    </w:pPr>
    <w:rPr>
      <w:rFonts w:ascii="Aptos" w:cs="Aptos" w:eastAsia="Aptos" w:hAnsi="Aptos"/>
      <w:b/>
      <w:bCs/>
      <w:color w:val="2E4057"/>
      <w:sz w:val="25"/>
      <w:szCs w:val="25"/>
    </w:rPr>
  </w:style>
  <w:style w:type="paragraph" w:styleId="Heading3">
    <w:name w:val="Heading 3"/>
    <w:basedOn w:val="Normal"/>
    <w:next w:val="Normal"/>
    <w:qFormat/>
    <w:pPr>
      <w:spacing w:after="100" w:before="200"/>
      <w:outlineLvl w:val="2"/>
    </w:pPr>
    <w:rPr>
      <w:rFonts w:ascii="Aptos" w:cs="Aptos" w:eastAsia="Aptos" w:hAnsi="Aptos"/>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2026-03-01T00:29:18.279Z</dcterms:created>
  <dcterms:modified xsi:type="dcterms:W3CDTF">2026-03-01T00:29:18.280Z</dcterms:modified>
</cp:coreProperties>
</file>

<file path=docProps/custom.xml><?xml version="1.0" encoding="utf-8"?>
<Properties xmlns="http://schemas.openxmlformats.org/officeDocument/2006/custom-properties" xmlns:vt="http://schemas.openxmlformats.org/officeDocument/2006/docPropsVTypes"/>
</file>