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GDPR</w:t>
      </w:r>
    </w:p>
    <w:p>
      <w:pPr>
        <w:pStyle w:val="Subtitle"/>
      </w:pPr>
      <w:r>
        <w:t xml:space="preserve">Governance, Compliance, Controls, and Implementation Template</w:t>
      </w:r>
    </w:p>
    <w:p>
      <w:pPr>
        <w:pStyle w:val="Author"/>
      </w:pPr>
      <w:r>
        <w:t xml:space="preserve">Joao Luiz D’Andrea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The General Data Protection Regulation (GDPR) is a foundational privacy and data protection framework governing the processing of personal data in the European Union and the European Economic Area, with extra-territorial reach where organisations process the data of EU data subjects. This document provides a structured governance and implementation template to support compliance, assurance, and continuous improvement.</w:t>
      </w:r>
    </w:p>
    <w:p>
      <w:pPr>
        <w:pStyle w:val="BodyText"/>
      </w:pPr>
      <w:r>
        <w:t xml:space="preserve">This template can be used to document the organisation’s GDPR operating model, control environment, compliance roadmap, and integration with wider governance, cybersecurity, risk, and data management frameworks.</w:t>
      </w:r>
    </w:p>
    <w:bookmarkEnd w:id="20"/>
    <w:bookmarkStart w:id="27" w:name="overview"/>
    <w:p>
      <w:pPr>
        <w:pStyle w:val="Heading1"/>
      </w:pPr>
      <w:r>
        <w:t xml:space="preserve">2. Overview</w:t>
      </w:r>
    </w:p>
    <w:bookmarkStart w:id="21" w:name="purpose"/>
    <w:p>
      <w:pPr>
        <w:pStyle w:val="Heading2"/>
      </w:pPr>
      <w:r>
        <w:t xml:space="preserve">2.1 Purpose</w:t>
      </w:r>
    </w:p>
    <w:p>
      <w:pPr>
        <w:pStyle w:val="FirstParagraph"/>
      </w:pPr>
      <w:r>
        <w:t xml:space="preserve">This document provides a practical template for defining, implementing, operating, and assuring GDPR compliance across the enterprise.</w:t>
      </w:r>
    </w:p>
    <w:bookmarkEnd w:id="21"/>
    <w:bookmarkStart w:id="22" w:name="objectives"/>
    <w:p>
      <w:pPr>
        <w:pStyle w:val="Heading2"/>
      </w:pPr>
      <w:r>
        <w:t xml:space="preserve">2.2 Objectives</w:t>
      </w:r>
    </w:p>
    <w:p>
      <w:pPr>
        <w:pStyle w:val="FirstParagraph"/>
      </w:pPr>
      <w:r>
        <w:t xml:space="preserve">The main objectives of GDPR compliance are to:</w:t>
      </w:r>
    </w:p>
    <w:p>
      <w:pPr>
        <w:pStyle w:val="Compact"/>
        <w:numPr>
          <w:ilvl w:val="0"/>
          <w:numId w:val="1001"/>
        </w:numPr>
      </w:pPr>
      <w:r>
        <w:t xml:space="preserve">protect the rights and freedoms of natural persons</w:t>
      </w:r>
    </w:p>
    <w:p>
      <w:pPr>
        <w:pStyle w:val="Compact"/>
        <w:numPr>
          <w:ilvl w:val="0"/>
          <w:numId w:val="1001"/>
        </w:numPr>
      </w:pPr>
      <w:r>
        <w:t xml:space="preserve">ensure lawful, fair, and transparent processing of personal data</w:t>
      </w:r>
    </w:p>
    <w:p>
      <w:pPr>
        <w:pStyle w:val="Compact"/>
        <w:numPr>
          <w:ilvl w:val="0"/>
          <w:numId w:val="1001"/>
        </w:numPr>
      </w:pPr>
      <w:r>
        <w:t xml:space="preserve">establish accountability for personal data governance</w:t>
      </w:r>
    </w:p>
    <w:p>
      <w:pPr>
        <w:pStyle w:val="Compact"/>
        <w:numPr>
          <w:ilvl w:val="0"/>
          <w:numId w:val="1001"/>
        </w:numPr>
      </w:pPr>
      <w:r>
        <w:t xml:space="preserve">reduce legal, financial, operational, and reputational risks</w:t>
      </w:r>
    </w:p>
    <w:p>
      <w:pPr>
        <w:pStyle w:val="Compact"/>
        <w:numPr>
          <w:ilvl w:val="0"/>
          <w:numId w:val="1001"/>
        </w:numPr>
      </w:pPr>
      <w:r>
        <w:t xml:space="preserve">embed privacy by design and by default into business and technology processes</w:t>
      </w:r>
    </w:p>
    <w:bookmarkEnd w:id="22"/>
    <w:bookmarkStart w:id="25" w:name="scope"/>
    <w:p>
      <w:pPr>
        <w:pStyle w:val="Heading2"/>
      </w:pPr>
      <w:r>
        <w:t xml:space="preserve">2.3 Scope</w:t>
      </w:r>
    </w:p>
    <w:p>
      <w:pPr>
        <w:pStyle w:val="FirstParagraph"/>
      </w:pPr>
      <w:r>
        <w:t xml:space="preserve">Describe the scope of GDPR applicability in the organisation.</w:t>
      </w:r>
    </w:p>
    <w:bookmarkStart w:id="23" w:name="in-scope"/>
    <w:p>
      <w:pPr>
        <w:pStyle w:val="Heading3"/>
      </w:pPr>
      <w:r>
        <w:t xml:space="preserve">2.3.1 In scope</w:t>
      </w:r>
    </w:p>
    <w:p>
      <w:pPr>
        <w:pStyle w:val="Compact"/>
        <w:numPr>
          <w:ilvl w:val="0"/>
          <w:numId w:val="1002"/>
        </w:numPr>
      </w:pPr>
      <w:r>
        <w:t xml:space="preserve">business units processing personal data</w:t>
      </w:r>
    </w:p>
    <w:p>
      <w:pPr>
        <w:pStyle w:val="Compact"/>
        <w:numPr>
          <w:ilvl w:val="0"/>
          <w:numId w:val="1002"/>
        </w:numPr>
      </w:pPr>
      <w:r>
        <w:t xml:space="preserve">customer, employee, supplier, and partner data</w:t>
      </w:r>
    </w:p>
    <w:p>
      <w:pPr>
        <w:pStyle w:val="Compact"/>
        <w:numPr>
          <w:ilvl w:val="0"/>
          <w:numId w:val="1002"/>
        </w:numPr>
      </w:pPr>
      <w:r>
        <w:t xml:space="preserve">systems, applications, databases, and data flows containing personal data</w:t>
      </w:r>
    </w:p>
    <w:p>
      <w:pPr>
        <w:pStyle w:val="Compact"/>
        <w:numPr>
          <w:ilvl w:val="0"/>
          <w:numId w:val="1002"/>
        </w:numPr>
      </w:pPr>
      <w:r>
        <w:t xml:space="preserve">internal and external processors</w:t>
      </w:r>
    </w:p>
    <w:p>
      <w:pPr>
        <w:pStyle w:val="Compact"/>
        <w:numPr>
          <w:ilvl w:val="0"/>
          <w:numId w:val="1002"/>
        </w:numPr>
      </w:pPr>
      <w:r>
        <w:t xml:space="preserve">cross-border data transfers</w:t>
      </w:r>
    </w:p>
    <w:p>
      <w:pPr>
        <w:pStyle w:val="Compact"/>
        <w:numPr>
          <w:ilvl w:val="0"/>
          <w:numId w:val="1002"/>
        </w:numPr>
      </w:pPr>
      <w:r>
        <w:t xml:space="preserve">digital services, websites, and platforms</w:t>
      </w:r>
    </w:p>
    <w:bookmarkEnd w:id="23"/>
    <w:bookmarkStart w:id="24" w:name="out-of-scope"/>
    <w:p>
      <w:pPr>
        <w:pStyle w:val="Heading3"/>
      </w:pPr>
      <w:r>
        <w:t xml:space="preserve">2.3.2 Out of scope</w:t>
      </w:r>
    </w:p>
    <w:p>
      <w:pPr>
        <w:pStyle w:val="FirstParagraph"/>
      </w:pPr>
      <w:r>
        <w:t xml:space="preserve">Document justified exclusions, if any.</w:t>
      </w:r>
    </w:p>
    <w:bookmarkEnd w:id="24"/>
    <w:bookmarkEnd w:id="25"/>
    <w:bookmarkStart w:id="26" w:name="intended-audience"/>
    <w:p>
      <w:pPr>
        <w:pStyle w:val="Heading2"/>
      </w:pPr>
      <w:r>
        <w:t xml:space="preserve">2.4 Intended Audience</w:t>
      </w:r>
    </w:p>
    <w:p>
      <w:pPr>
        <w:pStyle w:val="Compact"/>
        <w:numPr>
          <w:ilvl w:val="0"/>
          <w:numId w:val="1003"/>
        </w:numPr>
      </w:pPr>
      <w:r>
        <w:t xml:space="preserve">Board and executive leadership</w:t>
      </w:r>
    </w:p>
    <w:p>
      <w:pPr>
        <w:pStyle w:val="Compact"/>
        <w:numPr>
          <w:ilvl w:val="0"/>
          <w:numId w:val="1003"/>
        </w:numPr>
      </w:pPr>
      <w:r>
        <w:t xml:space="preserve">Data Protection Officer</w:t>
      </w:r>
    </w:p>
    <w:p>
      <w:pPr>
        <w:pStyle w:val="Compact"/>
        <w:numPr>
          <w:ilvl w:val="0"/>
          <w:numId w:val="1003"/>
        </w:numPr>
      </w:pPr>
      <w:r>
        <w:t xml:space="preserve">Legal and compliance teams</w:t>
      </w:r>
    </w:p>
    <w:p>
      <w:pPr>
        <w:pStyle w:val="Compact"/>
        <w:numPr>
          <w:ilvl w:val="0"/>
          <w:numId w:val="1003"/>
        </w:numPr>
      </w:pPr>
      <w:r>
        <w:t xml:space="preserve">Information security teams</w:t>
      </w:r>
    </w:p>
    <w:p>
      <w:pPr>
        <w:pStyle w:val="Compact"/>
        <w:numPr>
          <w:ilvl w:val="0"/>
          <w:numId w:val="1003"/>
        </w:numPr>
      </w:pPr>
      <w:r>
        <w:t xml:space="preserve">IT and architecture teams</w:t>
      </w:r>
    </w:p>
    <w:p>
      <w:pPr>
        <w:pStyle w:val="Compact"/>
        <w:numPr>
          <w:ilvl w:val="0"/>
          <w:numId w:val="1003"/>
        </w:numPr>
      </w:pPr>
      <w:r>
        <w:t xml:space="preserve">Data owners and process owners</w:t>
      </w:r>
    </w:p>
    <w:p>
      <w:pPr>
        <w:pStyle w:val="Compact"/>
        <w:numPr>
          <w:ilvl w:val="0"/>
          <w:numId w:val="1003"/>
        </w:numPr>
      </w:pPr>
      <w:r>
        <w:t xml:space="preserve">Internal audit and assurance teams</w:t>
      </w:r>
    </w:p>
    <w:p>
      <w:pPr>
        <w:pStyle w:val="Compact"/>
        <w:numPr>
          <w:ilvl w:val="0"/>
          <w:numId w:val="1003"/>
        </w:numPr>
      </w:pPr>
      <w:r>
        <w:t xml:space="preserve">PMO / transformation teams</w:t>
      </w:r>
    </w:p>
    <w:bookmarkEnd w:id="26"/>
    <w:bookmarkEnd w:id="27"/>
    <w:bookmarkStart w:id="33" w:name="regulatory-foundation"/>
    <w:p>
      <w:pPr>
        <w:pStyle w:val="Heading1"/>
      </w:pPr>
      <w:r>
        <w:t xml:space="preserve">3. Regulatory Foundation</w:t>
      </w:r>
    </w:p>
    <w:bookmarkStart w:id="28" w:name="background"/>
    <w:p>
      <w:pPr>
        <w:pStyle w:val="Heading2"/>
      </w:pPr>
      <w:r>
        <w:t xml:space="preserve">3.1 Background</w:t>
      </w:r>
    </w:p>
    <w:p>
      <w:pPr>
        <w:pStyle w:val="FirstParagraph"/>
      </w:pPr>
      <w:r>
        <w:t xml:space="preserve">GDPR establishes rules for the processing of personal data and strengthens the rights of individuals. It is built around accountability, lawful processing, risk-based controls, and enforceable rights.</w:t>
      </w:r>
    </w:p>
    <w:bookmarkEnd w:id="28"/>
    <w:bookmarkStart w:id="29" w:name="core-principles"/>
    <w:p>
      <w:pPr>
        <w:pStyle w:val="Heading2"/>
      </w:pPr>
      <w:r>
        <w:t xml:space="preserve">3.2 Core Principles</w:t>
      </w:r>
    </w:p>
    <w:p>
      <w:pPr>
        <w:pStyle w:val="FirstParagraph"/>
      </w:pPr>
      <w:r>
        <w:t xml:space="preserve">Document how the organisation addresses the GDPR principles:</w:t>
      </w:r>
    </w:p>
    <w:p>
      <w:pPr>
        <w:pStyle w:val="Compact"/>
        <w:numPr>
          <w:ilvl w:val="0"/>
          <w:numId w:val="1004"/>
        </w:numPr>
      </w:pPr>
      <w:r>
        <w:t xml:space="preserve">lawfulness, fairness, and transparency</w:t>
      </w:r>
    </w:p>
    <w:p>
      <w:pPr>
        <w:pStyle w:val="Compact"/>
        <w:numPr>
          <w:ilvl w:val="0"/>
          <w:numId w:val="1004"/>
        </w:numPr>
      </w:pPr>
      <w:r>
        <w:t xml:space="preserve">purpose limitation</w:t>
      </w:r>
    </w:p>
    <w:p>
      <w:pPr>
        <w:pStyle w:val="Compact"/>
        <w:numPr>
          <w:ilvl w:val="0"/>
          <w:numId w:val="1004"/>
        </w:numPr>
      </w:pPr>
      <w:r>
        <w:t xml:space="preserve">data minimisation</w:t>
      </w:r>
    </w:p>
    <w:p>
      <w:pPr>
        <w:pStyle w:val="Compact"/>
        <w:numPr>
          <w:ilvl w:val="0"/>
          <w:numId w:val="1004"/>
        </w:numPr>
      </w:pPr>
      <w:r>
        <w:t xml:space="preserve">accuracy</w:t>
      </w:r>
    </w:p>
    <w:p>
      <w:pPr>
        <w:pStyle w:val="Compact"/>
        <w:numPr>
          <w:ilvl w:val="0"/>
          <w:numId w:val="1004"/>
        </w:numPr>
      </w:pPr>
      <w:r>
        <w:t xml:space="preserve">storage limitation</w:t>
      </w:r>
    </w:p>
    <w:p>
      <w:pPr>
        <w:pStyle w:val="Compact"/>
        <w:numPr>
          <w:ilvl w:val="0"/>
          <w:numId w:val="1004"/>
        </w:numPr>
      </w:pPr>
      <w:r>
        <w:t xml:space="preserve">integrity and confidentiality</w:t>
      </w:r>
    </w:p>
    <w:p>
      <w:pPr>
        <w:pStyle w:val="Compact"/>
        <w:numPr>
          <w:ilvl w:val="0"/>
          <w:numId w:val="1004"/>
        </w:numPr>
      </w:pPr>
      <w:r>
        <w:t xml:space="preserve">accountability</w:t>
      </w:r>
    </w:p>
    <w:bookmarkEnd w:id="29"/>
    <w:bookmarkStart w:id="31" w:name="legal-bases-for-processing"/>
    <w:p>
      <w:pPr>
        <w:pStyle w:val="Heading2"/>
      </w:pPr>
      <w:r>
        <w:t xml:space="preserve">3.3 Legal Bases for Processing</w:t>
      </w:r>
    </w:p>
    <w:p>
      <w:pPr>
        <w:pStyle w:val="FirstParagraph"/>
      </w:pPr>
      <w:r>
        <w:t xml:space="preserve">Describe the legal bases used by the organisation, where applicable:</w:t>
      </w:r>
    </w:p>
    <w:p>
      <w:pPr>
        <w:pStyle w:val="Compact"/>
        <w:numPr>
          <w:ilvl w:val="0"/>
          <w:numId w:val="1005"/>
        </w:numPr>
      </w:pPr>
      <w:r>
        <w:t xml:space="preserve">consent</w:t>
      </w:r>
    </w:p>
    <w:p>
      <w:pPr>
        <w:pStyle w:val="Compact"/>
        <w:numPr>
          <w:ilvl w:val="0"/>
          <w:numId w:val="1005"/>
        </w:numPr>
      </w:pPr>
      <w:r>
        <w:t xml:space="preserve">contract</w:t>
      </w:r>
    </w:p>
    <w:p>
      <w:pPr>
        <w:pStyle w:val="Compact"/>
        <w:numPr>
          <w:ilvl w:val="0"/>
          <w:numId w:val="1005"/>
        </w:numPr>
      </w:pPr>
      <w:r>
        <w:t xml:space="preserve">legal obligation</w:t>
      </w:r>
    </w:p>
    <w:p>
      <w:pPr>
        <w:pStyle w:val="Compact"/>
        <w:numPr>
          <w:ilvl w:val="0"/>
          <w:numId w:val="1005"/>
        </w:numPr>
      </w:pPr>
      <w:r>
        <w:t xml:space="preserve">vital interests</w:t>
      </w:r>
    </w:p>
    <w:p>
      <w:pPr>
        <w:pStyle w:val="Compact"/>
        <w:numPr>
          <w:ilvl w:val="0"/>
          <w:numId w:val="1005"/>
        </w:numPr>
      </w:pPr>
      <w:r>
        <w:t xml:space="preserve">public task</w:t>
      </w:r>
    </w:p>
    <w:p>
      <w:pPr>
        <w:pStyle w:val="Compact"/>
        <w:numPr>
          <w:ilvl w:val="0"/>
          <w:numId w:val="1005"/>
        </w:numPr>
      </w:pPr>
      <w:r>
        <w:t xml:space="preserve">legitimate interests</w:t>
      </w:r>
    </w:p>
    <w:bookmarkStart w:id="30" w:name="template-table"/>
    <w:p>
      <w:pPr>
        <w:pStyle w:val="Heading3"/>
      </w:pPr>
      <w:r>
        <w:t xml:space="preserve">3.3.1 Template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Processing Activity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Data Category</w:t>
            </w:r>
          </w:p>
        </w:tc>
        <w:tc>
          <w:tcPr/>
          <w:p>
            <w:pPr>
              <w:pStyle w:val="Compact"/>
            </w:pPr>
            <w:r>
              <w:t xml:space="preserve">Legal Basis</w:t>
            </w:r>
          </w:p>
        </w:tc>
        <w:tc>
          <w:tcPr/>
          <w:p>
            <w:pPr>
              <w:pStyle w:val="Compact"/>
            </w:pPr>
            <w:r>
              <w:t xml:space="preserve">Special Category Data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Yes/No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</w:tbl>
    <w:bookmarkEnd w:id="30"/>
    <w:bookmarkEnd w:id="31"/>
    <w:bookmarkStart w:id="32" w:name="data-subject-rights"/>
    <w:p>
      <w:pPr>
        <w:pStyle w:val="Heading2"/>
      </w:pPr>
      <w:r>
        <w:t xml:space="preserve">3.4 Data Subject Rights</w:t>
      </w:r>
    </w:p>
    <w:p>
      <w:pPr>
        <w:pStyle w:val="FirstParagraph"/>
      </w:pPr>
      <w:r>
        <w:t xml:space="preserve">Document how the organisation supports:</w:t>
      </w:r>
    </w:p>
    <w:p>
      <w:pPr>
        <w:pStyle w:val="Compact"/>
        <w:numPr>
          <w:ilvl w:val="0"/>
          <w:numId w:val="1006"/>
        </w:numPr>
      </w:pPr>
      <w:r>
        <w:t xml:space="preserve">right to be informed</w:t>
      </w:r>
    </w:p>
    <w:p>
      <w:pPr>
        <w:pStyle w:val="Compact"/>
        <w:numPr>
          <w:ilvl w:val="0"/>
          <w:numId w:val="1006"/>
        </w:numPr>
      </w:pPr>
      <w:r>
        <w:t xml:space="preserve">right of access</w:t>
      </w:r>
    </w:p>
    <w:p>
      <w:pPr>
        <w:pStyle w:val="Compact"/>
        <w:numPr>
          <w:ilvl w:val="0"/>
          <w:numId w:val="1006"/>
        </w:numPr>
      </w:pPr>
      <w:r>
        <w:t xml:space="preserve">right to rectification</w:t>
      </w:r>
    </w:p>
    <w:p>
      <w:pPr>
        <w:pStyle w:val="Compact"/>
        <w:numPr>
          <w:ilvl w:val="0"/>
          <w:numId w:val="1006"/>
        </w:numPr>
      </w:pPr>
      <w:r>
        <w:t xml:space="preserve">right to erasure</w:t>
      </w:r>
    </w:p>
    <w:p>
      <w:pPr>
        <w:pStyle w:val="Compact"/>
        <w:numPr>
          <w:ilvl w:val="0"/>
          <w:numId w:val="1006"/>
        </w:numPr>
      </w:pPr>
      <w:r>
        <w:t xml:space="preserve">right to restrict processing</w:t>
      </w:r>
    </w:p>
    <w:p>
      <w:pPr>
        <w:pStyle w:val="Compact"/>
        <w:numPr>
          <w:ilvl w:val="0"/>
          <w:numId w:val="1006"/>
        </w:numPr>
      </w:pPr>
      <w:r>
        <w:t xml:space="preserve">right to data portability</w:t>
      </w:r>
    </w:p>
    <w:p>
      <w:pPr>
        <w:pStyle w:val="Compact"/>
        <w:numPr>
          <w:ilvl w:val="0"/>
          <w:numId w:val="1006"/>
        </w:numPr>
      </w:pPr>
      <w:r>
        <w:t xml:space="preserve">right to object</w:t>
      </w:r>
    </w:p>
    <w:p>
      <w:pPr>
        <w:pStyle w:val="Compact"/>
        <w:numPr>
          <w:ilvl w:val="0"/>
          <w:numId w:val="1006"/>
        </w:numPr>
      </w:pPr>
      <w:r>
        <w:t xml:space="preserve">rights related to automated decision-making and profiling</w:t>
      </w:r>
    </w:p>
    <w:bookmarkEnd w:id="32"/>
    <w:bookmarkEnd w:id="33"/>
    <w:bookmarkStart w:id="41" w:name="governance-model"/>
    <w:p>
      <w:pPr>
        <w:pStyle w:val="Heading1"/>
      </w:pPr>
      <w:r>
        <w:t xml:space="preserve">4. Governance Model</w:t>
      </w:r>
    </w:p>
    <w:bookmarkStart w:id="34" w:name="governance-objectives"/>
    <w:p>
      <w:pPr>
        <w:pStyle w:val="Heading2"/>
      </w:pPr>
      <w:r>
        <w:t xml:space="preserve">4.1 Governance Objectives</w:t>
      </w:r>
    </w:p>
    <w:p>
      <w:pPr>
        <w:pStyle w:val="FirstParagraph"/>
      </w:pPr>
      <w:r>
        <w:t xml:space="preserve">Define the governance objectives for GDPR:</w:t>
      </w:r>
    </w:p>
    <w:p>
      <w:pPr>
        <w:pStyle w:val="Compact"/>
        <w:numPr>
          <w:ilvl w:val="0"/>
          <w:numId w:val="1007"/>
        </w:numPr>
      </w:pPr>
      <w:r>
        <w:t xml:space="preserve">ensure executive accountability</w:t>
      </w:r>
    </w:p>
    <w:p>
      <w:pPr>
        <w:pStyle w:val="Compact"/>
        <w:numPr>
          <w:ilvl w:val="0"/>
          <w:numId w:val="1007"/>
        </w:numPr>
      </w:pPr>
      <w:r>
        <w:t xml:space="preserve">assign clear ownership for personal data</w:t>
      </w:r>
    </w:p>
    <w:p>
      <w:pPr>
        <w:pStyle w:val="Compact"/>
        <w:numPr>
          <w:ilvl w:val="0"/>
          <w:numId w:val="1007"/>
        </w:numPr>
      </w:pPr>
      <w:r>
        <w:t xml:space="preserve">integrate privacy into change, operations, procurement, and architecture</w:t>
      </w:r>
    </w:p>
    <w:p>
      <w:pPr>
        <w:pStyle w:val="Compact"/>
        <w:numPr>
          <w:ilvl w:val="0"/>
          <w:numId w:val="1007"/>
        </w:numPr>
      </w:pPr>
      <w:r>
        <w:t xml:space="preserve">maintain evidence of compliance</w:t>
      </w:r>
    </w:p>
    <w:p>
      <w:pPr>
        <w:pStyle w:val="Compact"/>
        <w:numPr>
          <w:ilvl w:val="0"/>
          <w:numId w:val="1007"/>
        </w:numPr>
      </w:pPr>
      <w:r>
        <w:t xml:space="preserve">monitor and improve control effectiveness</w:t>
      </w:r>
    </w:p>
    <w:bookmarkEnd w:id="34"/>
    <w:bookmarkStart w:id="36" w:name="governance-structure"/>
    <w:p>
      <w:pPr>
        <w:pStyle w:val="Heading2"/>
      </w:pPr>
      <w:r>
        <w:t xml:space="preserve">4.2 Governance Structure</w:t>
      </w:r>
    </w:p>
    <w:p>
      <w:pPr>
        <w:pStyle w:val="FirstParagraph"/>
      </w:pPr>
      <w:r>
        <w:t xml:space="preserve">Describe the governance bodies and their responsibilities.</w:t>
      </w:r>
    </w:p>
    <w:bookmarkStart w:id="35" w:name="example-governance-bodies"/>
    <w:p>
      <w:pPr>
        <w:pStyle w:val="Heading3"/>
      </w:pPr>
      <w:r>
        <w:t xml:space="preserve">4.2.1 Example governance bodies</w:t>
      </w:r>
    </w:p>
    <w:p>
      <w:pPr>
        <w:pStyle w:val="Compact"/>
        <w:numPr>
          <w:ilvl w:val="0"/>
          <w:numId w:val="1008"/>
        </w:numPr>
      </w:pPr>
      <w:r>
        <w:t xml:space="preserve">Board / Risk Committee</w:t>
      </w:r>
    </w:p>
    <w:p>
      <w:pPr>
        <w:pStyle w:val="Compact"/>
        <w:numPr>
          <w:ilvl w:val="0"/>
          <w:numId w:val="1008"/>
        </w:numPr>
      </w:pPr>
      <w:r>
        <w:t xml:space="preserve">Executive Compliance Committee</w:t>
      </w:r>
    </w:p>
    <w:p>
      <w:pPr>
        <w:pStyle w:val="Compact"/>
        <w:numPr>
          <w:ilvl w:val="0"/>
          <w:numId w:val="1008"/>
        </w:numPr>
      </w:pPr>
      <w:r>
        <w:t xml:space="preserve">Data Protection Steering Committee</w:t>
      </w:r>
    </w:p>
    <w:p>
      <w:pPr>
        <w:pStyle w:val="Compact"/>
        <w:numPr>
          <w:ilvl w:val="0"/>
          <w:numId w:val="1008"/>
        </w:numPr>
      </w:pPr>
      <w:r>
        <w:t xml:space="preserve">Information Security Forum</w:t>
      </w:r>
    </w:p>
    <w:p>
      <w:pPr>
        <w:pStyle w:val="Compact"/>
        <w:numPr>
          <w:ilvl w:val="0"/>
          <w:numId w:val="1008"/>
        </w:numPr>
      </w:pPr>
      <w:r>
        <w:t xml:space="preserve">Data Governance Council</w:t>
      </w:r>
    </w:p>
    <w:p>
      <w:pPr>
        <w:pStyle w:val="Compact"/>
        <w:numPr>
          <w:ilvl w:val="0"/>
          <w:numId w:val="1008"/>
        </w:numPr>
      </w:pPr>
      <w:r>
        <w:t xml:space="preserve">Architecture Review Board</w:t>
      </w:r>
    </w:p>
    <w:p>
      <w:pPr>
        <w:pStyle w:val="Compact"/>
        <w:numPr>
          <w:ilvl w:val="0"/>
          <w:numId w:val="1008"/>
        </w:numPr>
      </w:pPr>
      <w:r>
        <w:t xml:space="preserve">Internal Audit</w:t>
      </w:r>
    </w:p>
    <w:bookmarkEnd w:id="35"/>
    <w:bookmarkEnd w:id="36"/>
    <w:bookmarkStart w:id="40" w:name="three-lines-model"/>
    <w:p>
      <w:pPr>
        <w:pStyle w:val="Heading2"/>
      </w:pPr>
      <w:r>
        <w:t xml:space="preserve">4.3 Three Lines Model</w:t>
      </w:r>
    </w:p>
    <w:p>
      <w:pPr>
        <w:pStyle w:val="FirstParagraph"/>
      </w:pPr>
      <w:r>
        <w:t xml:space="preserve">Describe responsibilities across the three lines.</w:t>
      </w:r>
    </w:p>
    <w:bookmarkStart w:id="37" w:name="first-line"/>
    <w:p>
      <w:pPr>
        <w:pStyle w:val="Heading3"/>
      </w:pPr>
      <w:r>
        <w:t xml:space="preserve">4.3.1 First line</w:t>
      </w:r>
    </w:p>
    <w:p>
      <w:pPr>
        <w:pStyle w:val="Compact"/>
        <w:numPr>
          <w:ilvl w:val="0"/>
          <w:numId w:val="1009"/>
        </w:numPr>
      </w:pPr>
      <w:r>
        <w:t xml:space="preserve">business ownership of data processing</w:t>
      </w:r>
    </w:p>
    <w:p>
      <w:pPr>
        <w:pStyle w:val="Compact"/>
        <w:numPr>
          <w:ilvl w:val="0"/>
          <w:numId w:val="1009"/>
        </w:numPr>
      </w:pPr>
      <w:r>
        <w:t xml:space="preserve">operational controls</w:t>
      </w:r>
    </w:p>
    <w:p>
      <w:pPr>
        <w:pStyle w:val="Compact"/>
        <w:numPr>
          <w:ilvl w:val="0"/>
          <w:numId w:val="1009"/>
        </w:numPr>
      </w:pPr>
      <w:r>
        <w:t xml:space="preserve">process execution</w:t>
      </w:r>
    </w:p>
    <w:p>
      <w:pPr>
        <w:pStyle w:val="Compact"/>
        <w:numPr>
          <w:ilvl w:val="0"/>
          <w:numId w:val="1009"/>
        </w:numPr>
      </w:pPr>
      <w:r>
        <w:t xml:space="preserve">evidence production</w:t>
      </w:r>
    </w:p>
    <w:bookmarkEnd w:id="37"/>
    <w:bookmarkStart w:id="38" w:name="second-line"/>
    <w:p>
      <w:pPr>
        <w:pStyle w:val="Heading3"/>
      </w:pPr>
      <w:r>
        <w:t xml:space="preserve">4.3.2 Second line</w:t>
      </w:r>
    </w:p>
    <w:p>
      <w:pPr>
        <w:pStyle w:val="Compact"/>
        <w:numPr>
          <w:ilvl w:val="0"/>
          <w:numId w:val="1010"/>
        </w:numPr>
      </w:pPr>
      <w:r>
        <w:t xml:space="preserve">privacy oversight</w:t>
      </w:r>
    </w:p>
    <w:p>
      <w:pPr>
        <w:pStyle w:val="Compact"/>
        <w:numPr>
          <w:ilvl w:val="0"/>
          <w:numId w:val="1010"/>
        </w:numPr>
      </w:pPr>
      <w:r>
        <w:t xml:space="preserve">compliance monitoring</w:t>
      </w:r>
    </w:p>
    <w:p>
      <w:pPr>
        <w:pStyle w:val="Compact"/>
        <w:numPr>
          <w:ilvl w:val="0"/>
          <w:numId w:val="1010"/>
        </w:numPr>
      </w:pPr>
      <w:r>
        <w:t xml:space="preserve">policy definition</w:t>
      </w:r>
    </w:p>
    <w:p>
      <w:pPr>
        <w:pStyle w:val="Compact"/>
        <w:numPr>
          <w:ilvl w:val="0"/>
          <w:numId w:val="1010"/>
        </w:numPr>
      </w:pPr>
      <w:r>
        <w:t xml:space="preserve">risk framework</w:t>
      </w:r>
    </w:p>
    <w:p>
      <w:pPr>
        <w:pStyle w:val="Compact"/>
        <w:numPr>
          <w:ilvl w:val="0"/>
          <w:numId w:val="1010"/>
        </w:numPr>
      </w:pPr>
      <w:r>
        <w:t xml:space="preserve">advisory support</w:t>
      </w:r>
    </w:p>
    <w:bookmarkEnd w:id="38"/>
    <w:bookmarkStart w:id="39" w:name="third-line"/>
    <w:p>
      <w:pPr>
        <w:pStyle w:val="Heading3"/>
      </w:pPr>
      <w:r>
        <w:t xml:space="preserve">4.3.3 Third line</w:t>
      </w:r>
    </w:p>
    <w:p>
      <w:pPr>
        <w:pStyle w:val="Compact"/>
        <w:numPr>
          <w:ilvl w:val="0"/>
          <w:numId w:val="1011"/>
        </w:numPr>
      </w:pPr>
      <w:r>
        <w:t xml:space="preserve">internal audit</w:t>
      </w:r>
    </w:p>
    <w:p>
      <w:pPr>
        <w:pStyle w:val="Compact"/>
        <w:numPr>
          <w:ilvl w:val="0"/>
          <w:numId w:val="1011"/>
        </w:numPr>
      </w:pPr>
      <w:r>
        <w:t xml:space="preserve">independent assurance</w:t>
      </w:r>
    </w:p>
    <w:p>
      <w:pPr>
        <w:pStyle w:val="Compact"/>
        <w:numPr>
          <w:ilvl w:val="0"/>
          <w:numId w:val="1011"/>
        </w:numPr>
      </w:pPr>
      <w:r>
        <w:t xml:space="preserve">effectiveness review</w:t>
      </w:r>
    </w:p>
    <w:bookmarkEnd w:id="39"/>
    <w:bookmarkEnd w:id="40"/>
    <w:bookmarkEnd w:id="41"/>
    <w:bookmarkStart w:id="44" w:name="roles-and-responsibilities"/>
    <w:p>
      <w:pPr>
        <w:pStyle w:val="Heading1"/>
      </w:pPr>
      <w:r>
        <w:t xml:space="preserve">5. Roles and Responsibilities</w:t>
      </w:r>
    </w:p>
    <w:bookmarkStart w:id="42" w:name="key-roles"/>
    <w:p>
      <w:pPr>
        <w:pStyle w:val="Heading2"/>
      </w:pPr>
      <w:r>
        <w:t xml:space="preserve">5.1 Key Roles</w:t>
      </w:r>
    </w:p>
    <w:p>
      <w:pPr>
        <w:pStyle w:val="FirstParagraph"/>
      </w:pPr>
      <w:r>
        <w:t xml:space="preserve">Document the main GDPR roles.</w:t>
      </w:r>
    </w:p>
    <w:p>
      <w:pPr>
        <w:pStyle w:val="Compact"/>
        <w:numPr>
          <w:ilvl w:val="0"/>
          <w:numId w:val="1012"/>
        </w:numPr>
      </w:pPr>
      <w:r>
        <w:t xml:space="preserve">Board</w:t>
      </w:r>
    </w:p>
    <w:p>
      <w:pPr>
        <w:pStyle w:val="Compact"/>
        <w:numPr>
          <w:ilvl w:val="0"/>
          <w:numId w:val="1012"/>
        </w:numPr>
      </w:pPr>
      <w:r>
        <w:t xml:space="preserve">CEO / Executive Management</w:t>
      </w:r>
    </w:p>
    <w:p>
      <w:pPr>
        <w:pStyle w:val="Compact"/>
        <w:numPr>
          <w:ilvl w:val="0"/>
          <w:numId w:val="1012"/>
        </w:numPr>
      </w:pPr>
      <w:r>
        <w:t xml:space="preserve">Data Protection Officer</w:t>
      </w:r>
    </w:p>
    <w:p>
      <w:pPr>
        <w:pStyle w:val="Compact"/>
        <w:numPr>
          <w:ilvl w:val="0"/>
          <w:numId w:val="1012"/>
        </w:numPr>
      </w:pPr>
      <w:r>
        <w:t xml:space="preserve">Chief Information Security Officer</w:t>
      </w:r>
    </w:p>
    <w:p>
      <w:pPr>
        <w:pStyle w:val="Compact"/>
        <w:numPr>
          <w:ilvl w:val="0"/>
          <w:numId w:val="1012"/>
        </w:numPr>
      </w:pPr>
      <w:r>
        <w:t xml:space="preserve">Chief Information Officer</w:t>
      </w:r>
    </w:p>
    <w:p>
      <w:pPr>
        <w:pStyle w:val="Compact"/>
        <w:numPr>
          <w:ilvl w:val="0"/>
          <w:numId w:val="1012"/>
        </w:numPr>
      </w:pPr>
      <w:r>
        <w:t xml:space="preserve">Chief Data Officer</w:t>
      </w:r>
    </w:p>
    <w:p>
      <w:pPr>
        <w:pStyle w:val="Compact"/>
        <w:numPr>
          <w:ilvl w:val="0"/>
          <w:numId w:val="1012"/>
        </w:numPr>
      </w:pPr>
      <w:r>
        <w:t xml:space="preserve">Legal Counsel</w:t>
      </w:r>
    </w:p>
    <w:p>
      <w:pPr>
        <w:pStyle w:val="Compact"/>
        <w:numPr>
          <w:ilvl w:val="0"/>
          <w:numId w:val="1012"/>
        </w:numPr>
      </w:pPr>
      <w:r>
        <w:t xml:space="preserve">HR Lead</w:t>
      </w:r>
    </w:p>
    <w:p>
      <w:pPr>
        <w:pStyle w:val="Compact"/>
        <w:numPr>
          <w:ilvl w:val="0"/>
          <w:numId w:val="1012"/>
        </w:numPr>
      </w:pPr>
      <w:r>
        <w:t xml:space="preserve">Procurement Lead</w:t>
      </w:r>
    </w:p>
    <w:p>
      <w:pPr>
        <w:pStyle w:val="Compact"/>
        <w:numPr>
          <w:ilvl w:val="0"/>
          <w:numId w:val="1012"/>
        </w:numPr>
      </w:pPr>
      <w:r>
        <w:t xml:space="preserve">Business Process Owner</w:t>
      </w:r>
    </w:p>
    <w:p>
      <w:pPr>
        <w:pStyle w:val="Compact"/>
        <w:numPr>
          <w:ilvl w:val="0"/>
          <w:numId w:val="1012"/>
        </w:numPr>
      </w:pPr>
      <w:r>
        <w:t xml:space="preserve">System Owner</w:t>
      </w:r>
    </w:p>
    <w:p>
      <w:pPr>
        <w:pStyle w:val="Compact"/>
        <w:numPr>
          <w:ilvl w:val="0"/>
          <w:numId w:val="1012"/>
        </w:numPr>
      </w:pPr>
      <w:r>
        <w:t xml:space="preserve">Data Owner</w:t>
      </w:r>
    </w:p>
    <w:p>
      <w:pPr>
        <w:pStyle w:val="Compact"/>
        <w:numPr>
          <w:ilvl w:val="0"/>
          <w:numId w:val="1012"/>
        </w:numPr>
      </w:pPr>
      <w:r>
        <w:t xml:space="preserve">Records Manager</w:t>
      </w:r>
    </w:p>
    <w:p>
      <w:pPr>
        <w:pStyle w:val="Compact"/>
        <w:numPr>
          <w:ilvl w:val="0"/>
          <w:numId w:val="1012"/>
        </w:numPr>
      </w:pPr>
      <w:r>
        <w:t xml:space="preserve">Internal Audit</w:t>
      </w:r>
    </w:p>
    <w:bookmarkEnd w:id="42"/>
    <w:bookmarkStart w:id="43" w:name="raci-matrix"/>
    <w:p>
      <w:pPr>
        <w:pStyle w:val="Heading2"/>
      </w:pPr>
      <w:r>
        <w:t xml:space="preserve">5.2 RACI Matrix</w:t>
      </w:r>
    </w:p>
    <w:p>
      <w:pPr>
        <w:pStyle w:val="FirstParagraph"/>
      </w:pPr>
      <w:r>
        <w:t xml:space="preserve">Use the following model and adapt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Board</w:t>
            </w:r>
          </w:p>
        </w:tc>
        <w:tc>
          <w:tcPr/>
          <w:p>
            <w:pPr>
              <w:pStyle w:val="Compact"/>
            </w:pPr>
            <w:r>
              <w:t xml:space="preserve">Exec</w:t>
            </w:r>
          </w:p>
        </w:tc>
        <w:tc>
          <w:tcPr/>
          <w:p>
            <w:pPr>
              <w:pStyle w:val="Compact"/>
            </w:pPr>
            <w:r>
              <w:t xml:space="preserve">DPO</w:t>
            </w:r>
          </w:p>
        </w:tc>
        <w:tc>
          <w:tcPr/>
          <w:p>
            <w:pPr>
              <w:pStyle w:val="Compact"/>
            </w:pPr>
            <w:r>
              <w:t xml:space="preserve">Legal</w:t>
            </w:r>
          </w:p>
        </w:tc>
        <w:tc>
          <w:tcPr/>
          <w:p>
            <w:pPr>
              <w:pStyle w:val="Compact"/>
            </w:pPr>
            <w:r>
              <w:t xml:space="preserve">CISO</w:t>
            </w:r>
          </w:p>
        </w:tc>
        <w:tc>
          <w:tcPr/>
          <w:p>
            <w:pPr>
              <w:pStyle w:val="Compact"/>
            </w:pPr>
            <w:r>
              <w:t xml:space="preserve">CIO</w:t>
            </w:r>
          </w:p>
        </w:tc>
        <w:tc>
          <w:tcPr/>
          <w:p>
            <w:pPr>
              <w:pStyle w:val="Compact"/>
            </w:pPr>
            <w:r>
              <w:t xml:space="preserve">Business Owner</w:t>
            </w:r>
          </w:p>
        </w:tc>
        <w:tc>
          <w:tcPr/>
          <w:p>
            <w:pPr>
              <w:pStyle w:val="Compact"/>
            </w:pPr>
            <w:r>
              <w:t xml:space="preserve">Data Owner</w:t>
            </w:r>
          </w:p>
        </w:tc>
        <w:tc>
          <w:tcPr/>
          <w:p>
            <w:pPr>
              <w:pStyle w:val="Compact"/>
            </w:pPr>
            <w:r>
              <w:t xml:space="preserve">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 privacy policy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Maintain records of processing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Conduct DPIA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 data subject requests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Personal data breach response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Third-party due diligence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monitoring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 assurance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R/A</w:t>
            </w:r>
          </w:p>
        </w:tc>
      </w:tr>
    </w:tbl>
    <w:bookmarkEnd w:id="43"/>
    <w:bookmarkEnd w:id="44"/>
    <w:bookmarkStart w:id="47" w:name="policy-framework"/>
    <w:p>
      <w:pPr>
        <w:pStyle w:val="Heading1"/>
      </w:pPr>
      <w:r>
        <w:t xml:space="preserve">6. Policy Framework</w:t>
      </w:r>
    </w:p>
    <w:bookmarkStart w:id="45" w:name="core-policies"/>
    <w:p>
      <w:pPr>
        <w:pStyle w:val="Heading2"/>
      </w:pPr>
      <w:r>
        <w:t xml:space="preserve">6.1 Core Policies</w:t>
      </w:r>
    </w:p>
    <w:p>
      <w:pPr>
        <w:pStyle w:val="FirstParagraph"/>
      </w:pPr>
      <w:r>
        <w:t xml:space="preserve">List and describe the main GDPR-related policies.</w:t>
      </w:r>
    </w:p>
    <w:p>
      <w:pPr>
        <w:pStyle w:val="Compact"/>
        <w:numPr>
          <w:ilvl w:val="0"/>
          <w:numId w:val="1013"/>
        </w:numPr>
      </w:pPr>
      <w:r>
        <w:t xml:space="preserve">Data Protection Policy</w:t>
      </w:r>
    </w:p>
    <w:p>
      <w:pPr>
        <w:pStyle w:val="Compact"/>
        <w:numPr>
          <w:ilvl w:val="0"/>
          <w:numId w:val="1013"/>
        </w:numPr>
      </w:pPr>
      <w:r>
        <w:t xml:space="preserve">Privacy Policy</w:t>
      </w:r>
    </w:p>
    <w:p>
      <w:pPr>
        <w:pStyle w:val="Compact"/>
        <w:numPr>
          <w:ilvl w:val="0"/>
          <w:numId w:val="1013"/>
        </w:numPr>
      </w:pPr>
      <w:r>
        <w:t xml:space="preserve">Records Retention Policy</w:t>
      </w:r>
    </w:p>
    <w:p>
      <w:pPr>
        <w:pStyle w:val="Compact"/>
        <w:numPr>
          <w:ilvl w:val="0"/>
          <w:numId w:val="1013"/>
        </w:numPr>
      </w:pPr>
      <w:r>
        <w:t xml:space="preserve">Information Classification Policy</w:t>
      </w:r>
    </w:p>
    <w:p>
      <w:pPr>
        <w:pStyle w:val="Compact"/>
        <w:numPr>
          <w:ilvl w:val="0"/>
          <w:numId w:val="1013"/>
        </w:numPr>
      </w:pPr>
      <w:r>
        <w:t xml:space="preserve">Access Control Policy</w:t>
      </w:r>
    </w:p>
    <w:p>
      <w:pPr>
        <w:pStyle w:val="Compact"/>
        <w:numPr>
          <w:ilvl w:val="0"/>
          <w:numId w:val="1013"/>
        </w:numPr>
      </w:pPr>
      <w:r>
        <w:t xml:space="preserve">Incident Response Policy</w:t>
      </w:r>
    </w:p>
    <w:p>
      <w:pPr>
        <w:pStyle w:val="Compact"/>
        <w:numPr>
          <w:ilvl w:val="0"/>
          <w:numId w:val="1013"/>
        </w:numPr>
      </w:pPr>
      <w:r>
        <w:t xml:space="preserve">Third-Party Risk Management Policy</w:t>
      </w:r>
    </w:p>
    <w:p>
      <w:pPr>
        <w:pStyle w:val="Compact"/>
        <w:numPr>
          <w:ilvl w:val="0"/>
          <w:numId w:val="1013"/>
        </w:numPr>
      </w:pPr>
      <w:r>
        <w:t xml:space="preserve">Secure Development Policy</w:t>
      </w:r>
    </w:p>
    <w:p>
      <w:pPr>
        <w:pStyle w:val="Compact"/>
        <w:numPr>
          <w:ilvl w:val="0"/>
          <w:numId w:val="1013"/>
        </w:numPr>
      </w:pPr>
      <w:r>
        <w:t xml:space="preserve">Data Subject Rights Procedure</w:t>
      </w:r>
    </w:p>
    <w:p>
      <w:pPr>
        <w:pStyle w:val="Compact"/>
        <w:numPr>
          <w:ilvl w:val="0"/>
          <w:numId w:val="1013"/>
        </w:numPr>
      </w:pPr>
      <w:r>
        <w:t xml:space="preserve">Personal Data Breach Procedure</w:t>
      </w:r>
    </w:p>
    <w:bookmarkEnd w:id="45"/>
    <w:bookmarkStart w:id="46" w:name="standards-and-procedures"/>
    <w:p>
      <w:pPr>
        <w:pStyle w:val="Heading2"/>
      </w:pPr>
      <w:r>
        <w:t xml:space="preserve">6.2 Standards and Procedures</w:t>
      </w:r>
    </w:p>
    <w:p>
      <w:pPr>
        <w:pStyle w:val="FirstParagraph"/>
      </w:pPr>
      <w:r>
        <w:t xml:space="preserve">Document the standards and operating procedures supporting compliance.</w:t>
      </w:r>
    </w:p>
    <w:bookmarkEnd w:id="46"/>
    <w:bookmarkEnd w:id="47"/>
    <w:bookmarkStart w:id="57" w:name="core-processes"/>
    <w:p>
      <w:pPr>
        <w:pStyle w:val="Heading1"/>
      </w:pPr>
      <w:r>
        <w:t xml:space="preserve">7. Core Processes</w:t>
      </w:r>
    </w:p>
    <w:bookmarkStart w:id="49" w:name="records-of-processing-activities-ropa"/>
    <w:p>
      <w:pPr>
        <w:pStyle w:val="Heading2"/>
      </w:pPr>
      <w:r>
        <w:t xml:space="preserve">7.1 Records of Processing Activities (RoPA)</w:t>
      </w:r>
    </w:p>
    <w:p>
      <w:pPr>
        <w:pStyle w:val="FirstParagraph"/>
      </w:pPr>
      <w:r>
        <w:t xml:space="preserve">Describe how the organisation maintains a complete inventory of processing activities.</w:t>
      </w:r>
    </w:p>
    <w:bookmarkStart w:id="48" w:name="minimum-content"/>
    <w:p>
      <w:pPr>
        <w:pStyle w:val="Heading3"/>
      </w:pPr>
      <w:r>
        <w:t xml:space="preserve">7.1.1 Minimum content</w:t>
      </w:r>
    </w:p>
    <w:p>
      <w:pPr>
        <w:pStyle w:val="Compact"/>
        <w:numPr>
          <w:ilvl w:val="0"/>
          <w:numId w:val="1014"/>
        </w:numPr>
      </w:pPr>
      <w:r>
        <w:t xml:space="preserve">controller / processor details</w:t>
      </w:r>
    </w:p>
    <w:p>
      <w:pPr>
        <w:pStyle w:val="Compact"/>
        <w:numPr>
          <w:ilvl w:val="0"/>
          <w:numId w:val="1014"/>
        </w:numPr>
      </w:pPr>
      <w:r>
        <w:t xml:space="preserve">purpose of processing</w:t>
      </w:r>
    </w:p>
    <w:p>
      <w:pPr>
        <w:pStyle w:val="Compact"/>
        <w:numPr>
          <w:ilvl w:val="0"/>
          <w:numId w:val="1014"/>
        </w:numPr>
      </w:pPr>
      <w:r>
        <w:t xml:space="preserve">categories of data subjects</w:t>
      </w:r>
    </w:p>
    <w:p>
      <w:pPr>
        <w:pStyle w:val="Compact"/>
        <w:numPr>
          <w:ilvl w:val="0"/>
          <w:numId w:val="1014"/>
        </w:numPr>
      </w:pPr>
      <w:r>
        <w:t xml:space="preserve">categories of personal data</w:t>
      </w:r>
    </w:p>
    <w:p>
      <w:pPr>
        <w:pStyle w:val="Compact"/>
        <w:numPr>
          <w:ilvl w:val="0"/>
          <w:numId w:val="1014"/>
        </w:numPr>
      </w:pPr>
      <w:r>
        <w:t xml:space="preserve">recipients</w:t>
      </w:r>
    </w:p>
    <w:p>
      <w:pPr>
        <w:pStyle w:val="Compact"/>
        <w:numPr>
          <w:ilvl w:val="0"/>
          <w:numId w:val="1014"/>
        </w:numPr>
      </w:pPr>
      <w:r>
        <w:t xml:space="preserve">international transfers</w:t>
      </w:r>
    </w:p>
    <w:p>
      <w:pPr>
        <w:pStyle w:val="Compact"/>
        <w:numPr>
          <w:ilvl w:val="0"/>
          <w:numId w:val="1014"/>
        </w:numPr>
      </w:pPr>
      <w:r>
        <w:t xml:space="preserve">retention periods</w:t>
      </w:r>
    </w:p>
    <w:p>
      <w:pPr>
        <w:pStyle w:val="Compact"/>
        <w:numPr>
          <w:ilvl w:val="0"/>
          <w:numId w:val="1014"/>
        </w:numPr>
      </w:pPr>
      <w:r>
        <w:t xml:space="preserve">security measures</w:t>
      </w:r>
    </w:p>
    <w:bookmarkEnd w:id="48"/>
    <w:bookmarkEnd w:id="49"/>
    <w:bookmarkStart w:id="50" w:name="privacy-impact-assessment-dpia"/>
    <w:p>
      <w:pPr>
        <w:pStyle w:val="Heading2"/>
      </w:pPr>
      <w:r>
        <w:t xml:space="preserve">7.2 Privacy Impact Assessment / DPIA</w:t>
      </w:r>
    </w:p>
    <w:p>
      <w:pPr>
        <w:pStyle w:val="FirstParagraph"/>
      </w:pPr>
      <w:r>
        <w:t xml:space="preserve">Describe the process for:</w:t>
      </w:r>
    </w:p>
    <w:p>
      <w:pPr>
        <w:pStyle w:val="Compact"/>
        <w:numPr>
          <w:ilvl w:val="0"/>
          <w:numId w:val="1015"/>
        </w:numPr>
      </w:pPr>
      <w:r>
        <w:t xml:space="preserve">identifying high-risk processing</w:t>
      </w:r>
    </w:p>
    <w:p>
      <w:pPr>
        <w:pStyle w:val="Compact"/>
        <w:numPr>
          <w:ilvl w:val="0"/>
          <w:numId w:val="1015"/>
        </w:numPr>
      </w:pPr>
      <w:r>
        <w:t xml:space="preserve">triggering a DPIA</w:t>
      </w:r>
    </w:p>
    <w:p>
      <w:pPr>
        <w:pStyle w:val="Compact"/>
        <w:numPr>
          <w:ilvl w:val="0"/>
          <w:numId w:val="1015"/>
        </w:numPr>
      </w:pPr>
      <w:r>
        <w:t xml:space="preserve">assessing necessity and proportionality</w:t>
      </w:r>
    </w:p>
    <w:p>
      <w:pPr>
        <w:pStyle w:val="Compact"/>
        <w:numPr>
          <w:ilvl w:val="0"/>
          <w:numId w:val="1015"/>
        </w:numPr>
      </w:pPr>
      <w:r>
        <w:t xml:space="preserve">identifying privacy risks</w:t>
      </w:r>
    </w:p>
    <w:p>
      <w:pPr>
        <w:pStyle w:val="Compact"/>
        <w:numPr>
          <w:ilvl w:val="0"/>
          <w:numId w:val="1015"/>
        </w:numPr>
      </w:pPr>
      <w:r>
        <w:t xml:space="preserve">defining controls and mitigations</w:t>
      </w:r>
    </w:p>
    <w:p>
      <w:pPr>
        <w:pStyle w:val="Compact"/>
        <w:numPr>
          <w:ilvl w:val="0"/>
          <w:numId w:val="1015"/>
        </w:numPr>
      </w:pPr>
      <w:r>
        <w:t xml:space="preserve">approving risk treatment</w:t>
      </w:r>
    </w:p>
    <w:p>
      <w:pPr>
        <w:pStyle w:val="Compact"/>
        <w:numPr>
          <w:ilvl w:val="0"/>
          <w:numId w:val="1015"/>
        </w:numPr>
      </w:pPr>
      <w:r>
        <w:t xml:space="preserve">consulting supervisory authorities where required</w:t>
      </w:r>
    </w:p>
    <w:bookmarkEnd w:id="50"/>
    <w:bookmarkStart w:id="51" w:name="data-subject-request-management"/>
    <w:p>
      <w:pPr>
        <w:pStyle w:val="Heading2"/>
      </w:pPr>
      <w:r>
        <w:t xml:space="preserve">7.3 Data Subject Request Management</w:t>
      </w:r>
    </w:p>
    <w:p>
      <w:pPr>
        <w:pStyle w:val="FirstParagraph"/>
      </w:pPr>
      <w:r>
        <w:t xml:space="preserve">Document the lifecycle for requests:</w:t>
      </w:r>
    </w:p>
    <w:p>
      <w:pPr>
        <w:pStyle w:val="Compact"/>
        <w:numPr>
          <w:ilvl w:val="0"/>
          <w:numId w:val="1016"/>
        </w:numPr>
      </w:pPr>
      <w:r>
        <w:t xml:space="preserve">intake</w:t>
      </w:r>
    </w:p>
    <w:p>
      <w:pPr>
        <w:pStyle w:val="Compact"/>
        <w:numPr>
          <w:ilvl w:val="0"/>
          <w:numId w:val="1016"/>
        </w:numPr>
      </w:pPr>
      <w:r>
        <w:t xml:space="preserve">verification</w:t>
      </w:r>
    </w:p>
    <w:p>
      <w:pPr>
        <w:pStyle w:val="Compact"/>
        <w:numPr>
          <w:ilvl w:val="0"/>
          <w:numId w:val="1016"/>
        </w:numPr>
      </w:pPr>
      <w:r>
        <w:t xml:space="preserve">logging</w:t>
      </w:r>
    </w:p>
    <w:p>
      <w:pPr>
        <w:pStyle w:val="Compact"/>
        <w:numPr>
          <w:ilvl w:val="0"/>
          <w:numId w:val="1016"/>
        </w:numPr>
      </w:pPr>
      <w:r>
        <w:t xml:space="preserve">triage</w:t>
      </w:r>
    </w:p>
    <w:p>
      <w:pPr>
        <w:pStyle w:val="Compact"/>
        <w:numPr>
          <w:ilvl w:val="0"/>
          <w:numId w:val="1016"/>
        </w:numPr>
      </w:pPr>
      <w:r>
        <w:t xml:space="preserve">fulfilment</w:t>
      </w:r>
    </w:p>
    <w:p>
      <w:pPr>
        <w:pStyle w:val="Compact"/>
        <w:numPr>
          <w:ilvl w:val="0"/>
          <w:numId w:val="1016"/>
        </w:numPr>
      </w:pPr>
      <w:r>
        <w:t xml:space="preserve">exemptions review</w:t>
      </w:r>
    </w:p>
    <w:p>
      <w:pPr>
        <w:pStyle w:val="Compact"/>
        <w:numPr>
          <w:ilvl w:val="0"/>
          <w:numId w:val="1016"/>
        </w:numPr>
      </w:pPr>
      <w:r>
        <w:t xml:space="preserve">approval</w:t>
      </w:r>
    </w:p>
    <w:p>
      <w:pPr>
        <w:pStyle w:val="Compact"/>
        <w:numPr>
          <w:ilvl w:val="0"/>
          <w:numId w:val="1016"/>
        </w:numPr>
      </w:pPr>
      <w:r>
        <w:t xml:space="preserve">response</w:t>
      </w:r>
    </w:p>
    <w:p>
      <w:pPr>
        <w:pStyle w:val="Compact"/>
        <w:numPr>
          <w:ilvl w:val="0"/>
          <w:numId w:val="1016"/>
        </w:numPr>
      </w:pPr>
      <w:r>
        <w:t xml:space="preserve">evidence retention</w:t>
      </w:r>
    </w:p>
    <w:bookmarkEnd w:id="51"/>
    <w:bookmarkStart w:id="52" w:name="consent-management"/>
    <w:p>
      <w:pPr>
        <w:pStyle w:val="Heading2"/>
      </w:pPr>
      <w:r>
        <w:t xml:space="preserve">7.4 Consent Management</w:t>
      </w:r>
    </w:p>
    <w:p>
      <w:pPr>
        <w:pStyle w:val="FirstParagraph"/>
      </w:pPr>
      <w:r>
        <w:t xml:space="preserve">Where consent is used, describe how the organisation manages:</w:t>
      </w:r>
    </w:p>
    <w:p>
      <w:pPr>
        <w:pStyle w:val="Compact"/>
        <w:numPr>
          <w:ilvl w:val="0"/>
          <w:numId w:val="1017"/>
        </w:numPr>
      </w:pPr>
      <w:r>
        <w:t xml:space="preserve">collection</w:t>
      </w:r>
    </w:p>
    <w:p>
      <w:pPr>
        <w:pStyle w:val="Compact"/>
        <w:numPr>
          <w:ilvl w:val="0"/>
          <w:numId w:val="1017"/>
        </w:numPr>
      </w:pPr>
      <w:r>
        <w:t xml:space="preserve">granularity</w:t>
      </w:r>
    </w:p>
    <w:p>
      <w:pPr>
        <w:pStyle w:val="Compact"/>
        <w:numPr>
          <w:ilvl w:val="0"/>
          <w:numId w:val="1017"/>
        </w:numPr>
      </w:pPr>
      <w:r>
        <w:t xml:space="preserve">proof of consent</w:t>
      </w:r>
    </w:p>
    <w:p>
      <w:pPr>
        <w:pStyle w:val="Compact"/>
        <w:numPr>
          <w:ilvl w:val="0"/>
          <w:numId w:val="1017"/>
        </w:numPr>
      </w:pPr>
      <w:r>
        <w:t xml:space="preserve">withdrawal</w:t>
      </w:r>
    </w:p>
    <w:p>
      <w:pPr>
        <w:pStyle w:val="Compact"/>
        <w:numPr>
          <w:ilvl w:val="0"/>
          <w:numId w:val="1017"/>
        </w:numPr>
      </w:pPr>
      <w:r>
        <w:t xml:space="preserve">preference changes</w:t>
      </w:r>
    </w:p>
    <w:p>
      <w:pPr>
        <w:pStyle w:val="Compact"/>
        <w:numPr>
          <w:ilvl w:val="0"/>
          <w:numId w:val="1017"/>
        </w:numPr>
      </w:pPr>
      <w:r>
        <w:t xml:space="preserve">renewal where applicable</w:t>
      </w:r>
    </w:p>
    <w:bookmarkEnd w:id="52"/>
    <w:bookmarkStart w:id="53" w:name="data-retention-and-deletion"/>
    <w:p>
      <w:pPr>
        <w:pStyle w:val="Heading2"/>
      </w:pPr>
      <w:r>
        <w:t xml:space="preserve">7.5 Data Retention and Deletion</w:t>
      </w:r>
    </w:p>
    <w:p>
      <w:pPr>
        <w:pStyle w:val="FirstParagraph"/>
      </w:pPr>
      <w:r>
        <w:t xml:space="preserve">Describe how retention periods are defined and enforced.</w:t>
      </w:r>
    </w:p>
    <w:bookmarkEnd w:id="53"/>
    <w:bookmarkStart w:id="54" w:name="personal-data-breach-management"/>
    <w:p>
      <w:pPr>
        <w:pStyle w:val="Heading2"/>
      </w:pPr>
      <w:r>
        <w:t xml:space="preserve">7.6 Personal Data Breach Management</w:t>
      </w:r>
    </w:p>
    <w:p>
      <w:pPr>
        <w:pStyle w:val="FirstParagraph"/>
      </w:pPr>
      <w:r>
        <w:t xml:space="preserve">Document the breach workflow:</w:t>
      </w:r>
    </w:p>
    <w:p>
      <w:pPr>
        <w:pStyle w:val="Compact"/>
        <w:numPr>
          <w:ilvl w:val="0"/>
          <w:numId w:val="1018"/>
        </w:numPr>
      </w:pPr>
      <w:r>
        <w:t xml:space="preserve">detection</w:t>
      </w:r>
    </w:p>
    <w:p>
      <w:pPr>
        <w:pStyle w:val="Compact"/>
        <w:numPr>
          <w:ilvl w:val="0"/>
          <w:numId w:val="1018"/>
        </w:numPr>
      </w:pPr>
      <w:r>
        <w:t xml:space="preserve">triage</w:t>
      </w:r>
    </w:p>
    <w:p>
      <w:pPr>
        <w:pStyle w:val="Compact"/>
        <w:numPr>
          <w:ilvl w:val="0"/>
          <w:numId w:val="1018"/>
        </w:numPr>
      </w:pPr>
      <w:r>
        <w:t xml:space="preserve">containment</w:t>
      </w:r>
    </w:p>
    <w:p>
      <w:pPr>
        <w:pStyle w:val="Compact"/>
        <w:numPr>
          <w:ilvl w:val="0"/>
          <w:numId w:val="1018"/>
        </w:numPr>
      </w:pPr>
      <w:r>
        <w:t xml:space="preserve">assessment</w:t>
      </w:r>
    </w:p>
    <w:p>
      <w:pPr>
        <w:pStyle w:val="Compact"/>
        <w:numPr>
          <w:ilvl w:val="0"/>
          <w:numId w:val="1018"/>
        </w:numPr>
      </w:pPr>
      <w:r>
        <w:t xml:space="preserve">legal and privacy review</w:t>
      </w:r>
    </w:p>
    <w:p>
      <w:pPr>
        <w:pStyle w:val="Compact"/>
        <w:numPr>
          <w:ilvl w:val="0"/>
          <w:numId w:val="1018"/>
        </w:numPr>
      </w:pPr>
      <w:r>
        <w:t xml:space="preserve">notification decision</w:t>
      </w:r>
    </w:p>
    <w:p>
      <w:pPr>
        <w:pStyle w:val="Compact"/>
        <w:numPr>
          <w:ilvl w:val="0"/>
          <w:numId w:val="1018"/>
        </w:numPr>
      </w:pPr>
      <w:r>
        <w:t xml:space="preserve">supervisory authority notification</w:t>
      </w:r>
    </w:p>
    <w:p>
      <w:pPr>
        <w:pStyle w:val="Compact"/>
        <w:numPr>
          <w:ilvl w:val="0"/>
          <w:numId w:val="1018"/>
        </w:numPr>
      </w:pPr>
      <w:r>
        <w:t xml:space="preserve">data subject communication</w:t>
      </w:r>
    </w:p>
    <w:p>
      <w:pPr>
        <w:pStyle w:val="Compact"/>
        <w:numPr>
          <w:ilvl w:val="0"/>
          <w:numId w:val="1018"/>
        </w:numPr>
      </w:pPr>
      <w:r>
        <w:t xml:space="preserve">remediation</w:t>
      </w:r>
    </w:p>
    <w:p>
      <w:pPr>
        <w:pStyle w:val="Compact"/>
        <w:numPr>
          <w:ilvl w:val="0"/>
          <w:numId w:val="1018"/>
        </w:numPr>
      </w:pPr>
      <w:r>
        <w:t xml:space="preserve">lessons learned</w:t>
      </w:r>
    </w:p>
    <w:bookmarkEnd w:id="54"/>
    <w:bookmarkStart w:id="55" w:name="third-party-and-processor-management"/>
    <w:p>
      <w:pPr>
        <w:pStyle w:val="Heading2"/>
      </w:pPr>
      <w:r>
        <w:t xml:space="preserve">7.7 Third-Party and Processor Management</w:t>
      </w:r>
    </w:p>
    <w:p>
      <w:pPr>
        <w:pStyle w:val="FirstParagraph"/>
      </w:pPr>
      <w:r>
        <w:t xml:space="preserve">Describe controls for:</w:t>
      </w:r>
    </w:p>
    <w:p>
      <w:pPr>
        <w:pStyle w:val="Compact"/>
        <w:numPr>
          <w:ilvl w:val="0"/>
          <w:numId w:val="1019"/>
        </w:numPr>
      </w:pPr>
      <w:r>
        <w:t xml:space="preserve">due diligence</w:t>
      </w:r>
    </w:p>
    <w:p>
      <w:pPr>
        <w:pStyle w:val="Compact"/>
        <w:numPr>
          <w:ilvl w:val="0"/>
          <w:numId w:val="1019"/>
        </w:numPr>
      </w:pPr>
      <w:r>
        <w:t xml:space="preserve">contract clauses</w:t>
      </w:r>
    </w:p>
    <w:p>
      <w:pPr>
        <w:pStyle w:val="Compact"/>
        <w:numPr>
          <w:ilvl w:val="0"/>
          <w:numId w:val="1019"/>
        </w:numPr>
      </w:pPr>
      <w:r>
        <w:t xml:space="preserve">data processing agreements</w:t>
      </w:r>
    </w:p>
    <w:p>
      <w:pPr>
        <w:pStyle w:val="Compact"/>
        <w:numPr>
          <w:ilvl w:val="0"/>
          <w:numId w:val="1019"/>
        </w:numPr>
      </w:pPr>
      <w:r>
        <w:t xml:space="preserve">monitoring</w:t>
      </w:r>
    </w:p>
    <w:p>
      <w:pPr>
        <w:pStyle w:val="Compact"/>
        <w:numPr>
          <w:ilvl w:val="0"/>
          <w:numId w:val="1019"/>
        </w:numPr>
      </w:pPr>
      <w:r>
        <w:t xml:space="preserve">international transfer controls</w:t>
      </w:r>
    </w:p>
    <w:p>
      <w:pPr>
        <w:pStyle w:val="Compact"/>
        <w:numPr>
          <w:ilvl w:val="0"/>
          <w:numId w:val="1019"/>
        </w:numPr>
      </w:pPr>
      <w:r>
        <w:t xml:space="preserve">assurance reviews</w:t>
      </w:r>
    </w:p>
    <w:bookmarkEnd w:id="55"/>
    <w:bookmarkStart w:id="56" w:name="international-data-transfers"/>
    <w:p>
      <w:pPr>
        <w:pStyle w:val="Heading2"/>
      </w:pPr>
      <w:r>
        <w:t xml:space="preserve">7.8 International Data Transfers</w:t>
      </w:r>
    </w:p>
    <w:p>
      <w:pPr>
        <w:pStyle w:val="FirstParagraph"/>
      </w:pPr>
      <w:r>
        <w:t xml:space="preserve">Document how transfers are governed, such as:</w:t>
      </w:r>
    </w:p>
    <w:p>
      <w:pPr>
        <w:pStyle w:val="Compact"/>
        <w:numPr>
          <w:ilvl w:val="0"/>
          <w:numId w:val="1020"/>
        </w:numPr>
      </w:pPr>
      <w:r>
        <w:t xml:space="preserve">adequacy decisions</w:t>
      </w:r>
    </w:p>
    <w:p>
      <w:pPr>
        <w:pStyle w:val="Compact"/>
        <w:numPr>
          <w:ilvl w:val="0"/>
          <w:numId w:val="1020"/>
        </w:numPr>
      </w:pPr>
      <w:r>
        <w:t xml:space="preserve">standard contractual clauses</w:t>
      </w:r>
    </w:p>
    <w:p>
      <w:pPr>
        <w:pStyle w:val="Compact"/>
        <w:numPr>
          <w:ilvl w:val="0"/>
          <w:numId w:val="1020"/>
        </w:numPr>
      </w:pPr>
      <w:r>
        <w:t xml:space="preserve">transfer risk assessments</w:t>
      </w:r>
    </w:p>
    <w:p>
      <w:pPr>
        <w:pStyle w:val="Compact"/>
        <w:numPr>
          <w:ilvl w:val="0"/>
          <w:numId w:val="1020"/>
        </w:numPr>
      </w:pPr>
      <w:r>
        <w:t xml:space="preserve">supplementary measures</w:t>
      </w:r>
    </w:p>
    <w:bookmarkEnd w:id="56"/>
    <w:bookmarkEnd w:id="57"/>
    <w:bookmarkStart w:id="61" w:name="control-framework"/>
    <w:p>
      <w:pPr>
        <w:pStyle w:val="Heading1"/>
      </w:pPr>
      <w:r>
        <w:t xml:space="preserve">8. Control Framework</w:t>
      </w:r>
    </w:p>
    <w:bookmarkStart w:id="59" w:name="control-domains"/>
    <w:p>
      <w:pPr>
        <w:pStyle w:val="Heading2"/>
      </w:pPr>
      <w:r>
        <w:t xml:space="preserve">8.1 Control Domains</w:t>
      </w:r>
    </w:p>
    <w:p>
      <w:pPr>
        <w:pStyle w:val="FirstParagraph"/>
      </w:pPr>
      <w:r>
        <w:t xml:space="preserve">Organise GDPR controls into domains.</w:t>
      </w:r>
    </w:p>
    <w:bookmarkStart w:id="58" w:name="example-control-domains"/>
    <w:p>
      <w:pPr>
        <w:pStyle w:val="Heading3"/>
      </w:pPr>
      <w:r>
        <w:t xml:space="preserve">8.1.1 Example control domains</w:t>
      </w:r>
    </w:p>
    <w:p>
      <w:pPr>
        <w:pStyle w:val="Compact"/>
        <w:numPr>
          <w:ilvl w:val="0"/>
          <w:numId w:val="1021"/>
        </w:numPr>
      </w:pPr>
      <w:r>
        <w:t xml:space="preserve">governance and accountability</w:t>
      </w:r>
    </w:p>
    <w:p>
      <w:pPr>
        <w:pStyle w:val="Compact"/>
        <w:numPr>
          <w:ilvl w:val="0"/>
          <w:numId w:val="1021"/>
        </w:numPr>
      </w:pPr>
      <w:r>
        <w:t xml:space="preserve">lawful basis management</w:t>
      </w:r>
    </w:p>
    <w:p>
      <w:pPr>
        <w:pStyle w:val="Compact"/>
        <w:numPr>
          <w:ilvl w:val="0"/>
          <w:numId w:val="1021"/>
        </w:numPr>
      </w:pPr>
      <w:r>
        <w:t xml:space="preserve">transparency and notices</w:t>
      </w:r>
    </w:p>
    <w:p>
      <w:pPr>
        <w:pStyle w:val="Compact"/>
        <w:numPr>
          <w:ilvl w:val="0"/>
          <w:numId w:val="1021"/>
        </w:numPr>
      </w:pPr>
      <w:r>
        <w:t xml:space="preserve">data subject rights</w:t>
      </w:r>
    </w:p>
    <w:p>
      <w:pPr>
        <w:pStyle w:val="Compact"/>
        <w:numPr>
          <w:ilvl w:val="0"/>
          <w:numId w:val="1021"/>
        </w:numPr>
      </w:pPr>
      <w:r>
        <w:t xml:space="preserve">data minimisation</w:t>
      </w:r>
    </w:p>
    <w:p>
      <w:pPr>
        <w:pStyle w:val="Compact"/>
        <w:numPr>
          <w:ilvl w:val="0"/>
          <w:numId w:val="1021"/>
        </w:numPr>
      </w:pPr>
      <w:r>
        <w:t xml:space="preserve">retention and disposal</w:t>
      </w:r>
    </w:p>
    <w:p>
      <w:pPr>
        <w:pStyle w:val="Compact"/>
        <w:numPr>
          <w:ilvl w:val="0"/>
          <w:numId w:val="1021"/>
        </w:numPr>
      </w:pPr>
      <w:r>
        <w:t xml:space="preserve">access control</w:t>
      </w:r>
    </w:p>
    <w:p>
      <w:pPr>
        <w:pStyle w:val="Compact"/>
        <w:numPr>
          <w:ilvl w:val="0"/>
          <w:numId w:val="1021"/>
        </w:numPr>
      </w:pPr>
      <w:r>
        <w:t xml:space="preserve">encryption and security</w:t>
      </w:r>
    </w:p>
    <w:p>
      <w:pPr>
        <w:pStyle w:val="Compact"/>
        <w:numPr>
          <w:ilvl w:val="0"/>
          <w:numId w:val="1021"/>
        </w:numPr>
      </w:pPr>
      <w:r>
        <w:t xml:space="preserve">breach management</w:t>
      </w:r>
    </w:p>
    <w:p>
      <w:pPr>
        <w:pStyle w:val="Compact"/>
        <w:numPr>
          <w:ilvl w:val="0"/>
          <w:numId w:val="1021"/>
        </w:numPr>
      </w:pPr>
      <w:r>
        <w:t xml:space="preserve">third-party governance</w:t>
      </w:r>
    </w:p>
    <w:p>
      <w:pPr>
        <w:pStyle w:val="Compact"/>
        <w:numPr>
          <w:ilvl w:val="0"/>
          <w:numId w:val="1021"/>
        </w:numPr>
      </w:pPr>
      <w:r>
        <w:t xml:space="preserve">transfer controls</w:t>
      </w:r>
    </w:p>
    <w:p>
      <w:pPr>
        <w:pStyle w:val="Compact"/>
        <w:numPr>
          <w:ilvl w:val="0"/>
          <w:numId w:val="1021"/>
        </w:numPr>
      </w:pPr>
      <w:r>
        <w:t xml:space="preserve">monitoring and assurance</w:t>
      </w:r>
    </w:p>
    <w:bookmarkEnd w:id="58"/>
    <w:bookmarkEnd w:id="59"/>
    <w:bookmarkStart w:id="60" w:name="sample-control-catalogue"/>
    <w:p>
      <w:pPr>
        <w:pStyle w:val="Heading2"/>
      </w:pPr>
      <w:r>
        <w:t xml:space="preserve">8.2 Sample Control Catalogue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 ID</w:t>
            </w:r>
          </w:p>
        </w:tc>
        <w:tc>
          <w:tcPr/>
          <w:p>
            <w:pPr>
              <w:pStyle w:val="Compact"/>
            </w:pPr>
            <w:r>
              <w:t xml:space="preserve">Control Name</w:t>
            </w:r>
          </w:p>
        </w:tc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Control Owner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GDPR-01</w:t>
            </w:r>
          </w:p>
        </w:tc>
        <w:tc>
          <w:tcPr/>
          <w:p>
            <w:pPr>
              <w:pStyle w:val="Compact"/>
            </w:pPr>
            <w:r>
              <w:t xml:space="preserve">RoPA maintained</w:t>
            </w:r>
          </w:p>
        </w:tc>
        <w:tc>
          <w:tcPr/>
          <w:p>
            <w:pPr>
              <w:pStyle w:val="Compact"/>
            </w:pPr>
            <w:r>
              <w:t xml:space="preserve">Ensure processing visibility</w:t>
            </w:r>
          </w:p>
        </w:tc>
        <w:tc>
          <w:tcPr/>
          <w:p>
            <w:pPr>
              <w:pStyle w:val="Compact"/>
            </w:pPr>
            <w:r>
              <w:t xml:space="preserve">DPO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RoPA register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GDPR-02</w:t>
            </w:r>
          </w:p>
        </w:tc>
        <w:tc>
          <w:tcPr/>
          <w:p>
            <w:pPr>
              <w:pStyle w:val="Compact"/>
            </w:pPr>
            <w:r>
              <w:t xml:space="preserve">DPIA performed</w:t>
            </w:r>
          </w:p>
        </w:tc>
        <w:tc>
          <w:tcPr/>
          <w:p>
            <w:pPr>
              <w:pStyle w:val="Compact"/>
            </w:pPr>
            <w:r>
              <w:t xml:space="preserve">Assess high-risk processing</w:t>
            </w:r>
          </w:p>
        </w:tc>
        <w:tc>
          <w:tcPr/>
          <w:p>
            <w:pPr>
              <w:pStyle w:val="Compact"/>
            </w:pPr>
            <w:r>
              <w:t xml:space="preserve">Business Owner</w:t>
            </w:r>
          </w:p>
        </w:tc>
        <w:tc>
          <w:tcPr/>
          <w:p>
            <w:pPr>
              <w:pStyle w:val="Compact"/>
            </w:pPr>
            <w:r>
              <w:t xml:space="preserve">As needed</w:t>
            </w:r>
          </w:p>
        </w:tc>
        <w:tc>
          <w:tcPr/>
          <w:p>
            <w:pPr>
              <w:pStyle w:val="Compact"/>
            </w:pPr>
            <w:r>
              <w:t xml:space="preserve">Approved DPIA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GDPR-03</w:t>
            </w:r>
          </w:p>
        </w:tc>
        <w:tc>
          <w:tcPr/>
          <w:p>
            <w:pPr>
              <w:pStyle w:val="Compact"/>
            </w:pPr>
            <w:r>
              <w:t xml:space="preserve">DSAR workflow monitored</w:t>
            </w:r>
          </w:p>
        </w:tc>
        <w:tc>
          <w:tcPr/>
          <w:p>
            <w:pPr>
              <w:pStyle w:val="Compact"/>
            </w:pPr>
            <w:r>
              <w:t xml:space="preserve">Protect data subject rights</w:t>
            </w:r>
          </w:p>
        </w:tc>
        <w:tc>
          <w:tcPr/>
          <w:p>
            <w:pPr>
              <w:pStyle w:val="Compact"/>
            </w:pPr>
            <w:r>
              <w:t xml:space="preserve">Privacy Manager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DSAR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GDPR-04</w:t>
            </w:r>
          </w:p>
        </w:tc>
        <w:tc>
          <w:tcPr/>
          <w:p>
            <w:pPr>
              <w:pStyle w:val="Compact"/>
            </w:pPr>
            <w:r>
              <w:t xml:space="preserve">Breach notification process</w:t>
            </w:r>
          </w:p>
        </w:tc>
        <w:tc>
          <w:tcPr/>
          <w:p>
            <w:pPr>
              <w:pStyle w:val="Compact"/>
            </w:pPr>
            <w:r>
              <w:t xml:space="preserve">Meet notification duties</w:t>
            </w:r>
          </w:p>
        </w:tc>
        <w:tc>
          <w:tcPr/>
          <w:p>
            <w:pPr>
              <w:pStyle w:val="Compact"/>
            </w:pPr>
            <w:r>
              <w:t xml:space="preserve">CISO / DPO</w:t>
            </w:r>
          </w:p>
        </w:tc>
        <w:tc>
          <w:tcPr/>
          <w:p>
            <w:pPr>
              <w:pStyle w:val="Compact"/>
            </w:pPr>
            <w:r>
              <w:t xml:space="preserve">As needed</w:t>
            </w:r>
          </w:p>
        </w:tc>
        <w:tc>
          <w:tcPr/>
          <w:p>
            <w:pPr>
              <w:pStyle w:val="Compact"/>
            </w:pPr>
            <w:r>
              <w:t xml:space="preserve">Incident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GDPR-05</w:t>
            </w:r>
          </w:p>
        </w:tc>
        <w:tc>
          <w:tcPr/>
          <w:p>
            <w:pPr>
              <w:pStyle w:val="Compact"/>
            </w:pPr>
            <w:r>
              <w:t xml:space="preserve">Processor due diligence</w:t>
            </w:r>
          </w:p>
        </w:tc>
        <w:tc>
          <w:tcPr/>
          <w:p>
            <w:pPr>
              <w:pStyle w:val="Compact"/>
            </w:pPr>
            <w:r>
              <w:t xml:space="preserve">Reduce third-party risk</w:t>
            </w:r>
          </w:p>
        </w:tc>
        <w:tc>
          <w:tcPr/>
          <w:p>
            <w:pPr>
              <w:pStyle w:val="Compact"/>
            </w:pPr>
            <w:r>
              <w:t xml:space="preserve">Procurement</w:t>
            </w:r>
          </w:p>
        </w:tc>
        <w:tc>
          <w:tcPr/>
          <w:p>
            <w:pPr>
              <w:pStyle w:val="Compact"/>
            </w:pPr>
            <w:r>
              <w:t xml:space="preserve">Annual / onboarding</w:t>
            </w:r>
          </w:p>
        </w:tc>
        <w:tc>
          <w:tcPr/>
          <w:p>
            <w:pPr>
              <w:pStyle w:val="Compact"/>
            </w:pPr>
            <w:r>
              <w:t xml:space="preserve">Due diligence file</w:t>
            </w:r>
          </w:p>
        </w:tc>
      </w:tr>
    </w:tbl>
    <w:bookmarkEnd w:id="60"/>
    <w:bookmarkEnd w:id="61"/>
    <w:bookmarkStart w:id="64" w:name="artefacts-and-evidence"/>
    <w:p>
      <w:pPr>
        <w:pStyle w:val="Heading1"/>
      </w:pPr>
      <w:r>
        <w:t xml:space="preserve">9. Artefacts and Evidence</w:t>
      </w:r>
    </w:p>
    <w:bookmarkStart w:id="62" w:name="required-artefacts"/>
    <w:p>
      <w:pPr>
        <w:pStyle w:val="Heading2"/>
      </w:pPr>
      <w:r>
        <w:t xml:space="preserve">9.1 Required Artefacts</w:t>
      </w:r>
    </w:p>
    <w:p>
      <w:pPr>
        <w:pStyle w:val="FirstParagraph"/>
      </w:pPr>
      <w:r>
        <w:t xml:space="preserve">Document the key GDPR artefacts.</w:t>
      </w:r>
    </w:p>
    <w:p>
      <w:pPr>
        <w:pStyle w:val="Compact"/>
        <w:numPr>
          <w:ilvl w:val="0"/>
          <w:numId w:val="1022"/>
        </w:numPr>
      </w:pPr>
      <w:r>
        <w:t xml:space="preserve">privacy policy</w:t>
      </w:r>
    </w:p>
    <w:p>
      <w:pPr>
        <w:pStyle w:val="Compact"/>
        <w:numPr>
          <w:ilvl w:val="0"/>
          <w:numId w:val="1022"/>
        </w:numPr>
      </w:pPr>
      <w:r>
        <w:t xml:space="preserve">employee privacy notice</w:t>
      </w:r>
    </w:p>
    <w:p>
      <w:pPr>
        <w:pStyle w:val="Compact"/>
        <w:numPr>
          <w:ilvl w:val="0"/>
          <w:numId w:val="1022"/>
        </w:numPr>
      </w:pPr>
      <w:r>
        <w:t xml:space="preserve">customer privacy notice</w:t>
      </w:r>
    </w:p>
    <w:p>
      <w:pPr>
        <w:pStyle w:val="Compact"/>
        <w:numPr>
          <w:ilvl w:val="0"/>
          <w:numId w:val="1022"/>
        </w:numPr>
      </w:pPr>
      <w:r>
        <w:t xml:space="preserve">records of processing activities</w:t>
      </w:r>
    </w:p>
    <w:p>
      <w:pPr>
        <w:pStyle w:val="Compact"/>
        <w:numPr>
          <w:ilvl w:val="0"/>
          <w:numId w:val="1022"/>
        </w:numPr>
      </w:pPr>
      <w:r>
        <w:t xml:space="preserve">lawful basis register</w:t>
      </w:r>
    </w:p>
    <w:p>
      <w:pPr>
        <w:pStyle w:val="Compact"/>
        <w:numPr>
          <w:ilvl w:val="0"/>
          <w:numId w:val="1022"/>
        </w:numPr>
      </w:pPr>
      <w:r>
        <w:t xml:space="preserve">consent records</w:t>
      </w:r>
    </w:p>
    <w:p>
      <w:pPr>
        <w:pStyle w:val="Compact"/>
        <w:numPr>
          <w:ilvl w:val="0"/>
          <w:numId w:val="1022"/>
        </w:numPr>
      </w:pPr>
      <w:r>
        <w:t xml:space="preserve">DPIA register</w:t>
      </w:r>
    </w:p>
    <w:p>
      <w:pPr>
        <w:pStyle w:val="Compact"/>
        <w:numPr>
          <w:ilvl w:val="0"/>
          <w:numId w:val="1022"/>
        </w:numPr>
      </w:pPr>
      <w:r>
        <w:t xml:space="preserve">data transfer register</w:t>
      </w:r>
    </w:p>
    <w:p>
      <w:pPr>
        <w:pStyle w:val="Compact"/>
        <w:numPr>
          <w:ilvl w:val="0"/>
          <w:numId w:val="1022"/>
        </w:numPr>
      </w:pPr>
      <w:r>
        <w:t xml:space="preserve">retention schedule</w:t>
      </w:r>
    </w:p>
    <w:p>
      <w:pPr>
        <w:pStyle w:val="Compact"/>
        <w:numPr>
          <w:ilvl w:val="0"/>
          <w:numId w:val="1022"/>
        </w:numPr>
      </w:pPr>
      <w:r>
        <w:t xml:space="preserve">processor register</w:t>
      </w:r>
    </w:p>
    <w:p>
      <w:pPr>
        <w:pStyle w:val="Compact"/>
        <w:numPr>
          <w:ilvl w:val="0"/>
          <w:numId w:val="1022"/>
        </w:numPr>
      </w:pPr>
      <w:r>
        <w:t xml:space="preserve">data processing agreements</w:t>
      </w:r>
    </w:p>
    <w:p>
      <w:pPr>
        <w:pStyle w:val="Compact"/>
        <w:numPr>
          <w:ilvl w:val="0"/>
          <w:numId w:val="1022"/>
        </w:numPr>
      </w:pPr>
      <w:r>
        <w:t xml:space="preserve">breach register</w:t>
      </w:r>
    </w:p>
    <w:p>
      <w:pPr>
        <w:pStyle w:val="Compact"/>
        <w:numPr>
          <w:ilvl w:val="0"/>
          <w:numId w:val="1022"/>
        </w:numPr>
      </w:pPr>
      <w:r>
        <w:t xml:space="preserve">data subject request register</w:t>
      </w:r>
    </w:p>
    <w:p>
      <w:pPr>
        <w:pStyle w:val="Compact"/>
        <w:numPr>
          <w:ilvl w:val="0"/>
          <w:numId w:val="1022"/>
        </w:numPr>
      </w:pPr>
      <w:r>
        <w:t xml:space="preserve">training records</w:t>
      </w:r>
    </w:p>
    <w:p>
      <w:pPr>
        <w:pStyle w:val="Compact"/>
        <w:numPr>
          <w:ilvl w:val="0"/>
          <w:numId w:val="1022"/>
        </w:numPr>
      </w:pPr>
      <w:r>
        <w:t xml:space="preserve">monitoring reports</w:t>
      </w:r>
    </w:p>
    <w:p>
      <w:pPr>
        <w:pStyle w:val="Compact"/>
        <w:numPr>
          <w:ilvl w:val="0"/>
          <w:numId w:val="1022"/>
        </w:numPr>
      </w:pPr>
      <w:r>
        <w:t xml:space="preserve">audit reports</w:t>
      </w:r>
    </w:p>
    <w:bookmarkEnd w:id="62"/>
    <w:bookmarkStart w:id="63" w:name="evidence-model"/>
    <w:p>
      <w:pPr>
        <w:pStyle w:val="Heading2"/>
      </w:pPr>
      <w:r>
        <w:t xml:space="preserve">9.2 Evidence Model</w:t>
      </w:r>
    </w:p>
    <w:p>
      <w:pPr>
        <w:pStyle w:val="FirstParagraph"/>
      </w:pPr>
      <w:r>
        <w:t xml:space="preserve">For each artefact define:</w:t>
      </w:r>
    </w:p>
    <w:p>
      <w:pPr>
        <w:pStyle w:val="Compact"/>
        <w:numPr>
          <w:ilvl w:val="0"/>
          <w:numId w:val="1023"/>
        </w:numPr>
      </w:pPr>
      <w:r>
        <w:t xml:space="preserve">owner</w:t>
      </w:r>
    </w:p>
    <w:p>
      <w:pPr>
        <w:pStyle w:val="Compact"/>
        <w:numPr>
          <w:ilvl w:val="0"/>
          <w:numId w:val="1023"/>
        </w:numPr>
      </w:pPr>
      <w:r>
        <w:t xml:space="preserve">purpose</w:t>
      </w:r>
    </w:p>
    <w:p>
      <w:pPr>
        <w:pStyle w:val="Compact"/>
        <w:numPr>
          <w:ilvl w:val="0"/>
          <w:numId w:val="1023"/>
        </w:numPr>
      </w:pPr>
      <w:r>
        <w:t xml:space="preserve">location</w:t>
      </w:r>
    </w:p>
    <w:p>
      <w:pPr>
        <w:pStyle w:val="Compact"/>
        <w:numPr>
          <w:ilvl w:val="0"/>
          <w:numId w:val="1023"/>
        </w:numPr>
      </w:pPr>
      <w:r>
        <w:t xml:space="preserve">frequency of update</w:t>
      </w:r>
    </w:p>
    <w:p>
      <w:pPr>
        <w:pStyle w:val="Compact"/>
        <w:numPr>
          <w:ilvl w:val="0"/>
          <w:numId w:val="1023"/>
        </w:numPr>
      </w:pPr>
      <w:r>
        <w:t xml:space="preserve">retention period</w:t>
      </w:r>
    </w:p>
    <w:p>
      <w:pPr>
        <w:pStyle w:val="Compact"/>
        <w:numPr>
          <w:ilvl w:val="0"/>
          <w:numId w:val="1023"/>
        </w:numPr>
      </w:pPr>
      <w:r>
        <w:t xml:space="preserve">assurance mechanism</w:t>
      </w:r>
    </w:p>
    <w:bookmarkEnd w:id="63"/>
    <w:bookmarkEnd w:id="64"/>
    <w:bookmarkStart w:id="68" w:name="Xae94885d676bb7308908ba173e5ecf47b935bbd"/>
    <w:p>
      <w:pPr>
        <w:pStyle w:val="Heading1"/>
      </w:pPr>
      <w:r>
        <w:t xml:space="preserve">10. Architecture and Data Management Implications</w:t>
      </w:r>
    </w:p>
    <w:bookmarkStart w:id="65" w:name="privacy-by-design-and-by-default"/>
    <w:p>
      <w:pPr>
        <w:pStyle w:val="Heading2"/>
      </w:pPr>
      <w:r>
        <w:t xml:space="preserve">10.1 Privacy by Design and by Default</w:t>
      </w:r>
    </w:p>
    <w:p>
      <w:pPr>
        <w:pStyle w:val="FirstParagraph"/>
      </w:pPr>
      <w:r>
        <w:t xml:space="preserve">Describe how privacy requirements are embedded into:</w:t>
      </w:r>
    </w:p>
    <w:p>
      <w:pPr>
        <w:pStyle w:val="Compact"/>
        <w:numPr>
          <w:ilvl w:val="0"/>
          <w:numId w:val="1024"/>
        </w:numPr>
      </w:pPr>
      <w:r>
        <w:t xml:space="preserve">solution design</w:t>
      </w:r>
    </w:p>
    <w:p>
      <w:pPr>
        <w:pStyle w:val="Compact"/>
        <w:numPr>
          <w:ilvl w:val="0"/>
          <w:numId w:val="1024"/>
        </w:numPr>
      </w:pPr>
      <w:r>
        <w:t xml:space="preserve">data modelling</w:t>
      </w:r>
    </w:p>
    <w:p>
      <w:pPr>
        <w:pStyle w:val="Compact"/>
        <w:numPr>
          <w:ilvl w:val="0"/>
          <w:numId w:val="1024"/>
        </w:numPr>
      </w:pPr>
      <w:r>
        <w:t xml:space="preserve">application development</w:t>
      </w:r>
    </w:p>
    <w:p>
      <w:pPr>
        <w:pStyle w:val="Compact"/>
        <w:numPr>
          <w:ilvl w:val="0"/>
          <w:numId w:val="1024"/>
        </w:numPr>
      </w:pPr>
      <w:r>
        <w:t xml:space="preserve">procurement</w:t>
      </w:r>
    </w:p>
    <w:p>
      <w:pPr>
        <w:pStyle w:val="Compact"/>
        <w:numPr>
          <w:ilvl w:val="0"/>
          <w:numId w:val="1024"/>
        </w:numPr>
      </w:pPr>
      <w:r>
        <w:t xml:space="preserve">cloud adoption</w:t>
      </w:r>
    </w:p>
    <w:p>
      <w:pPr>
        <w:pStyle w:val="Compact"/>
        <w:numPr>
          <w:ilvl w:val="0"/>
          <w:numId w:val="1024"/>
        </w:numPr>
      </w:pPr>
      <w:r>
        <w:t xml:space="preserve">analytics and AI initiatives</w:t>
      </w:r>
    </w:p>
    <w:p>
      <w:pPr>
        <w:pStyle w:val="Compact"/>
        <w:numPr>
          <w:ilvl w:val="0"/>
          <w:numId w:val="1024"/>
        </w:numPr>
      </w:pPr>
      <w:r>
        <w:t xml:space="preserve">data sharing</w:t>
      </w:r>
    </w:p>
    <w:p>
      <w:pPr>
        <w:pStyle w:val="Compact"/>
        <w:numPr>
          <w:ilvl w:val="0"/>
          <w:numId w:val="1024"/>
        </w:numPr>
      </w:pPr>
      <w:r>
        <w:t xml:space="preserve">identity and access management</w:t>
      </w:r>
    </w:p>
    <w:bookmarkEnd w:id="65"/>
    <w:bookmarkStart w:id="66" w:name="data-lifecycle-view"/>
    <w:p>
      <w:pPr>
        <w:pStyle w:val="Heading2"/>
      </w:pPr>
      <w:r>
        <w:t xml:space="preserve">10.2 Data Lifecycle View</w:t>
      </w:r>
    </w:p>
    <w:p>
      <w:pPr>
        <w:pStyle w:val="FirstParagraph"/>
      </w:pPr>
      <w:r>
        <w:t xml:space="preserve">Document the lifecycle of personal data:</w:t>
      </w:r>
    </w:p>
    <w:p>
      <w:pPr>
        <w:pStyle w:val="Compact"/>
        <w:numPr>
          <w:ilvl w:val="0"/>
          <w:numId w:val="1025"/>
        </w:numPr>
      </w:pPr>
      <w:r>
        <w:t xml:space="preserve">collection</w:t>
      </w:r>
    </w:p>
    <w:p>
      <w:pPr>
        <w:pStyle w:val="Compact"/>
        <w:numPr>
          <w:ilvl w:val="0"/>
          <w:numId w:val="1025"/>
        </w:numPr>
      </w:pPr>
      <w:r>
        <w:t xml:space="preserve">storage</w:t>
      </w:r>
    </w:p>
    <w:p>
      <w:pPr>
        <w:pStyle w:val="Compact"/>
        <w:numPr>
          <w:ilvl w:val="0"/>
          <w:numId w:val="1025"/>
        </w:numPr>
      </w:pPr>
      <w:r>
        <w:t xml:space="preserve">use</w:t>
      </w:r>
    </w:p>
    <w:p>
      <w:pPr>
        <w:pStyle w:val="Compact"/>
        <w:numPr>
          <w:ilvl w:val="0"/>
          <w:numId w:val="1025"/>
        </w:numPr>
      </w:pPr>
      <w:r>
        <w:t xml:space="preserve">sharing</w:t>
      </w:r>
    </w:p>
    <w:p>
      <w:pPr>
        <w:pStyle w:val="Compact"/>
        <w:numPr>
          <w:ilvl w:val="0"/>
          <w:numId w:val="1025"/>
        </w:numPr>
      </w:pPr>
      <w:r>
        <w:t xml:space="preserve">archival</w:t>
      </w:r>
    </w:p>
    <w:p>
      <w:pPr>
        <w:pStyle w:val="Compact"/>
        <w:numPr>
          <w:ilvl w:val="0"/>
          <w:numId w:val="1025"/>
        </w:numPr>
      </w:pPr>
      <w:r>
        <w:t xml:space="preserve">deletion</w:t>
      </w:r>
    </w:p>
    <w:bookmarkEnd w:id="66"/>
    <w:bookmarkStart w:id="67" w:name="data-flow-mapping"/>
    <w:p>
      <w:pPr>
        <w:pStyle w:val="Heading2"/>
      </w:pPr>
      <w:r>
        <w:t xml:space="preserve">10.3 Data Flow Mapping</w:t>
      </w:r>
    </w:p>
    <w:p>
      <w:pPr>
        <w:pStyle w:val="FirstParagraph"/>
      </w:pPr>
      <w:r>
        <w:t xml:space="preserve">Include or reference:</w:t>
      </w:r>
    </w:p>
    <w:p>
      <w:pPr>
        <w:pStyle w:val="Compact"/>
        <w:numPr>
          <w:ilvl w:val="0"/>
          <w:numId w:val="1026"/>
        </w:numPr>
      </w:pPr>
      <w:r>
        <w:t xml:space="preserve">system landscape diagrams</w:t>
      </w:r>
    </w:p>
    <w:p>
      <w:pPr>
        <w:pStyle w:val="Compact"/>
        <w:numPr>
          <w:ilvl w:val="0"/>
          <w:numId w:val="1026"/>
        </w:numPr>
      </w:pPr>
      <w:r>
        <w:t xml:space="preserve">data flow diagrams</w:t>
      </w:r>
    </w:p>
    <w:p>
      <w:pPr>
        <w:pStyle w:val="Compact"/>
        <w:numPr>
          <w:ilvl w:val="0"/>
          <w:numId w:val="1026"/>
        </w:numPr>
      </w:pPr>
      <w:r>
        <w:t xml:space="preserve">processor ecosystem maps</w:t>
      </w:r>
    </w:p>
    <w:p>
      <w:pPr>
        <w:pStyle w:val="Compact"/>
        <w:numPr>
          <w:ilvl w:val="0"/>
          <w:numId w:val="1026"/>
        </w:numPr>
      </w:pPr>
      <w:r>
        <w:t xml:space="preserve">cross-border transfer maps</w:t>
      </w:r>
    </w:p>
    <w:bookmarkEnd w:id="67"/>
    <w:bookmarkEnd w:id="68"/>
    <w:bookmarkStart w:id="72" w:name="risk-management"/>
    <w:p>
      <w:pPr>
        <w:pStyle w:val="Heading1"/>
      </w:pPr>
      <w:r>
        <w:t xml:space="preserve">11. Risk Management</w:t>
      </w:r>
    </w:p>
    <w:bookmarkStart w:id="69" w:name="privacy-risk-model"/>
    <w:p>
      <w:pPr>
        <w:pStyle w:val="Heading2"/>
      </w:pPr>
      <w:r>
        <w:t xml:space="preserve">11.1 Privacy Risk Model</w:t>
      </w:r>
    </w:p>
    <w:p>
      <w:pPr>
        <w:pStyle w:val="FirstParagraph"/>
      </w:pPr>
      <w:r>
        <w:t xml:space="preserve">Describe how privacy risks are identified, assessed, treated, and monitored.</w:t>
      </w:r>
    </w:p>
    <w:bookmarkEnd w:id="69"/>
    <w:bookmarkStart w:id="70" w:name="example-risk-categories"/>
    <w:p>
      <w:pPr>
        <w:pStyle w:val="Heading2"/>
      </w:pPr>
      <w:r>
        <w:t xml:space="preserve">11.2 Example Risk Categories</w:t>
      </w:r>
    </w:p>
    <w:p>
      <w:pPr>
        <w:pStyle w:val="Compact"/>
        <w:numPr>
          <w:ilvl w:val="0"/>
          <w:numId w:val="1027"/>
        </w:numPr>
      </w:pPr>
      <w:r>
        <w:t xml:space="preserve">unlawful processing</w:t>
      </w:r>
    </w:p>
    <w:p>
      <w:pPr>
        <w:pStyle w:val="Compact"/>
        <w:numPr>
          <w:ilvl w:val="0"/>
          <w:numId w:val="1027"/>
        </w:numPr>
      </w:pPr>
      <w:r>
        <w:t xml:space="preserve">excessive data collection</w:t>
      </w:r>
    </w:p>
    <w:p>
      <w:pPr>
        <w:pStyle w:val="Compact"/>
        <w:numPr>
          <w:ilvl w:val="0"/>
          <w:numId w:val="1027"/>
        </w:numPr>
      </w:pPr>
      <w:r>
        <w:t xml:space="preserve">inadequate transparency</w:t>
      </w:r>
    </w:p>
    <w:p>
      <w:pPr>
        <w:pStyle w:val="Compact"/>
        <w:numPr>
          <w:ilvl w:val="0"/>
          <w:numId w:val="1027"/>
        </w:numPr>
      </w:pPr>
      <w:r>
        <w:t xml:space="preserve">failure to fulfil data subject rights</w:t>
      </w:r>
    </w:p>
    <w:p>
      <w:pPr>
        <w:pStyle w:val="Compact"/>
        <w:numPr>
          <w:ilvl w:val="0"/>
          <w:numId w:val="1027"/>
        </w:numPr>
      </w:pPr>
      <w:r>
        <w:t xml:space="preserve">weak access controls</w:t>
      </w:r>
    </w:p>
    <w:p>
      <w:pPr>
        <w:pStyle w:val="Compact"/>
        <w:numPr>
          <w:ilvl w:val="0"/>
          <w:numId w:val="1027"/>
        </w:numPr>
      </w:pPr>
      <w:r>
        <w:t xml:space="preserve">excessive retention</w:t>
      </w:r>
    </w:p>
    <w:p>
      <w:pPr>
        <w:pStyle w:val="Compact"/>
        <w:numPr>
          <w:ilvl w:val="0"/>
          <w:numId w:val="1027"/>
        </w:numPr>
      </w:pPr>
      <w:r>
        <w:t xml:space="preserve">unauthorised disclosure</w:t>
      </w:r>
    </w:p>
    <w:p>
      <w:pPr>
        <w:pStyle w:val="Compact"/>
        <w:numPr>
          <w:ilvl w:val="0"/>
          <w:numId w:val="1027"/>
        </w:numPr>
      </w:pPr>
      <w:r>
        <w:t xml:space="preserve">processor non-compliance</w:t>
      </w:r>
    </w:p>
    <w:p>
      <w:pPr>
        <w:pStyle w:val="Compact"/>
        <w:numPr>
          <w:ilvl w:val="0"/>
          <w:numId w:val="1027"/>
        </w:numPr>
      </w:pPr>
      <w:r>
        <w:t xml:space="preserve">uncontrolled transfers</w:t>
      </w:r>
    </w:p>
    <w:p>
      <w:pPr>
        <w:pStyle w:val="Compact"/>
        <w:numPr>
          <w:ilvl w:val="0"/>
          <w:numId w:val="1027"/>
        </w:numPr>
      </w:pPr>
      <w:r>
        <w:t xml:space="preserve">poor evidence and accountability</w:t>
      </w:r>
    </w:p>
    <w:bookmarkEnd w:id="70"/>
    <w:bookmarkStart w:id="71" w:name="risk-register-template"/>
    <w:p>
      <w:pPr>
        <w:pStyle w:val="Heading2"/>
      </w:pPr>
      <w:r>
        <w:t xml:space="preserve">11.3 Risk Register Template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 ID</w:t>
            </w:r>
          </w:p>
        </w:tc>
        <w:tc>
          <w:tcPr/>
          <w:p>
            <w:pPr>
              <w:pStyle w:val="Compact"/>
            </w:pPr>
            <w:r>
              <w:t xml:space="preserve">Risk Description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Inherent Risk</w:t>
            </w:r>
          </w:p>
        </w:tc>
        <w:tc>
          <w:tcPr/>
          <w:p>
            <w:pPr>
              <w:pStyle w:val="Compact"/>
            </w:pPr>
            <w:r>
              <w:t xml:space="preserve">Control Strength</w:t>
            </w:r>
          </w:p>
        </w:tc>
        <w:tc>
          <w:tcPr/>
          <w:p>
            <w:pPr>
              <w:pStyle w:val="Compact"/>
            </w:pPr>
            <w:r>
              <w:t xml:space="preserve">Residual Risk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PR-01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</w:tbl>
    <w:bookmarkEnd w:id="71"/>
    <w:bookmarkEnd w:id="72"/>
    <w:bookmarkStart w:id="75" w:name="metrics-and-reporting"/>
    <w:p>
      <w:pPr>
        <w:pStyle w:val="Heading1"/>
      </w:pPr>
      <w:r>
        <w:t xml:space="preserve">12. Metrics and Reporting</w:t>
      </w:r>
    </w:p>
    <w:bookmarkStart w:id="73" w:name="key-metrics"/>
    <w:p>
      <w:pPr>
        <w:pStyle w:val="Heading2"/>
      </w:pPr>
      <w:r>
        <w:t xml:space="preserve">12.1 Key Metrics</w:t>
      </w:r>
    </w:p>
    <w:p>
      <w:pPr>
        <w:pStyle w:val="FirstParagraph"/>
      </w:pPr>
      <w:r>
        <w:t xml:space="preserve">Examples of GDPR metrics:</w:t>
      </w:r>
    </w:p>
    <w:p>
      <w:pPr>
        <w:pStyle w:val="Compact"/>
        <w:numPr>
          <w:ilvl w:val="0"/>
          <w:numId w:val="1028"/>
        </w:numPr>
      </w:pPr>
      <w:r>
        <w:t xml:space="preserve">percentage of processing activities recorded in RoPA</w:t>
      </w:r>
    </w:p>
    <w:p>
      <w:pPr>
        <w:pStyle w:val="Compact"/>
        <w:numPr>
          <w:ilvl w:val="0"/>
          <w:numId w:val="1028"/>
        </w:numPr>
      </w:pPr>
      <w:r>
        <w:t xml:space="preserve">number of overdue DPIAs</w:t>
      </w:r>
    </w:p>
    <w:p>
      <w:pPr>
        <w:pStyle w:val="Compact"/>
        <w:numPr>
          <w:ilvl w:val="0"/>
          <w:numId w:val="1028"/>
        </w:numPr>
      </w:pPr>
      <w:r>
        <w:t xml:space="preserve">percentage of staff completing privacy training</w:t>
      </w:r>
    </w:p>
    <w:p>
      <w:pPr>
        <w:pStyle w:val="Compact"/>
        <w:numPr>
          <w:ilvl w:val="0"/>
          <w:numId w:val="1028"/>
        </w:numPr>
      </w:pPr>
      <w:r>
        <w:t xml:space="preserve">number of data subject requests received</w:t>
      </w:r>
    </w:p>
    <w:p>
      <w:pPr>
        <w:pStyle w:val="Compact"/>
        <w:numPr>
          <w:ilvl w:val="0"/>
          <w:numId w:val="1028"/>
        </w:numPr>
      </w:pPr>
      <w:r>
        <w:t xml:space="preserve">average fulfilment time for requests</w:t>
      </w:r>
    </w:p>
    <w:p>
      <w:pPr>
        <w:pStyle w:val="Compact"/>
        <w:numPr>
          <w:ilvl w:val="0"/>
          <w:numId w:val="1028"/>
        </w:numPr>
      </w:pPr>
      <w:r>
        <w:t xml:space="preserve">number of personal data breaches</w:t>
      </w:r>
    </w:p>
    <w:p>
      <w:pPr>
        <w:pStyle w:val="Compact"/>
        <w:numPr>
          <w:ilvl w:val="0"/>
          <w:numId w:val="1028"/>
        </w:numPr>
      </w:pPr>
      <w:r>
        <w:t xml:space="preserve">percentage of third parties with signed DPAs</w:t>
      </w:r>
    </w:p>
    <w:p>
      <w:pPr>
        <w:pStyle w:val="Compact"/>
        <w:numPr>
          <w:ilvl w:val="0"/>
          <w:numId w:val="1028"/>
        </w:numPr>
      </w:pPr>
      <w:r>
        <w:t xml:space="preserve">percentage of records with defined retention rules</w:t>
      </w:r>
    </w:p>
    <w:p>
      <w:pPr>
        <w:pStyle w:val="Compact"/>
        <w:numPr>
          <w:ilvl w:val="0"/>
          <w:numId w:val="1028"/>
        </w:numPr>
      </w:pPr>
      <w:r>
        <w:t xml:space="preserve">number of transfer assessments completed</w:t>
      </w:r>
    </w:p>
    <w:p>
      <w:pPr>
        <w:pStyle w:val="Compact"/>
        <w:numPr>
          <w:ilvl w:val="0"/>
          <w:numId w:val="1028"/>
        </w:numPr>
      </w:pPr>
      <w:r>
        <w:t xml:space="preserve">audit findings open vs closed</w:t>
      </w:r>
    </w:p>
    <w:bookmarkEnd w:id="73"/>
    <w:bookmarkStart w:id="74" w:name="dashboard-structure"/>
    <w:p>
      <w:pPr>
        <w:pStyle w:val="Heading2"/>
      </w:pPr>
      <w:r>
        <w:t xml:space="preserve">12.2 Dashboard Structure</w:t>
      </w:r>
    </w:p>
    <w:p>
      <w:pPr>
        <w:pStyle w:val="FirstParagraph"/>
      </w:pPr>
      <w:r>
        <w:t xml:space="preserve">Suggested dashboard views:</w:t>
      </w:r>
    </w:p>
    <w:p>
      <w:pPr>
        <w:pStyle w:val="Compact"/>
        <w:numPr>
          <w:ilvl w:val="0"/>
          <w:numId w:val="1029"/>
        </w:numPr>
      </w:pPr>
      <w:r>
        <w:t xml:space="preserve">executive dashboard</w:t>
      </w:r>
    </w:p>
    <w:p>
      <w:pPr>
        <w:pStyle w:val="Compact"/>
        <w:numPr>
          <w:ilvl w:val="0"/>
          <w:numId w:val="1029"/>
        </w:numPr>
      </w:pPr>
      <w:r>
        <w:t xml:space="preserve">compliance dashboard</w:t>
      </w:r>
    </w:p>
    <w:p>
      <w:pPr>
        <w:pStyle w:val="Compact"/>
        <w:numPr>
          <w:ilvl w:val="0"/>
          <w:numId w:val="1029"/>
        </w:numPr>
      </w:pPr>
      <w:r>
        <w:t xml:space="preserve">operational privacy dashboard</w:t>
      </w:r>
    </w:p>
    <w:p>
      <w:pPr>
        <w:pStyle w:val="Compact"/>
        <w:numPr>
          <w:ilvl w:val="0"/>
          <w:numId w:val="1029"/>
        </w:numPr>
      </w:pPr>
      <w:r>
        <w:t xml:space="preserve">incident and breach dashboard</w:t>
      </w:r>
    </w:p>
    <w:p>
      <w:pPr>
        <w:pStyle w:val="Compact"/>
        <w:numPr>
          <w:ilvl w:val="0"/>
          <w:numId w:val="1029"/>
        </w:numPr>
      </w:pPr>
      <w:r>
        <w:t xml:space="preserve">third-party privacy dashboard</w:t>
      </w:r>
    </w:p>
    <w:bookmarkEnd w:id="74"/>
    <w:bookmarkEnd w:id="75"/>
    <w:bookmarkStart w:id="78" w:name="audit-and-assurance"/>
    <w:p>
      <w:pPr>
        <w:pStyle w:val="Heading1"/>
      </w:pPr>
      <w:r>
        <w:t xml:space="preserve">13. Audit and Assurance</w:t>
      </w:r>
    </w:p>
    <w:bookmarkStart w:id="76" w:name="assurance-model"/>
    <w:p>
      <w:pPr>
        <w:pStyle w:val="Heading2"/>
      </w:pPr>
      <w:r>
        <w:t xml:space="preserve">13.1 Assurance Model</w:t>
      </w:r>
    </w:p>
    <w:p>
      <w:pPr>
        <w:pStyle w:val="FirstParagraph"/>
      </w:pPr>
      <w:r>
        <w:t xml:space="preserve">Document the assurance approach across:</w:t>
      </w:r>
    </w:p>
    <w:p>
      <w:pPr>
        <w:pStyle w:val="Compact"/>
        <w:numPr>
          <w:ilvl w:val="0"/>
          <w:numId w:val="1030"/>
        </w:numPr>
      </w:pPr>
      <w:r>
        <w:t xml:space="preserve">management self-assessment</w:t>
      </w:r>
    </w:p>
    <w:p>
      <w:pPr>
        <w:pStyle w:val="Compact"/>
        <w:numPr>
          <w:ilvl w:val="0"/>
          <w:numId w:val="1030"/>
        </w:numPr>
      </w:pPr>
      <w:r>
        <w:t xml:space="preserve">second-line compliance reviews</w:t>
      </w:r>
    </w:p>
    <w:p>
      <w:pPr>
        <w:pStyle w:val="Compact"/>
        <w:numPr>
          <w:ilvl w:val="0"/>
          <w:numId w:val="1030"/>
        </w:numPr>
      </w:pPr>
      <w:r>
        <w:t xml:space="preserve">control testing</w:t>
      </w:r>
    </w:p>
    <w:p>
      <w:pPr>
        <w:pStyle w:val="Compact"/>
        <w:numPr>
          <w:ilvl w:val="0"/>
          <w:numId w:val="1030"/>
        </w:numPr>
      </w:pPr>
      <w:r>
        <w:t xml:space="preserve">internal audit</w:t>
      </w:r>
    </w:p>
    <w:p>
      <w:pPr>
        <w:pStyle w:val="Compact"/>
        <w:numPr>
          <w:ilvl w:val="0"/>
          <w:numId w:val="1030"/>
        </w:numPr>
      </w:pPr>
      <w:r>
        <w:t xml:space="preserve">external audit or certification support where relevant</w:t>
      </w:r>
    </w:p>
    <w:bookmarkEnd w:id="76"/>
    <w:bookmarkStart w:id="77" w:name="testing-themes"/>
    <w:p>
      <w:pPr>
        <w:pStyle w:val="Heading2"/>
      </w:pPr>
      <w:r>
        <w:t xml:space="preserve">13.2 Testing Themes</w:t>
      </w:r>
    </w:p>
    <w:p>
      <w:pPr>
        <w:pStyle w:val="Compact"/>
        <w:numPr>
          <w:ilvl w:val="0"/>
          <w:numId w:val="1031"/>
        </w:numPr>
      </w:pPr>
      <w:r>
        <w:t xml:space="preserve">governance and accountability</w:t>
      </w:r>
    </w:p>
    <w:p>
      <w:pPr>
        <w:pStyle w:val="Compact"/>
        <w:numPr>
          <w:ilvl w:val="0"/>
          <w:numId w:val="1031"/>
        </w:numPr>
      </w:pPr>
      <w:r>
        <w:t xml:space="preserve">evidence of lawful basis</w:t>
      </w:r>
    </w:p>
    <w:p>
      <w:pPr>
        <w:pStyle w:val="Compact"/>
        <w:numPr>
          <w:ilvl w:val="0"/>
          <w:numId w:val="1031"/>
        </w:numPr>
      </w:pPr>
      <w:r>
        <w:t xml:space="preserve">privacy notice quality</w:t>
      </w:r>
    </w:p>
    <w:p>
      <w:pPr>
        <w:pStyle w:val="Compact"/>
        <w:numPr>
          <w:ilvl w:val="0"/>
          <w:numId w:val="1031"/>
        </w:numPr>
      </w:pPr>
      <w:r>
        <w:t xml:space="preserve">DSAR effectiveness</w:t>
      </w:r>
    </w:p>
    <w:p>
      <w:pPr>
        <w:pStyle w:val="Compact"/>
        <w:numPr>
          <w:ilvl w:val="0"/>
          <w:numId w:val="1031"/>
        </w:numPr>
      </w:pPr>
      <w:r>
        <w:t xml:space="preserve">DPIA completeness</w:t>
      </w:r>
    </w:p>
    <w:p>
      <w:pPr>
        <w:pStyle w:val="Compact"/>
        <w:numPr>
          <w:ilvl w:val="0"/>
          <w:numId w:val="1031"/>
        </w:numPr>
      </w:pPr>
      <w:r>
        <w:t xml:space="preserve">breach notification timeliness</w:t>
      </w:r>
    </w:p>
    <w:p>
      <w:pPr>
        <w:pStyle w:val="Compact"/>
        <w:numPr>
          <w:ilvl w:val="0"/>
          <w:numId w:val="1031"/>
        </w:numPr>
      </w:pPr>
      <w:r>
        <w:t xml:space="preserve">processor management</w:t>
      </w:r>
    </w:p>
    <w:p>
      <w:pPr>
        <w:pStyle w:val="Compact"/>
        <w:numPr>
          <w:ilvl w:val="0"/>
          <w:numId w:val="1031"/>
        </w:numPr>
      </w:pPr>
      <w:r>
        <w:t xml:space="preserve">retention enforcement</w:t>
      </w:r>
    </w:p>
    <w:p>
      <w:pPr>
        <w:pStyle w:val="Compact"/>
        <w:numPr>
          <w:ilvl w:val="0"/>
          <w:numId w:val="1031"/>
        </w:numPr>
      </w:pPr>
      <w:r>
        <w:t xml:space="preserve">transfer governance</w:t>
      </w:r>
    </w:p>
    <w:bookmarkEnd w:id="77"/>
    <w:bookmarkEnd w:id="78"/>
    <w:bookmarkStart w:id="85" w:name="implementation-roadmap"/>
    <w:p>
      <w:pPr>
        <w:pStyle w:val="Heading1"/>
      </w:pPr>
      <w:r>
        <w:t xml:space="preserve">14. Implementation Roadmap</w:t>
      </w:r>
    </w:p>
    <w:bookmarkStart w:id="83" w:name="maturity-phases"/>
    <w:p>
      <w:pPr>
        <w:pStyle w:val="Heading2"/>
      </w:pPr>
      <w:r>
        <w:t xml:space="preserve">14.1 Maturity Phases</w:t>
      </w:r>
    </w:p>
    <w:bookmarkStart w:id="79" w:name="phase-1-foundation"/>
    <w:p>
      <w:pPr>
        <w:pStyle w:val="Heading3"/>
      </w:pPr>
      <w:r>
        <w:t xml:space="preserve">14.1.1 Phase 1: Foundation</w:t>
      </w:r>
    </w:p>
    <w:p>
      <w:pPr>
        <w:pStyle w:val="Compact"/>
        <w:numPr>
          <w:ilvl w:val="0"/>
          <w:numId w:val="1032"/>
        </w:numPr>
      </w:pPr>
      <w:r>
        <w:t xml:space="preserve">establish governance</w:t>
      </w:r>
    </w:p>
    <w:p>
      <w:pPr>
        <w:pStyle w:val="Compact"/>
        <w:numPr>
          <w:ilvl w:val="0"/>
          <w:numId w:val="1032"/>
        </w:numPr>
      </w:pPr>
      <w:r>
        <w:t xml:space="preserve">define policies</w:t>
      </w:r>
    </w:p>
    <w:p>
      <w:pPr>
        <w:pStyle w:val="Compact"/>
        <w:numPr>
          <w:ilvl w:val="0"/>
          <w:numId w:val="1032"/>
        </w:numPr>
      </w:pPr>
      <w:r>
        <w:t xml:space="preserve">identify roles</w:t>
      </w:r>
    </w:p>
    <w:p>
      <w:pPr>
        <w:pStyle w:val="Compact"/>
        <w:numPr>
          <w:ilvl w:val="0"/>
          <w:numId w:val="1032"/>
        </w:numPr>
      </w:pPr>
      <w:r>
        <w:t xml:space="preserve">create RoPA baseline</w:t>
      </w:r>
    </w:p>
    <w:p>
      <w:pPr>
        <w:pStyle w:val="Compact"/>
        <w:numPr>
          <w:ilvl w:val="0"/>
          <w:numId w:val="1032"/>
        </w:numPr>
      </w:pPr>
      <w:r>
        <w:t xml:space="preserve">launch awareness training</w:t>
      </w:r>
    </w:p>
    <w:bookmarkEnd w:id="79"/>
    <w:bookmarkStart w:id="80" w:name="phase-2-control-design"/>
    <w:p>
      <w:pPr>
        <w:pStyle w:val="Heading3"/>
      </w:pPr>
      <w:r>
        <w:t xml:space="preserve">14.1.2 Phase 2: Control Design</w:t>
      </w:r>
    </w:p>
    <w:p>
      <w:pPr>
        <w:pStyle w:val="Compact"/>
        <w:numPr>
          <w:ilvl w:val="0"/>
          <w:numId w:val="1033"/>
        </w:numPr>
      </w:pPr>
      <w:r>
        <w:t xml:space="preserve">implement DPIA process</w:t>
      </w:r>
    </w:p>
    <w:p>
      <w:pPr>
        <w:pStyle w:val="Compact"/>
        <w:numPr>
          <w:ilvl w:val="0"/>
          <w:numId w:val="1033"/>
        </w:numPr>
      </w:pPr>
      <w:r>
        <w:t xml:space="preserve">implement DSAR workflow</w:t>
      </w:r>
    </w:p>
    <w:p>
      <w:pPr>
        <w:pStyle w:val="Compact"/>
        <w:numPr>
          <w:ilvl w:val="0"/>
          <w:numId w:val="1033"/>
        </w:numPr>
      </w:pPr>
      <w:r>
        <w:t xml:space="preserve">define retention schedules</w:t>
      </w:r>
    </w:p>
    <w:p>
      <w:pPr>
        <w:pStyle w:val="Compact"/>
        <w:numPr>
          <w:ilvl w:val="0"/>
          <w:numId w:val="1033"/>
        </w:numPr>
      </w:pPr>
      <w:r>
        <w:t xml:space="preserve">implement breach procedures</w:t>
      </w:r>
    </w:p>
    <w:p>
      <w:pPr>
        <w:pStyle w:val="Compact"/>
        <w:numPr>
          <w:ilvl w:val="0"/>
          <w:numId w:val="1033"/>
        </w:numPr>
      </w:pPr>
      <w:r>
        <w:t xml:space="preserve">formalise processor management</w:t>
      </w:r>
    </w:p>
    <w:bookmarkEnd w:id="80"/>
    <w:bookmarkStart w:id="81" w:name="phase-3-integration"/>
    <w:p>
      <w:pPr>
        <w:pStyle w:val="Heading3"/>
      </w:pPr>
      <w:r>
        <w:t xml:space="preserve">14.1.3 Phase 3: Integration</w:t>
      </w:r>
    </w:p>
    <w:p>
      <w:pPr>
        <w:pStyle w:val="Compact"/>
        <w:numPr>
          <w:ilvl w:val="0"/>
          <w:numId w:val="1034"/>
        </w:numPr>
      </w:pPr>
      <w:r>
        <w:t xml:space="preserve">embed privacy in projects and architecture</w:t>
      </w:r>
    </w:p>
    <w:p>
      <w:pPr>
        <w:pStyle w:val="Compact"/>
        <w:numPr>
          <w:ilvl w:val="0"/>
          <w:numId w:val="1034"/>
        </w:numPr>
      </w:pPr>
      <w:r>
        <w:t xml:space="preserve">integrate with risk and security processes</w:t>
      </w:r>
    </w:p>
    <w:p>
      <w:pPr>
        <w:pStyle w:val="Compact"/>
        <w:numPr>
          <w:ilvl w:val="0"/>
          <w:numId w:val="1034"/>
        </w:numPr>
      </w:pPr>
      <w:r>
        <w:t xml:space="preserve">automate evidence collection</w:t>
      </w:r>
    </w:p>
    <w:p>
      <w:pPr>
        <w:pStyle w:val="Compact"/>
        <w:numPr>
          <w:ilvl w:val="0"/>
          <w:numId w:val="1034"/>
        </w:numPr>
      </w:pPr>
      <w:r>
        <w:t xml:space="preserve">improve data discovery and mapping</w:t>
      </w:r>
    </w:p>
    <w:bookmarkEnd w:id="81"/>
    <w:bookmarkStart w:id="82" w:name="phase-4-optimisation"/>
    <w:p>
      <w:pPr>
        <w:pStyle w:val="Heading3"/>
      </w:pPr>
      <w:r>
        <w:t xml:space="preserve">14.1.4 Phase 4: Optimisation</w:t>
      </w:r>
    </w:p>
    <w:p>
      <w:pPr>
        <w:pStyle w:val="Compact"/>
        <w:numPr>
          <w:ilvl w:val="0"/>
          <w:numId w:val="1035"/>
        </w:numPr>
      </w:pPr>
      <w:r>
        <w:t xml:space="preserve">implement metrics and dashboards</w:t>
      </w:r>
    </w:p>
    <w:p>
      <w:pPr>
        <w:pStyle w:val="Compact"/>
        <w:numPr>
          <w:ilvl w:val="0"/>
          <w:numId w:val="1035"/>
        </w:numPr>
      </w:pPr>
      <w:r>
        <w:t xml:space="preserve">conduct deep assurance reviews</w:t>
      </w:r>
    </w:p>
    <w:p>
      <w:pPr>
        <w:pStyle w:val="Compact"/>
        <w:numPr>
          <w:ilvl w:val="0"/>
          <w:numId w:val="1035"/>
        </w:numPr>
      </w:pPr>
      <w:r>
        <w:t xml:space="preserve">strengthen automation</w:t>
      </w:r>
    </w:p>
    <w:p>
      <w:pPr>
        <w:pStyle w:val="Compact"/>
        <w:numPr>
          <w:ilvl w:val="0"/>
          <w:numId w:val="1035"/>
        </w:numPr>
      </w:pPr>
      <w:r>
        <w:t xml:space="preserve">improve continuous monitoring</w:t>
      </w:r>
    </w:p>
    <w:bookmarkEnd w:id="82"/>
    <w:bookmarkEnd w:id="83"/>
    <w:bookmarkStart w:id="84" w:name="roadmap-table"/>
    <w:p>
      <w:pPr>
        <w:pStyle w:val="Heading2"/>
      </w:pPr>
      <w:r>
        <w:t xml:space="preserve">14.2 Roadmap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Initiative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Q1-Q2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</w:tbl>
    <w:bookmarkEnd w:id="84"/>
    <w:bookmarkEnd w:id="85"/>
    <w:bookmarkStart w:id="88" w:name="cross-framework-integration"/>
    <w:p>
      <w:pPr>
        <w:pStyle w:val="Heading1"/>
      </w:pPr>
      <w:r>
        <w:t xml:space="preserve">15. Cross-Framework Integration</w:t>
      </w:r>
    </w:p>
    <w:bookmarkStart w:id="86" w:name="relationship-to-other-frameworks"/>
    <w:p>
      <w:pPr>
        <w:pStyle w:val="Heading2"/>
      </w:pPr>
      <w:r>
        <w:t xml:space="preserve">15.1 Relationship to Other Frameworks</w:t>
      </w:r>
    </w:p>
    <w:p>
      <w:pPr>
        <w:pStyle w:val="FirstParagraph"/>
      </w:pPr>
      <w:r>
        <w:t xml:space="preserve">Describe how GDPR integrates with:</w:t>
      </w:r>
    </w:p>
    <w:p>
      <w:pPr>
        <w:pStyle w:val="Compact"/>
        <w:numPr>
          <w:ilvl w:val="0"/>
          <w:numId w:val="1036"/>
        </w:numPr>
      </w:pPr>
      <w:r>
        <w:t xml:space="preserve">ISO/IEC 27001</w:t>
      </w:r>
    </w:p>
    <w:p>
      <w:pPr>
        <w:pStyle w:val="Compact"/>
        <w:numPr>
          <w:ilvl w:val="0"/>
          <w:numId w:val="1036"/>
        </w:numPr>
      </w:pPr>
      <w:r>
        <w:t xml:space="preserve">NIS2</w:t>
      </w:r>
    </w:p>
    <w:p>
      <w:pPr>
        <w:pStyle w:val="Compact"/>
        <w:numPr>
          <w:ilvl w:val="0"/>
          <w:numId w:val="1036"/>
        </w:numPr>
      </w:pPr>
      <w:r>
        <w:t xml:space="preserve">DORA</w:t>
      </w:r>
    </w:p>
    <w:p>
      <w:pPr>
        <w:pStyle w:val="Compact"/>
        <w:numPr>
          <w:ilvl w:val="0"/>
          <w:numId w:val="1036"/>
        </w:numPr>
      </w:pPr>
      <w:r>
        <w:t xml:space="preserve">AI Act</w:t>
      </w:r>
    </w:p>
    <w:p>
      <w:pPr>
        <w:pStyle w:val="Compact"/>
        <w:numPr>
          <w:ilvl w:val="0"/>
          <w:numId w:val="1036"/>
        </w:numPr>
      </w:pPr>
      <w:r>
        <w:t xml:space="preserve">COBIT</w:t>
      </w:r>
    </w:p>
    <w:p>
      <w:pPr>
        <w:pStyle w:val="Compact"/>
        <w:numPr>
          <w:ilvl w:val="0"/>
          <w:numId w:val="1036"/>
        </w:numPr>
      </w:pPr>
      <w:r>
        <w:t xml:space="preserve">ITIL</w:t>
      </w:r>
    </w:p>
    <w:p>
      <w:pPr>
        <w:pStyle w:val="Compact"/>
        <w:numPr>
          <w:ilvl w:val="0"/>
          <w:numId w:val="1036"/>
        </w:numPr>
      </w:pPr>
      <w:r>
        <w:t xml:space="preserve">TOGAF</w:t>
      </w:r>
    </w:p>
    <w:p>
      <w:pPr>
        <w:pStyle w:val="Compact"/>
        <w:numPr>
          <w:ilvl w:val="0"/>
          <w:numId w:val="1036"/>
        </w:numPr>
      </w:pPr>
      <w:r>
        <w:t xml:space="preserve">enterprise risk management</w:t>
      </w:r>
    </w:p>
    <w:p>
      <w:pPr>
        <w:pStyle w:val="Compact"/>
        <w:numPr>
          <w:ilvl w:val="0"/>
          <w:numId w:val="1036"/>
        </w:numPr>
      </w:pPr>
      <w:r>
        <w:t xml:space="preserve">records management</w:t>
      </w:r>
    </w:p>
    <w:p>
      <w:pPr>
        <w:pStyle w:val="Compact"/>
        <w:numPr>
          <w:ilvl w:val="0"/>
          <w:numId w:val="1036"/>
        </w:numPr>
      </w:pPr>
      <w:r>
        <w:t xml:space="preserve">data governance</w:t>
      </w:r>
    </w:p>
    <w:bookmarkEnd w:id="86"/>
    <w:bookmarkStart w:id="87" w:name="example-mapping-themes"/>
    <w:p>
      <w:pPr>
        <w:pStyle w:val="Heading2"/>
      </w:pPr>
      <w:r>
        <w:t xml:space="preserve">15.2 Example Mapping Themes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GDPR Theme</w:t>
            </w:r>
          </w:p>
        </w:tc>
        <w:tc>
          <w:tcPr/>
          <w:p>
            <w:pPr>
              <w:pStyle w:val="Compact"/>
            </w:pPr>
            <w:r>
              <w:t xml:space="preserve">Related Framework</w:t>
            </w:r>
          </w:p>
        </w:tc>
        <w:tc>
          <w:tcPr/>
          <w:p>
            <w:pPr>
              <w:pStyle w:val="Compact"/>
            </w:pPr>
            <w:r>
              <w:t xml:space="preserve">Integration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Accountability</w:t>
            </w:r>
          </w:p>
        </w:tc>
        <w:tc>
          <w:tcPr/>
          <w:p>
            <w:pPr>
              <w:pStyle w:val="Compact"/>
            </w:pPr>
            <w:r>
              <w:t xml:space="preserve">COBIT</w:t>
            </w:r>
          </w:p>
        </w:tc>
        <w:tc>
          <w:tcPr/>
          <w:p>
            <w:pPr>
              <w:pStyle w:val="Compact"/>
            </w:pPr>
            <w:r>
              <w:t xml:space="preserve">Governance and management objectives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of processing</w:t>
            </w:r>
          </w:p>
        </w:tc>
        <w:tc>
          <w:tcPr/>
          <w:p>
            <w:pPr>
              <w:pStyle w:val="Compact"/>
            </w:pPr>
            <w:r>
              <w:t xml:space="preserve">ISO 27001</w:t>
            </w:r>
          </w:p>
        </w:tc>
        <w:tc>
          <w:tcPr/>
          <w:p>
            <w:pPr>
              <w:pStyle w:val="Compact"/>
            </w:pPr>
            <w:r>
              <w:t xml:space="preserve">ISMS controls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 response</w:t>
            </w:r>
          </w:p>
        </w:tc>
        <w:tc>
          <w:tcPr/>
          <w:p>
            <w:pPr>
              <w:pStyle w:val="Compact"/>
            </w:pPr>
            <w:r>
              <w:t xml:space="preserve">NIS2 / DORA</w:t>
            </w:r>
          </w:p>
        </w:tc>
        <w:tc>
          <w:tcPr/>
          <w:p>
            <w:pPr>
              <w:pStyle w:val="Compact"/>
            </w:pPr>
            <w:r>
              <w:t xml:space="preserve">Cyber incident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Privacy by design</w:t>
            </w:r>
          </w:p>
        </w:tc>
        <w:tc>
          <w:tcPr/>
          <w:p>
            <w:pPr>
              <w:pStyle w:val="Compact"/>
            </w:pPr>
            <w:r>
              <w:t xml:space="preserve">TOGAF</w:t>
            </w:r>
          </w:p>
        </w:tc>
        <w:tc>
          <w:tcPr/>
          <w:p>
            <w:pPr>
              <w:pStyle w:val="Compact"/>
            </w:pPr>
            <w:r>
              <w:t xml:space="preserve">Architecture governance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data governance</w:t>
            </w:r>
          </w:p>
        </w:tc>
        <w:tc>
          <w:tcPr/>
          <w:p>
            <w:pPr>
              <w:pStyle w:val="Compact"/>
            </w:pPr>
            <w:r>
              <w:t xml:space="preserve">AI Act</w:t>
            </w:r>
          </w:p>
        </w:tc>
        <w:tc>
          <w:tcPr/>
          <w:p>
            <w:pPr>
              <w:pStyle w:val="Compact"/>
            </w:pPr>
            <w:r>
              <w:t xml:space="preserve">Data and model compliance</w:t>
            </w:r>
          </w:p>
        </w:tc>
      </w:tr>
    </w:tbl>
    <w:bookmarkEnd w:id="87"/>
    <w:bookmarkEnd w:id="88"/>
    <w:bookmarkStart w:id="96" w:name="maturity-model"/>
    <w:p>
      <w:pPr>
        <w:pStyle w:val="Heading1"/>
      </w:pPr>
      <w:r>
        <w:t xml:space="preserve">16. Maturity Model</w:t>
      </w:r>
    </w:p>
    <w:bookmarkStart w:id="94" w:name="suggested-maturity-levels"/>
    <w:p>
      <w:pPr>
        <w:pStyle w:val="Heading2"/>
      </w:pPr>
      <w:r>
        <w:t xml:space="preserve">16.1 Suggested Maturity Levels</w:t>
      </w:r>
    </w:p>
    <w:bookmarkStart w:id="89" w:name="level-1-initial"/>
    <w:p>
      <w:pPr>
        <w:pStyle w:val="Heading3"/>
      </w:pPr>
      <w:r>
        <w:t xml:space="preserve">16.1.1 Level 1: Initial</w:t>
      </w:r>
    </w:p>
    <w:p>
      <w:pPr>
        <w:pStyle w:val="FirstParagraph"/>
      </w:pPr>
      <w:r>
        <w:t xml:space="preserve">Compliance is reactive and fragmented.</w:t>
      </w:r>
    </w:p>
    <w:bookmarkEnd w:id="89"/>
    <w:bookmarkStart w:id="90" w:name="level-2-repeatable"/>
    <w:p>
      <w:pPr>
        <w:pStyle w:val="Heading3"/>
      </w:pPr>
      <w:r>
        <w:t xml:space="preserve">16.1.2 Level 2: Repeatable</w:t>
      </w:r>
    </w:p>
    <w:p>
      <w:pPr>
        <w:pStyle w:val="FirstParagraph"/>
      </w:pPr>
      <w:r>
        <w:t xml:space="preserve">Basic processes exist but are inconsistent.</w:t>
      </w:r>
    </w:p>
    <w:bookmarkEnd w:id="90"/>
    <w:bookmarkStart w:id="91" w:name="level-3-defined"/>
    <w:p>
      <w:pPr>
        <w:pStyle w:val="Heading3"/>
      </w:pPr>
      <w:r>
        <w:t xml:space="preserve">16.1.3 Level 3: Defined</w:t>
      </w:r>
    </w:p>
    <w:p>
      <w:pPr>
        <w:pStyle w:val="FirstParagraph"/>
      </w:pPr>
      <w:r>
        <w:t xml:space="preserve">Policies, roles, and processes are documented and followed.</w:t>
      </w:r>
    </w:p>
    <w:bookmarkEnd w:id="91"/>
    <w:bookmarkStart w:id="92" w:name="level-4-managed"/>
    <w:p>
      <w:pPr>
        <w:pStyle w:val="Heading3"/>
      </w:pPr>
      <w:r>
        <w:t xml:space="preserve">16.1.4 Level 4: Managed</w:t>
      </w:r>
    </w:p>
    <w:p>
      <w:pPr>
        <w:pStyle w:val="FirstParagraph"/>
      </w:pPr>
      <w:r>
        <w:t xml:space="preserve">Controls are measured, monitored, and regularly improved.</w:t>
      </w:r>
    </w:p>
    <w:bookmarkEnd w:id="92"/>
    <w:bookmarkStart w:id="93" w:name="level-5-optimised"/>
    <w:p>
      <w:pPr>
        <w:pStyle w:val="Heading3"/>
      </w:pPr>
      <w:r>
        <w:t xml:space="preserve">16.1.5 Level 5: Optimised</w:t>
      </w:r>
    </w:p>
    <w:p>
      <w:pPr>
        <w:pStyle w:val="FirstParagraph"/>
      </w:pPr>
      <w:r>
        <w:t xml:space="preserve">Privacy is embedded, automated, risk-driven, and fully integrated into enterprise governance.</w:t>
      </w:r>
    </w:p>
    <w:bookmarkEnd w:id="93"/>
    <w:bookmarkEnd w:id="94"/>
    <w:bookmarkStart w:id="95" w:name="assessment-dimensions"/>
    <w:p>
      <w:pPr>
        <w:pStyle w:val="Heading2"/>
      </w:pPr>
      <w:r>
        <w:t xml:space="preserve">16.2 Assessment Dimensions</w:t>
      </w:r>
    </w:p>
    <w:p>
      <w:pPr>
        <w:pStyle w:val="Compact"/>
        <w:numPr>
          <w:ilvl w:val="0"/>
          <w:numId w:val="1037"/>
        </w:numPr>
      </w:pPr>
      <w:r>
        <w:t xml:space="preserve">governance</w:t>
      </w:r>
    </w:p>
    <w:p>
      <w:pPr>
        <w:pStyle w:val="Compact"/>
        <w:numPr>
          <w:ilvl w:val="0"/>
          <w:numId w:val="1037"/>
        </w:numPr>
      </w:pPr>
      <w:r>
        <w:t xml:space="preserve">legal basis management</w:t>
      </w:r>
    </w:p>
    <w:p>
      <w:pPr>
        <w:pStyle w:val="Compact"/>
        <w:numPr>
          <w:ilvl w:val="0"/>
          <w:numId w:val="1037"/>
        </w:numPr>
      </w:pPr>
      <w:r>
        <w:t xml:space="preserve">transparency</w:t>
      </w:r>
    </w:p>
    <w:p>
      <w:pPr>
        <w:pStyle w:val="Compact"/>
        <w:numPr>
          <w:ilvl w:val="0"/>
          <w:numId w:val="1037"/>
        </w:numPr>
      </w:pPr>
      <w:r>
        <w:t xml:space="preserve">data subject rights</w:t>
      </w:r>
    </w:p>
    <w:p>
      <w:pPr>
        <w:pStyle w:val="Compact"/>
        <w:numPr>
          <w:ilvl w:val="0"/>
          <w:numId w:val="1037"/>
        </w:numPr>
      </w:pPr>
      <w:r>
        <w:t xml:space="preserve">breach management</w:t>
      </w:r>
    </w:p>
    <w:p>
      <w:pPr>
        <w:pStyle w:val="Compact"/>
        <w:numPr>
          <w:ilvl w:val="0"/>
          <w:numId w:val="1037"/>
        </w:numPr>
      </w:pPr>
      <w:r>
        <w:t xml:space="preserve">third-party governance</w:t>
      </w:r>
    </w:p>
    <w:p>
      <w:pPr>
        <w:pStyle w:val="Compact"/>
        <w:numPr>
          <w:ilvl w:val="0"/>
          <w:numId w:val="1037"/>
        </w:numPr>
      </w:pPr>
      <w:r>
        <w:t xml:space="preserve">retention</w:t>
      </w:r>
    </w:p>
    <w:p>
      <w:pPr>
        <w:pStyle w:val="Compact"/>
        <w:numPr>
          <w:ilvl w:val="0"/>
          <w:numId w:val="1037"/>
        </w:numPr>
      </w:pPr>
      <w:r>
        <w:t xml:space="preserve">data architecture</w:t>
      </w:r>
    </w:p>
    <w:p>
      <w:pPr>
        <w:pStyle w:val="Compact"/>
        <w:numPr>
          <w:ilvl w:val="0"/>
          <w:numId w:val="1037"/>
        </w:numPr>
      </w:pPr>
      <w:r>
        <w:t xml:space="preserve">assurance</w:t>
      </w:r>
    </w:p>
    <w:p>
      <w:pPr>
        <w:pStyle w:val="Compact"/>
        <w:numPr>
          <w:ilvl w:val="0"/>
          <w:numId w:val="1037"/>
        </w:numPr>
      </w:pPr>
      <w:r>
        <w:t xml:space="preserve">metrics</w:t>
      </w:r>
    </w:p>
    <w:bookmarkEnd w:id="95"/>
    <w:bookmarkEnd w:id="96"/>
    <w:bookmarkStart w:id="98" w:name="practical-templates"/>
    <w:p>
      <w:pPr>
        <w:pStyle w:val="Heading1"/>
      </w:pPr>
      <w:r>
        <w:t xml:space="preserve">17. Practical Templates</w:t>
      </w:r>
    </w:p>
    <w:bookmarkStart w:id="97" w:name="suggested-appendices"/>
    <w:p>
      <w:pPr>
        <w:pStyle w:val="Heading2"/>
      </w:pPr>
      <w:r>
        <w:t xml:space="preserve">17.1 Suggested Appendices</w:t>
      </w:r>
    </w:p>
    <w:p>
      <w:pPr>
        <w:pStyle w:val="Compact"/>
        <w:numPr>
          <w:ilvl w:val="0"/>
          <w:numId w:val="1038"/>
        </w:numPr>
      </w:pPr>
      <w:r>
        <w:t xml:space="preserve">Appendix A: RoPA template</w:t>
      </w:r>
    </w:p>
    <w:p>
      <w:pPr>
        <w:pStyle w:val="Compact"/>
        <w:numPr>
          <w:ilvl w:val="0"/>
          <w:numId w:val="1038"/>
        </w:numPr>
      </w:pPr>
      <w:r>
        <w:t xml:space="preserve">Appendix B: DPIA template</w:t>
      </w:r>
    </w:p>
    <w:p>
      <w:pPr>
        <w:pStyle w:val="Compact"/>
        <w:numPr>
          <w:ilvl w:val="0"/>
          <w:numId w:val="1038"/>
        </w:numPr>
      </w:pPr>
      <w:r>
        <w:t xml:space="preserve">Appendix C: Data subject request register</w:t>
      </w:r>
    </w:p>
    <w:p>
      <w:pPr>
        <w:pStyle w:val="Compact"/>
        <w:numPr>
          <w:ilvl w:val="0"/>
          <w:numId w:val="1038"/>
        </w:numPr>
      </w:pPr>
      <w:r>
        <w:t xml:space="preserve">Appendix D: Breach register</w:t>
      </w:r>
    </w:p>
    <w:p>
      <w:pPr>
        <w:pStyle w:val="Compact"/>
        <w:numPr>
          <w:ilvl w:val="0"/>
          <w:numId w:val="1038"/>
        </w:numPr>
      </w:pPr>
      <w:r>
        <w:t xml:space="preserve">Appendix E: Processor due diligence checklist</w:t>
      </w:r>
    </w:p>
    <w:p>
      <w:pPr>
        <w:pStyle w:val="Compact"/>
        <w:numPr>
          <w:ilvl w:val="0"/>
          <w:numId w:val="1038"/>
        </w:numPr>
      </w:pPr>
      <w:r>
        <w:t xml:space="preserve">Appendix F: Data transfer assessment template</w:t>
      </w:r>
    </w:p>
    <w:p>
      <w:pPr>
        <w:pStyle w:val="Compact"/>
        <w:numPr>
          <w:ilvl w:val="0"/>
          <w:numId w:val="1038"/>
        </w:numPr>
      </w:pPr>
      <w:r>
        <w:t xml:space="preserve">Appendix G: GDPR control catalogue</w:t>
      </w:r>
    </w:p>
    <w:p>
      <w:pPr>
        <w:pStyle w:val="Compact"/>
        <w:numPr>
          <w:ilvl w:val="0"/>
          <w:numId w:val="1038"/>
        </w:numPr>
      </w:pPr>
      <w:r>
        <w:t xml:space="preserve">Appendix H: GDPR RACI matrix</w:t>
      </w:r>
    </w:p>
    <w:bookmarkEnd w:id="97"/>
    <w:bookmarkEnd w:id="98"/>
    <w:bookmarkStart w:id="99" w:name="customisation-notes"/>
    <w:p>
      <w:pPr>
        <w:pStyle w:val="Heading1"/>
      </w:pPr>
      <w:r>
        <w:t xml:space="preserve">18. Customisation Notes</w:t>
      </w:r>
    </w:p>
    <w:p>
      <w:pPr>
        <w:pStyle w:val="FirstParagraph"/>
      </w:pPr>
      <w:r>
        <w:t xml:space="preserve">This template should be tailored to reflect:</w:t>
      </w:r>
    </w:p>
    <w:p>
      <w:pPr>
        <w:pStyle w:val="Compact"/>
        <w:numPr>
          <w:ilvl w:val="0"/>
          <w:numId w:val="1039"/>
        </w:numPr>
      </w:pPr>
      <w:r>
        <w:t xml:space="preserve">organisational structure</w:t>
      </w:r>
    </w:p>
    <w:p>
      <w:pPr>
        <w:pStyle w:val="Compact"/>
        <w:numPr>
          <w:ilvl w:val="0"/>
          <w:numId w:val="1039"/>
        </w:numPr>
      </w:pPr>
      <w:r>
        <w:t xml:space="preserve">jurisdictions and supervisory authorities</w:t>
      </w:r>
    </w:p>
    <w:p>
      <w:pPr>
        <w:pStyle w:val="Compact"/>
        <w:numPr>
          <w:ilvl w:val="0"/>
          <w:numId w:val="1039"/>
        </w:numPr>
      </w:pPr>
      <w:r>
        <w:t xml:space="preserve">business model</w:t>
      </w:r>
    </w:p>
    <w:p>
      <w:pPr>
        <w:pStyle w:val="Compact"/>
        <w:numPr>
          <w:ilvl w:val="0"/>
          <w:numId w:val="1039"/>
        </w:numPr>
      </w:pPr>
      <w:r>
        <w:t xml:space="preserve">data categories processed</w:t>
      </w:r>
    </w:p>
    <w:p>
      <w:pPr>
        <w:pStyle w:val="Compact"/>
        <w:numPr>
          <w:ilvl w:val="0"/>
          <w:numId w:val="1039"/>
        </w:numPr>
      </w:pPr>
      <w:r>
        <w:t xml:space="preserve">outsourcing profile</w:t>
      </w:r>
    </w:p>
    <w:p>
      <w:pPr>
        <w:pStyle w:val="Compact"/>
        <w:numPr>
          <w:ilvl w:val="0"/>
          <w:numId w:val="1039"/>
        </w:numPr>
      </w:pPr>
      <w:r>
        <w:t xml:space="preserve">cloud estate</w:t>
      </w:r>
    </w:p>
    <w:p>
      <w:pPr>
        <w:pStyle w:val="Compact"/>
        <w:numPr>
          <w:ilvl w:val="0"/>
          <w:numId w:val="1039"/>
        </w:numPr>
      </w:pPr>
      <w:r>
        <w:t xml:space="preserve">sector-specific obligations</w:t>
      </w:r>
    </w:p>
    <w:p>
      <w:pPr>
        <w:pStyle w:val="Compact"/>
        <w:numPr>
          <w:ilvl w:val="0"/>
          <w:numId w:val="1039"/>
        </w:numPr>
      </w:pPr>
      <w:r>
        <w:t xml:space="preserve">assurance expectations</w:t>
      </w:r>
    </w:p>
    <w:bookmarkEnd w:id="99"/>
    <w:bookmarkStart w:id="100" w:name="references"/>
    <w:p>
      <w:pPr>
        <w:pStyle w:val="Heading1"/>
      </w:pPr>
      <w:r>
        <w:t xml:space="preserve">19. References</w:t>
      </w:r>
    </w:p>
    <w:p>
      <w:pPr>
        <w:pStyle w:val="FirstParagraph"/>
      </w:pPr>
      <w:r>
        <w:t xml:space="preserve">Add authoritative references here, for example:</w:t>
      </w:r>
    </w:p>
    <w:p>
      <w:pPr>
        <w:pStyle w:val="Compact"/>
        <w:numPr>
          <w:ilvl w:val="0"/>
          <w:numId w:val="1040"/>
        </w:numPr>
      </w:pPr>
      <w:r>
        <w:t xml:space="preserve">GDPR legal text</w:t>
      </w:r>
    </w:p>
    <w:p>
      <w:pPr>
        <w:pStyle w:val="Compact"/>
        <w:numPr>
          <w:ilvl w:val="0"/>
          <w:numId w:val="1040"/>
        </w:numPr>
      </w:pPr>
      <w:r>
        <w:t xml:space="preserve">EDPB guidelines</w:t>
      </w:r>
    </w:p>
    <w:p>
      <w:pPr>
        <w:pStyle w:val="Compact"/>
        <w:numPr>
          <w:ilvl w:val="0"/>
          <w:numId w:val="1040"/>
        </w:numPr>
      </w:pPr>
      <w:r>
        <w:t xml:space="preserve">ICO guidance</w:t>
      </w:r>
    </w:p>
    <w:p>
      <w:pPr>
        <w:pStyle w:val="Compact"/>
        <w:numPr>
          <w:ilvl w:val="0"/>
          <w:numId w:val="1040"/>
        </w:numPr>
      </w:pPr>
      <w:r>
        <w:t xml:space="preserve">national supervisory authority guidance</w:t>
      </w:r>
    </w:p>
    <w:p>
      <w:pPr>
        <w:pStyle w:val="Compact"/>
        <w:numPr>
          <w:ilvl w:val="0"/>
          <w:numId w:val="1040"/>
        </w:numPr>
      </w:pPr>
      <w:r>
        <w:t xml:space="preserve">internal privacy policies</w:t>
      </w:r>
    </w:p>
    <w:p>
      <w:pPr>
        <w:pStyle w:val="Compact"/>
        <w:numPr>
          <w:ilvl w:val="0"/>
          <w:numId w:val="1040"/>
        </w:numPr>
      </w:pPr>
      <w:r>
        <w:t xml:space="preserve">enterprise risk framework</w:t>
      </w:r>
    </w:p>
    <w:p>
      <w:pPr>
        <w:pStyle w:val="Compact"/>
        <w:numPr>
          <w:ilvl w:val="0"/>
          <w:numId w:val="1040"/>
        </w:numPr>
      </w:pPr>
      <w:r>
        <w:t xml:space="preserve">security standards and control libraries</w:t>
      </w:r>
    </w:p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GDPR</dc:title>
  <dc:creator>Joao Luiz D’Andrea</dc:creator>
  <cp:keywords/>
  <dcterms:created xsi:type="dcterms:W3CDTF">2026-03-28T22:12:01Z</dcterms:created>
  <dcterms:modified xsi:type="dcterms:W3CDTF">2026-03-28T22:12:01Z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xecute">
    <vt:lpwstr/>
  </property>
  <property fmtid="{D5CDD505-2E9C-101B-9397-08002B2CF9AE}" pid="7" name="field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subtitle">
    <vt:lpwstr>Governance, Compliance, Controls, and Implementation Template</vt:lpwstr>
  </property>
  <property fmtid="{D5CDD505-2E9C-101B-9397-08002B2CF9AE}" pid="14" name="title-block-banner">
    <vt:lpwstr>True</vt:lpwstr>
  </property>
  <property fmtid="{D5CDD505-2E9C-101B-9397-08002B2CF9AE}" pid="15" name="toc-title">
    <vt:lpwstr>Table of contents</vt:lpwstr>
  </property>
</Properties>
</file>