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7.png" ContentType="image/png"/>
  <Override PartName="/word/media/rId62.png" ContentType="image/png"/>
  <Override PartName="/word/media/rId58.png" ContentType="image/png"/>
  <Override PartName="/word/media/rId54.png" ContentType="image/png"/>
  <Override PartName="/word/media/rId50.png" ContentType="image/png"/>
  <Override PartName="/word/media/rId46.png" ContentType="image/png"/>
  <Override PartName="/word/media/rId41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Mental Model of the Modern IT Enterprise</w:t>
      </w:r>
    </w:p>
    <w:p>
      <w:pPr>
        <w:pStyle w:val="Author"/>
      </w:pPr>
      <w:r>
        <w:t xml:space="preserve">OpenAI</w:t>
      </w:r>
    </w:p>
    <w:bookmarkStart w:id="20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A modern IT enterprise should be understood as a</w:t>
      </w:r>
      <w:r>
        <w:t xml:space="preserve"> </w:t>
      </w:r>
      <w:r>
        <w:rPr>
          <w:b/>
          <w:bCs/>
        </w:rPr>
        <w:t xml:space="preserve">whole system</w:t>
      </w:r>
      <w:r>
        <w:t xml:space="preserve">, not as a collection of disconnected technical teams. Its purpose is to align technology with business strategy, deliver change in a controlled way, run reliable services, and maintain trust through risk management, security, compliance, and assurance.</w:t>
      </w:r>
    </w:p>
    <w:p>
      <w:pPr>
        <w:pStyle w:val="BodyText"/>
      </w:pPr>
      <w:r>
        <w:t xml:space="preserve">This chapter presents a practical mental model for understanding how a modern IT enterprise works. It is designed to help executives, architects, PMOs, service leaders, risk professionals, and auditors think about the enterprise using a common structure.</w:t>
      </w:r>
    </w:p>
    <w:p>
      <w:pPr>
        <w:pStyle w:val="BodyText"/>
      </w:pPr>
      <w:r>
        <w:t xml:space="preserve">The core idea is simple:</w:t>
      </w:r>
    </w:p>
    <w:p>
      <w:pPr>
        <w:pStyle w:val="BlockText"/>
      </w:pPr>
      <w:r>
        <w:t xml:space="preserve">A modern IT enterprise is a governed system that aligns strategy, architecture, investment, delivery, operations, and assurance to create business value with controlled risk.</w:t>
      </w:r>
    </w:p>
    <w:bookmarkEnd w:id="20"/>
    <w:bookmarkStart w:id="32" w:name="the-five-lens-model"/>
    <w:p>
      <w:pPr>
        <w:pStyle w:val="Heading1"/>
      </w:pPr>
      <w:r>
        <w:t xml:space="preserve">2. The Five-Lens Model</w:t>
      </w:r>
    </w:p>
    <w:p>
      <w:pPr>
        <w:pStyle w:val="FirstParagraph"/>
      </w:pPr>
      <w:r>
        <w:t xml:space="preserve">A useful way to understand the enterprise is through five lenses: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Why</w:t>
      </w:r>
      <w:r>
        <w:t xml:space="preserve"> </w:t>
      </w:r>
      <w:r>
        <w:t xml:space="preserve">— strategy and value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</w:t>
      </w:r>
      <w:r>
        <w:t xml:space="preserve"> </w:t>
      </w:r>
      <w:r>
        <w:t xml:space="preserve">— enterprise design, capabilities, policies, and architecture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How</w:t>
      </w:r>
      <w:r>
        <w:t xml:space="preserve"> </w:t>
      </w:r>
      <w:r>
        <w:t xml:space="preserve">— change, delivery, and operations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Who</w:t>
      </w:r>
      <w:r>
        <w:t xml:space="preserve"> </w:t>
      </w:r>
      <w:r>
        <w:t xml:space="preserve">— organisation, roles, and accountability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Control</w:t>
      </w:r>
      <w:r>
        <w:t xml:space="preserve"> </w:t>
      </w:r>
      <w:r>
        <w:t xml:space="preserve">— risk, security, compliance, and audit</w:t>
      </w:r>
    </w:p>
    <w:bookmarkStart w:id="24" w:name="conceptual-view"/>
    <w:p>
      <w:pPr>
        <w:pStyle w:val="Heading2"/>
      </w:pPr>
      <w:r>
        <w:t xml:space="preserve">2.1 Conceptual view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33573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MentalModelEnterpriseIT_files\figure-docx\mermaid-figure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24"/>
    <w:bookmarkStart w:id="25" w:name="why-strategy-and-value"/>
    <w:p>
      <w:pPr>
        <w:pStyle w:val="Heading2"/>
      </w:pPr>
      <w:r>
        <w:t xml:space="preserve">2.2 Why: Strategy and Value</w:t>
      </w:r>
    </w:p>
    <w:p>
      <w:pPr>
        <w:pStyle w:val="FirstParagraph"/>
      </w:pPr>
      <w:r>
        <w:t xml:space="preserve">The enterprise starts with purpose. IT exists to support business outcomes, improve performance, enable innovation, and protect the organisation.</w:t>
      </w:r>
    </w:p>
    <w:p>
      <w:pPr>
        <w:pStyle w:val="BodyText"/>
      </w:pPr>
      <w:r>
        <w:t xml:space="preserve">Typical questions at this level include:</w:t>
      </w:r>
    </w:p>
    <w:p>
      <w:pPr>
        <w:pStyle w:val="Compact"/>
        <w:numPr>
          <w:ilvl w:val="0"/>
          <w:numId w:val="1002"/>
        </w:numPr>
      </w:pPr>
      <w:r>
        <w:t xml:space="preserve">What is the organisation trying to achieve?</w:t>
      </w:r>
    </w:p>
    <w:p>
      <w:pPr>
        <w:pStyle w:val="Compact"/>
        <w:numPr>
          <w:ilvl w:val="0"/>
          <w:numId w:val="1002"/>
        </w:numPr>
      </w:pPr>
      <w:r>
        <w:t xml:space="preserve">What value should technology create?</w:t>
      </w:r>
    </w:p>
    <w:p>
      <w:pPr>
        <w:pStyle w:val="Compact"/>
        <w:numPr>
          <w:ilvl w:val="0"/>
          <w:numId w:val="1002"/>
        </w:numPr>
      </w:pPr>
      <w:r>
        <w:t xml:space="preserve">Which risks are acceptable?</w:t>
      </w:r>
    </w:p>
    <w:p>
      <w:pPr>
        <w:pStyle w:val="Compact"/>
        <w:numPr>
          <w:ilvl w:val="0"/>
          <w:numId w:val="1002"/>
        </w:numPr>
      </w:pPr>
      <w:r>
        <w:t xml:space="preserve">Where should investment be concentrated?</w:t>
      </w:r>
    </w:p>
    <w:p>
      <w:pPr>
        <w:pStyle w:val="FirstParagraph"/>
      </w:pPr>
      <w:r>
        <w:t xml:space="preserve">Typical outputs include:</w:t>
      </w:r>
    </w:p>
    <w:p>
      <w:pPr>
        <w:pStyle w:val="Compact"/>
        <w:numPr>
          <w:ilvl w:val="0"/>
          <w:numId w:val="1003"/>
        </w:numPr>
      </w:pPr>
      <w:r>
        <w:t xml:space="preserve">business strategy</w:t>
      </w:r>
    </w:p>
    <w:p>
      <w:pPr>
        <w:pStyle w:val="Compact"/>
        <w:numPr>
          <w:ilvl w:val="0"/>
          <w:numId w:val="1003"/>
        </w:numPr>
      </w:pPr>
      <w:r>
        <w:t xml:space="preserve">digital strategy</w:t>
      </w:r>
    </w:p>
    <w:p>
      <w:pPr>
        <w:pStyle w:val="Compact"/>
        <w:numPr>
          <w:ilvl w:val="0"/>
          <w:numId w:val="1003"/>
        </w:numPr>
      </w:pPr>
      <w:r>
        <w:t xml:space="preserve">IT strategy</w:t>
      </w:r>
    </w:p>
    <w:p>
      <w:pPr>
        <w:pStyle w:val="Compact"/>
        <w:numPr>
          <w:ilvl w:val="0"/>
          <w:numId w:val="1003"/>
        </w:numPr>
      </w:pPr>
      <w:r>
        <w:t xml:space="preserve">investment priorities</w:t>
      </w:r>
    </w:p>
    <w:p>
      <w:pPr>
        <w:pStyle w:val="Compact"/>
        <w:numPr>
          <w:ilvl w:val="0"/>
          <w:numId w:val="1003"/>
        </w:numPr>
      </w:pPr>
      <w:r>
        <w:t xml:space="preserve">risk appetite</w:t>
      </w:r>
    </w:p>
    <w:p>
      <w:pPr>
        <w:pStyle w:val="Compact"/>
        <w:numPr>
          <w:ilvl w:val="0"/>
          <w:numId w:val="1003"/>
        </w:numPr>
      </w:pPr>
      <w:r>
        <w:t xml:space="preserve">target outcomes and measures</w:t>
      </w:r>
    </w:p>
    <w:p>
      <w:pPr>
        <w:pStyle w:val="FirstParagraph"/>
      </w:pPr>
      <w:r>
        <w:rPr>
          <w:b/>
          <w:bCs/>
        </w:rPr>
        <w:t xml:space="preserve">Mental point:</w:t>
      </w:r>
      <w:r>
        <w:t xml:space="preserve"> </w:t>
      </w:r>
      <w:r>
        <w:t xml:space="preserve">IT starts with purpose, not technology.</w:t>
      </w:r>
    </w:p>
    <w:bookmarkEnd w:id="25"/>
    <w:bookmarkStart w:id="26" w:name="what-enterprise-design"/>
    <w:p>
      <w:pPr>
        <w:pStyle w:val="Heading2"/>
      </w:pPr>
      <w:r>
        <w:t xml:space="preserve">2.3 What: Enterprise Design</w:t>
      </w:r>
    </w:p>
    <w:p>
      <w:pPr>
        <w:pStyle w:val="FirstParagraph"/>
      </w:pPr>
      <w:r>
        <w:t xml:space="preserve">Once strategic intent is clear, the enterprise must define what it needs in order to operate and evolve successfully.</w:t>
      </w:r>
    </w:p>
    <w:p>
      <w:pPr>
        <w:pStyle w:val="BodyText"/>
      </w:pPr>
      <w:r>
        <w:t xml:space="preserve">This includes:</w:t>
      </w:r>
    </w:p>
    <w:p>
      <w:pPr>
        <w:pStyle w:val="Compact"/>
        <w:numPr>
          <w:ilvl w:val="0"/>
          <w:numId w:val="1004"/>
        </w:numPr>
      </w:pPr>
      <w:r>
        <w:t xml:space="preserve">business capabilities</w:t>
      </w:r>
    </w:p>
    <w:p>
      <w:pPr>
        <w:pStyle w:val="Compact"/>
        <w:numPr>
          <w:ilvl w:val="0"/>
          <w:numId w:val="1004"/>
        </w:numPr>
      </w:pPr>
      <w:r>
        <w:t xml:space="preserve">services</w:t>
      </w:r>
    </w:p>
    <w:p>
      <w:pPr>
        <w:pStyle w:val="Compact"/>
        <w:numPr>
          <w:ilvl w:val="0"/>
          <w:numId w:val="1004"/>
        </w:numPr>
      </w:pPr>
      <w:r>
        <w:t xml:space="preserve">products</w:t>
      </w:r>
    </w:p>
    <w:p>
      <w:pPr>
        <w:pStyle w:val="Compact"/>
        <w:numPr>
          <w:ilvl w:val="0"/>
          <w:numId w:val="1004"/>
        </w:numPr>
      </w:pPr>
      <w:r>
        <w:t xml:space="preserve">data</w:t>
      </w:r>
    </w:p>
    <w:p>
      <w:pPr>
        <w:pStyle w:val="Compact"/>
        <w:numPr>
          <w:ilvl w:val="0"/>
          <w:numId w:val="1004"/>
        </w:numPr>
      </w:pPr>
      <w:r>
        <w:t xml:space="preserve">applications</w:t>
      </w:r>
    </w:p>
    <w:p>
      <w:pPr>
        <w:pStyle w:val="Compact"/>
        <w:numPr>
          <w:ilvl w:val="0"/>
          <w:numId w:val="1004"/>
        </w:numPr>
      </w:pPr>
      <w:r>
        <w:t xml:space="preserve">platforms</w:t>
      </w:r>
    </w:p>
    <w:p>
      <w:pPr>
        <w:pStyle w:val="Compact"/>
        <w:numPr>
          <w:ilvl w:val="0"/>
          <w:numId w:val="1004"/>
        </w:numPr>
      </w:pPr>
      <w:r>
        <w:t xml:space="preserve">standards</w:t>
      </w:r>
    </w:p>
    <w:p>
      <w:pPr>
        <w:pStyle w:val="Compact"/>
        <w:numPr>
          <w:ilvl w:val="0"/>
          <w:numId w:val="1004"/>
        </w:numPr>
      </w:pPr>
      <w:r>
        <w:t xml:space="preserve">policies</w:t>
      </w:r>
    </w:p>
    <w:p>
      <w:pPr>
        <w:pStyle w:val="Compact"/>
        <w:numPr>
          <w:ilvl w:val="0"/>
          <w:numId w:val="1004"/>
        </w:numPr>
      </w:pPr>
      <w:r>
        <w:t xml:space="preserve">control objectives</w:t>
      </w:r>
    </w:p>
    <w:p>
      <w:pPr>
        <w:pStyle w:val="FirstParagraph"/>
      </w:pPr>
      <w:r>
        <w:t xml:space="preserve">Typical outputs include:</w:t>
      </w:r>
    </w:p>
    <w:p>
      <w:pPr>
        <w:pStyle w:val="Compact"/>
        <w:numPr>
          <w:ilvl w:val="0"/>
          <w:numId w:val="1005"/>
        </w:numPr>
      </w:pPr>
      <w:r>
        <w:t xml:space="preserve">capability maps</w:t>
      </w:r>
    </w:p>
    <w:p>
      <w:pPr>
        <w:pStyle w:val="Compact"/>
        <w:numPr>
          <w:ilvl w:val="0"/>
          <w:numId w:val="1005"/>
        </w:numPr>
      </w:pPr>
      <w:r>
        <w:t xml:space="preserve">enterprise architecture blueprints</w:t>
      </w:r>
    </w:p>
    <w:p>
      <w:pPr>
        <w:pStyle w:val="Compact"/>
        <w:numPr>
          <w:ilvl w:val="0"/>
          <w:numId w:val="1005"/>
        </w:numPr>
      </w:pPr>
      <w:r>
        <w:t xml:space="preserve">service catalogue</w:t>
      </w:r>
    </w:p>
    <w:p>
      <w:pPr>
        <w:pStyle w:val="Compact"/>
        <w:numPr>
          <w:ilvl w:val="0"/>
          <w:numId w:val="1005"/>
        </w:numPr>
      </w:pPr>
      <w:r>
        <w:t xml:space="preserve">data models</w:t>
      </w:r>
    </w:p>
    <w:p>
      <w:pPr>
        <w:pStyle w:val="Compact"/>
        <w:numPr>
          <w:ilvl w:val="0"/>
          <w:numId w:val="1005"/>
        </w:numPr>
      </w:pPr>
      <w:r>
        <w:t xml:space="preserve">technology standards</w:t>
      </w:r>
    </w:p>
    <w:p>
      <w:pPr>
        <w:pStyle w:val="Compact"/>
        <w:numPr>
          <w:ilvl w:val="0"/>
          <w:numId w:val="1005"/>
        </w:numPr>
      </w:pPr>
      <w:r>
        <w:t xml:space="preserve">policies and control frameworks</w:t>
      </w:r>
    </w:p>
    <w:p>
      <w:pPr>
        <w:pStyle w:val="FirstParagraph"/>
      </w:pPr>
      <w:r>
        <w:rPr>
          <w:b/>
          <w:bCs/>
        </w:rPr>
        <w:t xml:space="preserve">Mental point:</w:t>
      </w:r>
      <w:r>
        <w:t xml:space="preserve"> </w:t>
      </w:r>
      <w:r>
        <w:t xml:space="preserve">architecture is the bridge between ambition and implementation.</w:t>
      </w:r>
    </w:p>
    <w:bookmarkEnd w:id="26"/>
    <w:bookmarkStart w:id="29" w:name="how-change-and-run"/>
    <w:p>
      <w:pPr>
        <w:pStyle w:val="Heading2"/>
      </w:pPr>
      <w:r>
        <w:t xml:space="preserve">2.4 How: Change and Run</w:t>
      </w:r>
    </w:p>
    <w:p>
      <w:pPr>
        <w:pStyle w:val="FirstParagraph"/>
      </w:pPr>
      <w:r>
        <w:t xml:space="preserve">A modern IT enterprise has two main operating engines: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change engine</w:t>
      </w:r>
      <w:r>
        <w:t xml:space="preserve">, which transforms the organisation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run engine</w:t>
      </w:r>
      <w:r>
        <w:t xml:space="preserve">, which operates services and technology day to day</w:t>
      </w:r>
    </w:p>
    <w:bookmarkStart w:id="27" w:name="change-engine"/>
    <w:p>
      <w:pPr>
        <w:pStyle w:val="Heading3"/>
      </w:pPr>
      <w:r>
        <w:t xml:space="preserve">2.4.1 Change engine</w:t>
      </w:r>
    </w:p>
    <w:p>
      <w:pPr>
        <w:pStyle w:val="FirstParagraph"/>
      </w:pPr>
      <w:r>
        <w:t xml:space="preserve">The change engine includes:</w:t>
      </w:r>
    </w:p>
    <w:p>
      <w:pPr>
        <w:pStyle w:val="Compact"/>
        <w:numPr>
          <w:ilvl w:val="0"/>
          <w:numId w:val="1007"/>
        </w:numPr>
      </w:pPr>
      <w:r>
        <w:t xml:space="preserve">portfolio management</w:t>
      </w:r>
    </w:p>
    <w:p>
      <w:pPr>
        <w:pStyle w:val="Compact"/>
        <w:numPr>
          <w:ilvl w:val="0"/>
          <w:numId w:val="1007"/>
        </w:numPr>
      </w:pPr>
      <w:r>
        <w:t xml:space="preserve">programme management</w:t>
      </w:r>
    </w:p>
    <w:p>
      <w:pPr>
        <w:pStyle w:val="Compact"/>
        <w:numPr>
          <w:ilvl w:val="0"/>
          <w:numId w:val="1007"/>
        </w:numPr>
      </w:pPr>
      <w:r>
        <w:t xml:space="preserve">project management</w:t>
      </w:r>
    </w:p>
    <w:p>
      <w:pPr>
        <w:pStyle w:val="Compact"/>
        <w:numPr>
          <w:ilvl w:val="0"/>
          <w:numId w:val="1007"/>
        </w:numPr>
      </w:pPr>
      <w:r>
        <w:t xml:space="preserve">product development</w:t>
      </w:r>
    </w:p>
    <w:p>
      <w:pPr>
        <w:pStyle w:val="Compact"/>
        <w:numPr>
          <w:ilvl w:val="0"/>
          <w:numId w:val="1007"/>
        </w:numPr>
      </w:pPr>
      <w:r>
        <w:t xml:space="preserve">business transformation</w:t>
      </w:r>
    </w:p>
    <w:bookmarkEnd w:id="27"/>
    <w:bookmarkStart w:id="28" w:name="run-engine"/>
    <w:p>
      <w:pPr>
        <w:pStyle w:val="Heading3"/>
      </w:pPr>
      <w:r>
        <w:t xml:space="preserve">2.4.2 Run engine</w:t>
      </w:r>
    </w:p>
    <w:p>
      <w:pPr>
        <w:pStyle w:val="FirstParagraph"/>
      </w:pPr>
      <w:r>
        <w:t xml:space="preserve">The run engine includes:</w:t>
      </w:r>
    </w:p>
    <w:p>
      <w:pPr>
        <w:pStyle w:val="Compact"/>
        <w:numPr>
          <w:ilvl w:val="0"/>
          <w:numId w:val="1008"/>
        </w:numPr>
      </w:pPr>
      <w:r>
        <w:t xml:space="preserve">service management</w:t>
      </w:r>
    </w:p>
    <w:p>
      <w:pPr>
        <w:pStyle w:val="Compact"/>
        <w:numPr>
          <w:ilvl w:val="0"/>
          <w:numId w:val="1008"/>
        </w:numPr>
      </w:pPr>
      <w:r>
        <w:t xml:space="preserve">user support</w:t>
      </w:r>
    </w:p>
    <w:p>
      <w:pPr>
        <w:pStyle w:val="Compact"/>
        <w:numPr>
          <w:ilvl w:val="0"/>
          <w:numId w:val="1008"/>
        </w:numPr>
      </w:pPr>
      <w:r>
        <w:t xml:space="preserve">infrastructure and cloud operations</w:t>
      </w:r>
    </w:p>
    <w:p>
      <w:pPr>
        <w:pStyle w:val="Compact"/>
        <w:numPr>
          <w:ilvl w:val="0"/>
          <w:numId w:val="1008"/>
        </w:numPr>
      </w:pPr>
      <w:r>
        <w:t xml:space="preserve">application support</w:t>
      </w:r>
    </w:p>
    <w:p>
      <w:pPr>
        <w:pStyle w:val="Compact"/>
        <w:numPr>
          <w:ilvl w:val="0"/>
          <w:numId w:val="1008"/>
        </w:numPr>
      </w:pPr>
      <w:r>
        <w:t xml:space="preserve">monitoring and reliability</w:t>
      </w:r>
    </w:p>
    <w:p>
      <w:pPr>
        <w:pStyle w:val="Compact"/>
        <w:numPr>
          <w:ilvl w:val="0"/>
          <w:numId w:val="1008"/>
        </w:numPr>
      </w:pPr>
      <w:r>
        <w:t xml:space="preserve">continuity and resilience</w:t>
      </w:r>
    </w:p>
    <w:p>
      <w:pPr>
        <w:pStyle w:val="FirstParagraph"/>
      </w:pPr>
      <w:r>
        <w:rPr>
          <w:b/>
          <w:bCs/>
        </w:rPr>
        <w:t xml:space="preserve">Mental point:</w:t>
      </w:r>
      <w:r>
        <w:t xml:space="preserve"> </w:t>
      </w:r>
      <w:r>
        <w:t xml:space="preserve">the enterprise must be able to change and run at the same time.</w:t>
      </w:r>
    </w:p>
    <w:bookmarkEnd w:id="28"/>
    <w:bookmarkEnd w:id="29"/>
    <w:bookmarkStart w:id="30" w:name="who-organisation-and-accountability"/>
    <w:p>
      <w:pPr>
        <w:pStyle w:val="Heading2"/>
      </w:pPr>
      <w:r>
        <w:t xml:space="preserve">2.5 Who: Organisation and Accountability</w:t>
      </w:r>
    </w:p>
    <w:p>
      <w:pPr>
        <w:pStyle w:val="FirstParagraph"/>
      </w:pPr>
      <w:r>
        <w:t xml:space="preserve">The enterprise requires clear roles, decision rights, ownership, and reporting lines.</w:t>
      </w:r>
    </w:p>
    <w:p>
      <w:pPr>
        <w:pStyle w:val="BodyText"/>
      </w:pPr>
      <w:r>
        <w:t xml:space="preserve">Typical accountability layers include:</w:t>
      </w:r>
    </w:p>
    <w:p>
      <w:pPr>
        <w:pStyle w:val="Compact"/>
        <w:numPr>
          <w:ilvl w:val="0"/>
          <w:numId w:val="1009"/>
        </w:numPr>
      </w:pPr>
      <w:r>
        <w:t xml:space="preserve">Board</w:t>
      </w:r>
    </w:p>
    <w:p>
      <w:pPr>
        <w:pStyle w:val="Compact"/>
        <w:numPr>
          <w:ilvl w:val="0"/>
          <w:numId w:val="1009"/>
        </w:numPr>
      </w:pPr>
      <w:r>
        <w:t xml:space="preserve">CEO</w:t>
      </w:r>
    </w:p>
    <w:p>
      <w:pPr>
        <w:pStyle w:val="Compact"/>
        <w:numPr>
          <w:ilvl w:val="0"/>
          <w:numId w:val="1009"/>
        </w:numPr>
      </w:pPr>
      <w:r>
        <w:t xml:space="preserve">CIO</w:t>
      </w:r>
    </w:p>
    <w:p>
      <w:pPr>
        <w:pStyle w:val="Compact"/>
        <w:numPr>
          <w:ilvl w:val="0"/>
          <w:numId w:val="1009"/>
        </w:numPr>
      </w:pPr>
      <w:r>
        <w:t xml:space="preserve">CTO</w:t>
      </w:r>
    </w:p>
    <w:p>
      <w:pPr>
        <w:pStyle w:val="Compact"/>
        <w:numPr>
          <w:ilvl w:val="0"/>
          <w:numId w:val="1009"/>
        </w:numPr>
      </w:pPr>
      <w:r>
        <w:t xml:space="preserve">CISO</w:t>
      </w:r>
    </w:p>
    <w:p>
      <w:pPr>
        <w:pStyle w:val="Compact"/>
        <w:numPr>
          <w:ilvl w:val="0"/>
          <w:numId w:val="1009"/>
        </w:numPr>
      </w:pPr>
      <w:r>
        <w:t xml:space="preserve">CDO</w:t>
      </w:r>
    </w:p>
    <w:p>
      <w:pPr>
        <w:pStyle w:val="Compact"/>
        <w:numPr>
          <w:ilvl w:val="0"/>
          <w:numId w:val="1009"/>
        </w:numPr>
      </w:pPr>
      <w:r>
        <w:t xml:space="preserve">PMO or Portfolio Office</w:t>
      </w:r>
    </w:p>
    <w:p>
      <w:pPr>
        <w:pStyle w:val="Compact"/>
        <w:numPr>
          <w:ilvl w:val="0"/>
          <w:numId w:val="1009"/>
        </w:numPr>
      </w:pPr>
      <w:r>
        <w:t xml:space="preserve">Operations leadership</w:t>
      </w:r>
    </w:p>
    <w:p>
      <w:pPr>
        <w:pStyle w:val="Compact"/>
        <w:numPr>
          <w:ilvl w:val="0"/>
          <w:numId w:val="1009"/>
        </w:numPr>
      </w:pPr>
      <w:r>
        <w:t xml:space="preserve">Risk, Compliance, and Audit functions</w:t>
      </w:r>
    </w:p>
    <w:p>
      <w:pPr>
        <w:pStyle w:val="FirstParagraph"/>
      </w:pPr>
      <w:r>
        <w:t xml:space="preserve">Typical questions include:</w:t>
      </w:r>
    </w:p>
    <w:p>
      <w:pPr>
        <w:pStyle w:val="Compact"/>
        <w:numPr>
          <w:ilvl w:val="0"/>
          <w:numId w:val="1010"/>
        </w:numPr>
      </w:pPr>
      <w:r>
        <w:t xml:space="preserve">Who decides?</w:t>
      </w:r>
    </w:p>
    <w:p>
      <w:pPr>
        <w:pStyle w:val="Compact"/>
        <w:numPr>
          <w:ilvl w:val="0"/>
          <w:numId w:val="1010"/>
        </w:numPr>
      </w:pPr>
      <w:r>
        <w:t xml:space="preserve">Who owns?</w:t>
      </w:r>
    </w:p>
    <w:p>
      <w:pPr>
        <w:pStyle w:val="Compact"/>
        <w:numPr>
          <w:ilvl w:val="0"/>
          <w:numId w:val="1010"/>
        </w:numPr>
      </w:pPr>
      <w:r>
        <w:t xml:space="preserve">Who delivers?</w:t>
      </w:r>
    </w:p>
    <w:p>
      <w:pPr>
        <w:pStyle w:val="Compact"/>
        <w:numPr>
          <w:ilvl w:val="0"/>
          <w:numId w:val="1010"/>
        </w:numPr>
      </w:pPr>
      <w:r>
        <w:t xml:space="preserve">Who approves?</w:t>
      </w:r>
    </w:p>
    <w:p>
      <w:pPr>
        <w:pStyle w:val="Compact"/>
        <w:numPr>
          <w:ilvl w:val="0"/>
          <w:numId w:val="1010"/>
        </w:numPr>
      </w:pPr>
      <w:r>
        <w:t xml:space="preserve">Who assures?</w:t>
      </w:r>
    </w:p>
    <w:p>
      <w:pPr>
        <w:pStyle w:val="FirstParagraph"/>
      </w:pPr>
      <w:r>
        <w:rPr>
          <w:b/>
          <w:bCs/>
        </w:rPr>
        <w:t xml:space="preserve">Mental point:</w:t>
      </w:r>
      <w:r>
        <w:t xml:space="preserve"> </w:t>
      </w:r>
      <w:r>
        <w:t xml:space="preserve">governance is accountability made visible.</w:t>
      </w:r>
    </w:p>
    <w:bookmarkEnd w:id="30"/>
    <w:bookmarkStart w:id="31" w:name="control-assurance-and-trust"/>
    <w:p>
      <w:pPr>
        <w:pStyle w:val="Heading2"/>
      </w:pPr>
      <w:r>
        <w:t xml:space="preserve">2.6 Control: Assurance and Trust</w:t>
      </w:r>
    </w:p>
    <w:p>
      <w:pPr>
        <w:pStyle w:val="FirstParagraph"/>
      </w:pPr>
      <w:r>
        <w:t xml:space="preserve">Control functions create confidence that the enterprise is secure, compliant, financially responsible, and properly governed.</w:t>
      </w:r>
    </w:p>
    <w:p>
      <w:pPr>
        <w:pStyle w:val="BodyText"/>
      </w:pPr>
      <w:r>
        <w:t xml:space="preserve">These controls cut across all enterprise layers:</w:t>
      </w:r>
    </w:p>
    <w:p>
      <w:pPr>
        <w:pStyle w:val="Compact"/>
        <w:numPr>
          <w:ilvl w:val="0"/>
          <w:numId w:val="1011"/>
        </w:numPr>
      </w:pPr>
      <w:r>
        <w:t xml:space="preserve">risk management</w:t>
      </w:r>
    </w:p>
    <w:p>
      <w:pPr>
        <w:pStyle w:val="Compact"/>
        <w:numPr>
          <w:ilvl w:val="0"/>
          <w:numId w:val="1011"/>
        </w:numPr>
      </w:pPr>
      <w:r>
        <w:t xml:space="preserve">information security</w:t>
      </w:r>
    </w:p>
    <w:p>
      <w:pPr>
        <w:pStyle w:val="Compact"/>
        <w:numPr>
          <w:ilvl w:val="0"/>
          <w:numId w:val="1011"/>
        </w:numPr>
      </w:pPr>
      <w:r>
        <w:t xml:space="preserve">regulatory compliance</w:t>
      </w:r>
    </w:p>
    <w:p>
      <w:pPr>
        <w:pStyle w:val="Compact"/>
        <w:numPr>
          <w:ilvl w:val="0"/>
          <w:numId w:val="1011"/>
        </w:numPr>
      </w:pPr>
      <w:r>
        <w:t xml:space="preserve">internal control</w:t>
      </w:r>
    </w:p>
    <w:p>
      <w:pPr>
        <w:pStyle w:val="Compact"/>
        <w:numPr>
          <w:ilvl w:val="0"/>
          <w:numId w:val="1011"/>
        </w:numPr>
      </w:pPr>
      <w:r>
        <w:t xml:space="preserve">procurement control</w:t>
      </w:r>
    </w:p>
    <w:p>
      <w:pPr>
        <w:pStyle w:val="Compact"/>
        <w:numPr>
          <w:ilvl w:val="0"/>
          <w:numId w:val="1011"/>
        </w:numPr>
      </w:pPr>
      <w:r>
        <w:t xml:space="preserve">internal audit</w:t>
      </w:r>
    </w:p>
    <w:p>
      <w:pPr>
        <w:pStyle w:val="Compact"/>
        <w:numPr>
          <w:ilvl w:val="0"/>
          <w:numId w:val="1011"/>
        </w:numPr>
      </w:pPr>
      <w:r>
        <w:t xml:space="preserve">external assurance</w:t>
      </w:r>
    </w:p>
    <w:p>
      <w:pPr>
        <w:pStyle w:val="FirstParagraph"/>
      </w:pPr>
      <w:r>
        <w:t xml:space="preserve">Typical questions include:</w:t>
      </w:r>
    </w:p>
    <w:p>
      <w:pPr>
        <w:pStyle w:val="Compact"/>
        <w:numPr>
          <w:ilvl w:val="0"/>
          <w:numId w:val="1012"/>
        </w:numPr>
      </w:pPr>
      <w:r>
        <w:t xml:space="preserve">Are we secure?</w:t>
      </w:r>
    </w:p>
    <w:p>
      <w:pPr>
        <w:pStyle w:val="Compact"/>
        <w:numPr>
          <w:ilvl w:val="0"/>
          <w:numId w:val="1012"/>
        </w:numPr>
      </w:pPr>
      <w:r>
        <w:t xml:space="preserve">Are we compliant?</w:t>
      </w:r>
    </w:p>
    <w:p>
      <w:pPr>
        <w:pStyle w:val="Compact"/>
        <w:numPr>
          <w:ilvl w:val="0"/>
          <w:numId w:val="1012"/>
        </w:numPr>
      </w:pPr>
      <w:r>
        <w:t xml:space="preserve">Are risks understood?</w:t>
      </w:r>
    </w:p>
    <w:p>
      <w:pPr>
        <w:pStyle w:val="Compact"/>
        <w:numPr>
          <w:ilvl w:val="0"/>
          <w:numId w:val="1012"/>
        </w:numPr>
      </w:pPr>
      <w:r>
        <w:t xml:space="preserve">Are controls operating effectively?</w:t>
      </w:r>
    </w:p>
    <w:p>
      <w:pPr>
        <w:pStyle w:val="Compact"/>
        <w:numPr>
          <w:ilvl w:val="0"/>
          <w:numId w:val="1012"/>
        </w:numPr>
      </w:pPr>
      <w:r>
        <w:t xml:space="preserve">Can we demonstrate evidence?</w:t>
      </w:r>
    </w:p>
    <w:p>
      <w:pPr>
        <w:pStyle w:val="FirstParagraph"/>
      </w:pPr>
      <w:r>
        <w:rPr>
          <w:b/>
          <w:bCs/>
        </w:rPr>
        <w:t xml:space="preserve">Mental point:</w:t>
      </w:r>
      <w:r>
        <w:t xml:space="preserve"> </w:t>
      </w:r>
      <w:r>
        <w:t xml:space="preserve">control is not bureaucracy; it is the mechanism of trust.</w:t>
      </w:r>
    </w:p>
    <w:bookmarkEnd w:id="31"/>
    <w:bookmarkEnd w:id="32"/>
    <w:bookmarkStart w:id="36" w:name="the-simplest-enterprise-sequence"/>
    <w:p>
      <w:pPr>
        <w:pStyle w:val="Heading1"/>
      </w:pPr>
      <w:r>
        <w:t xml:space="preserve">3. The Simplest Enterprise Sequence</w:t>
      </w:r>
    </w:p>
    <w:p>
      <w:pPr>
        <w:pStyle w:val="FirstParagraph"/>
      </w:pPr>
      <w:r>
        <w:t xml:space="preserve">The enterprise can also be understood as a simple sequence:</w:t>
      </w:r>
    </w:p>
    <w:p>
      <w:pPr>
        <w:pStyle w:val="BodyText"/>
      </w:pPr>
    </w:p>
    <w:p>
      <w:pPr>
        <w:pStyle w:val="BodyText"/>
      </w:pPr>
      <w:r>
        <w:drawing>
          <wp:inline>
            <wp:extent cx="2633472" cy="585216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MentalModelEnterpriseIT_files\figure-docx\mermaid-figure-9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472" cy="5852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p>
      <w:pPr>
        <w:pStyle w:val="BodyText"/>
      </w:pPr>
      <w:r>
        <w:t xml:space="preserve">Across all of these layers sit the major control disciplines:</w:t>
      </w:r>
    </w:p>
    <w:p>
      <w:pPr>
        <w:pStyle w:val="Compact"/>
        <w:numPr>
          <w:ilvl w:val="0"/>
          <w:numId w:val="1013"/>
        </w:numPr>
      </w:pPr>
      <w:r>
        <w:t xml:space="preserve">Risk</w:t>
      </w:r>
    </w:p>
    <w:p>
      <w:pPr>
        <w:pStyle w:val="Compact"/>
        <w:numPr>
          <w:ilvl w:val="0"/>
          <w:numId w:val="1013"/>
        </w:numPr>
      </w:pPr>
      <w:r>
        <w:t xml:space="preserve">Security</w:t>
      </w:r>
    </w:p>
    <w:p>
      <w:pPr>
        <w:pStyle w:val="Compact"/>
        <w:numPr>
          <w:ilvl w:val="0"/>
          <w:numId w:val="1013"/>
        </w:numPr>
      </w:pPr>
      <w:r>
        <w:t xml:space="preserve">Compliance</w:t>
      </w:r>
    </w:p>
    <w:p>
      <w:pPr>
        <w:pStyle w:val="Compact"/>
        <w:numPr>
          <w:ilvl w:val="0"/>
          <w:numId w:val="1013"/>
        </w:numPr>
      </w:pPr>
      <w:r>
        <w:t xml:space="preserve">Audit</w:t>
      </w:r>
    </w:p>
    <w:p>
      <w:pPr>
        <w:pStyle w:val="FirstParagraph"/>
      </w:pPr>
      <w:r>
        <w:t xml:space="preserve">This sequence is useful because it shows the movement from intent to execution and then to confirmation.</w:t>
      </w:r>
    </w:p>
    <w:bookmarkEnd w:id="36"/>
    <w:bookmarkStart w:id="45" w:name="the-three-domain-model"/>
    <w:p>
      <w:pPr>
        <w:pStyle w:val="Heading1"/>
      </w:pPr>
      <w:r>
        <w:t xml:space="preserve">4. The Three-Domain Model</w:t>
      </w:r>
    </w:p>
    <w:p>
      <w:pPr>
        <w:pStyle w:val="FirstParagraph"/>
      </w:pPr>
      <w:r>
        <w:t xml:space="preserve">Another strong mental model is to group the enterprise into three operating domains and one surrounding control domain.</w:t>
      </w:r>
    </w:p>
    <w:bookmarkStart w:id="37" w:name="domain-1-direct"/>
    <w:p>
      <w:pPr>
        <w:pStyle w:val="Heading2"/>
      </w:pPr>
      <w:r>
        <w:t xml:space="preserve">4.1 Domain 1: Direct</w:t>
      </w:r>
    </w:p>
    <w:p>
      <w:pPr>
        <w:pStyle w:val="FirstParagraph"/>
      </w:pPr>
      <w:r>
        <w:t xml:space="preserve">This domain sets direction.</w:t>
      </w:r>
    </w:p>
    <w:p>
      <w:pPr>
        <w:pStyle w:val="BodyText"/>
      </w:pPr>
      <w:r>
        <w:t xml:space="preserve">It includes:</w:t>
      </w:r>
    </w:p>
    <w:p>
      <w:pPr>
        <w:pStyle w:val="Compact"/>
        <w:numPr>
          <w:ilvl w:val="0"/>
          <w:numId w:val="1014"/>
        </w:numPr>
      </w:pPr>
      <w:r>
        <w:t xml:space="preserve">governance</w:t>
      </w:r>
    </w:p>
    <w:p>
      <w:pPr>
        <w:pStyle w:val="Compact"/>
        <w:numPr>
          <w:ilvl w:val="0"/>
          <w:numId w:val="1014"/>
        </w:numPr>
      </w:pPr>
      <w:r>
        <w:t xml:space="preserve">strategy</w:t>
      </w:r>
    </w:p>
    <w:p>
      <w:pPr>
        <w:pStyle w:val="Compact"/>
        <w:numPr>
          <w:ilvl w:val="0"/>
          <w:numId w:val="1014"/>
        </w:numPr>
      </w:pPr>
      <w:r>
        <w:t xml:space="preserve">architecture</w:t>
      </w:r>
    </w:p>
    <w:p>
      <w:pPr>
        <w:pStyle w:val="Compact"/>
        <w:numPr>
          <w:ilvl w:val="0"/>
          <w:numId w:val="1014"/>
        </w:numPr>
      </w:pPr>
      <w:r>
        <w:t xml:space="preserve">policy</w:t>
      </w:r>
    </w:p>
    <w:p>
      <w:pPr>
        <w:pStyle w:val="Compact"/>
        <w:numPr>
          <w:ilvl w:val="0"/>
          <w:numId w:val="1014"/>
        </w:numPr>
      </w:pPr>
      <w:r>
        <w:t xml:space="preserve">portfolio decisions</w:t>
      </w:r>
    </w:p>
    <w:bookmarkEnd w:id="37"/>
    <w:bookmarkStart w:id="38" w:name="domain-2-change"/>
    <w:p>
      <w:pPr>
        <w:pStyle w:val="Heading2"/>
      </w:pPr>
      <w:r>
        <w:t xml:space="preserve">4.2 Domain 2: Change</w:t>
      </w:r>
    </w:p>
    <w:p>
      <w:pPr>
        <w:pStyle w:val="FirstParagraph"/>
      </w:pPr>
      <w:r>
        <w:t xml:space="preserve">This domain changes the enterprise.</w:t>
      </w:r>
    </w:p>
    <w:p>
      <w:pPr>
        <w:pStyle w:val="BodyText"/>
      </w:pPr>
      <w:r>
        <w:t xml:space="preserve">It includes:</w:t>
      </w:r>
    </w:p>
    <w:p>
      <w:pPr>
        <w:pStyle w:val="Compact"/>
        <w:numPr>
          <w:ilvl w:val="0"/>
          <w:numId w:val="1015"/>
        </w:numPr>
      </w:pPr>
      <w:r>
        <w:t xml:space="preserve">programmes</w:t>
      </w:r>
    </w:p>
    <w:p>
      <w:pPr>
        <w:pStyle w:val="Compact"/>
        <w:numPr>
          <w:ilvl w:val="0"/>
          <w:numId w:val="1015"/>
        </w:numPr>
      </w:pPr>
      <w:r>
        <w:t xml:space="preserve">projects</w:t>
      </w:r>
    </w:p>
    <w:p>
      <w:pPr>
        <w:pStyle w:val="Compact"/>
        <w:numPr>
          <w:ilvl w:val="0"/>
          <w:numId w:val="1015"/>
        </w:numPr>
      </w:pPr>
      <w:r>
        <w:t xml:space="preserve">product development</w:t>
      </w:r>
    </w:p>
    <w:p>
      <w:pPr>
        <w:pStyle w:val="Compact"/>
        <w:numPr>
          <w:ilvl w:val="0"/>
          <w:numId w:val="1015"/>
        </w:numPr>
      </w:pPr>
      <w:r>
        <w:t xml:space="preserve">engineering delivery</w:t>
      </w:r>
    </w:p>
    <w:p>
      <w:pPr>
        <w:pStyle w:val="Compact"/>
        <w:numPr>
          <w:ilvl w:val="0"/>
          <w:numId w:val="1015"/>
        </w:numPr>
      </w:pPr>
      <w:r>
        <w:t xml:space="preserve">transformation initiatives</w:t>
      </w:r>
    </w:p>
    <w:bookmarkEnd w:id="38"/>
    <w:bookmarkStart w:id="39" w:name="domain-3-run"/>
    <w:p>
      <w:pPr>
        <w:pStyle w:val="Heading2"/>
      </w:pPr>
      <w:r>
        <w:t xml:space="preserve">4.3 Domain 3: Run</w:t>
      </w:r>
    </w:p>
    <w:p>
      <w:pPr>
        <w:pStyle w:val="FirstParagraph"/>
      </w:pPr>
      <w:r>
        <w:t xml:space="preserve">This domain operates the enterprise.</w:t>
      </w:r>
    </w:p>
    <w:p>
      <w:pPr>
        <w:pStyle w:val="BodyText"/>
      </w:pPr>
      <w:r>
        <w:t xml:space="preserve">It includes:</w:t>
      </w:r>
    </w:p>
    <w:p>
      <w:pPr>
        <w:pStyle w:val="Compact"/>
        <w:numPr>
          <w:ilvl w:val="0"/>
          <w:numId w:val="1016"/>
        </w:numPr>
      </w:pPr>
      <w:r>
        <w:t xml:space="preserve">IT services</w:t>
      </w:r>
    </w:p>
    <w:p>
      <w:pPr>
        <w:pStyle w:val="Compact"/>
        <w:numPr>
          <w:ilvl w:val="0"/>
          <w:numId w:val="1016"/>
        </w:numPr>
      </w:pPr>
      <w:r>
        <w:t xml:space="preserve">support</w:t>
      </w:r>
    </w:p>
    <w:p>
      <w:pPr>
        <w:pStyle w:val="Compact"/>
        <w:numPr>
          <w:ilvl w:val="0"/>
          <w:numId w:val="1016"/>
        </w:numPr>
      </w:pPr>
      <w:r>
        <w:t xml:space="preserve">infrastructure</w:t>
      </w:r>
    </w:p>
    <w:p>
      <w:pPr>
        <w:pStyle w:val="Compact"/>
        <w:numPr>
          <w:ilvl w:val="0"/>
          <w:numId w:val="1016"/>
        </w:numPr>
      </w:pPr>
      <w:r>
        <w:t xml:space="preserve">cloud and platform operations</w:t>
      </w:r>
    </w:p>
    <w:p>
      <w:pPr>
        <w:pStyle w:val="Compact"/>
        <w:numPr>
          <w:ilvl w:val="0"/>
          <w:numId w:val="1016"/>
        </w:numPr>
      </w:pPr>
      <w:r>
        <w:t xml:space="preserve">business continuity</w:t>
      </w:r>
    </w:p>
    <w:bookmarkEnd w:id="39"/>
    <w:bookmarkStart w:id="40" w:name="domain-4-control"/>
    <w:p>
      <w:pPr>
        <w:pStyle w:val="Heading2"/>
      </w:pPr>
      <w:r>
        <w:t xml:space="preserve">4.4 Domain 4: Control</w:t>
      </w:r>
    </w:p>
    <w:p>
      <w:pPr>
        <w:pStyle w:val="FirstParagraph"/>
      </w:pPr>
      <w:r>
        <w:t xml:space="preserve">This domain surrounds the others and ensures confidence.</w:t>
      </w:r>
    </w:p>
    <w:p>
      <w:pPr>
        <w:pStyle w:val="BodyText"/>
      </w:pPr>
      <w:r>
        <w:t xml:space="preserve">It includes:</w:t>
      </w:r>
    </w:p>
    <w:p>
      <w:pPr>
        <w:pStyle w:val="Compact"/>
        <w:numPr>
          <w:ilvl w:val="0"/>
          <w:numId w:val="1017"/>
        </w:numPr>
      </w:pPr>
      <w:r>
        <w:t xml:space="preserve">risk</w:t>
      </w:r>
    </w:p>
    <w:p>
      <w:pPr>
        <w:pStyle w:val="Compact"/>
        <w:numPr>
          <w:ilvl w:val="0"/>
          <w:numId w:val="1017"/>
        </w:numPr>
      </w:pPr>
      <w:r>
        <w:t xml:space="preserve">security</w:t>
      </w:r>
    </w:p>
    <w:p>
      <w:pPr>
        <w:pStyle w:val="Compact"/>
        <w:numPr>
          <w:ilvl w:val="0"/>
          <w:numId w:val="1017"/>
        </w:numPr>
      </w:pPr>
      <w:r>
        <w:t xml:space="preserve">compliance</w:t>
      </w:r>
    </w:p>
    <w:p>
      <w:pPr>
        <w:pStyle w:val="Compact"/>
        <w:numPr>
          <w:ilvl w:val="0"/>
          <w:numId w:val="1017"/>
        </w:numPr>
      </w:pPr>
      <w:r>
        <w:t xml:space="preserve">audit</w:t>
      </w:r>
    </w:p>
    <w:bookmarkEnd w:id="40"/>
    <w:bookmarkStart w:id="44" w:name="visual-model"/>
    <w:p>
      <w:pPr>
        <w:pStyle w:val="Heading2"/>
      </w:pPr>
      <w:r>
        <w:t xml:space="preserve">4.5 Visual model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2011680" cy="3639312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MentalModelEnterpriseIT_files\figure-docx\mermaid-figure-8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3639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p>
      <w:pPr>
        <w:pStyle w:val="BodyText"/>
      </w:pPr>
      <w:r>
        <w:t xml:space="preserve">This model is useful because it separates strategic direction, delivery activity, and operational responsibility while preserving the role of independent control.</w:t>
      </w:r>
    </w:p>
    <w:bookmarkEnd w:id="44"/>
    <w:bookmarkEnd w:id="45"/>
    <w:bookmarkStart w:id="66" w:name="the-enterprise-as-a-system-of-flows"/>
    <w:p>
      <w:pPr>
        <w:pStyle w:val="Heading1"/>
      </w:pPr>
      <w:r>
        <w:t xml:space="preserve">5. The Enterprise as a System of Flows</w:t>
      </w:r>
    </w:p>
    <w:p>
      <w:pPr>
        <w:pStyle w:val="FirstParagraph"/>
      </w:pPr>
      <w:r>
        <w:t xml:space="preserve">An enterprise is not only a hierarchy. It is also a system of flows.</w:t>
      </w:r>
    </w:p>
    <w:bookmarkStart w:id="49" w:name="strategic-flow"/>
    <w:p>
      <w:pPr>
        <w:pStyle w:val="Heading2"/>
      </w:pPr>
      <w:r>
        <w:t xml:space="preserve">5.1 Strategic flow</w:t>
      </w:r>
    </w:p>
    <w:p>
      <w:pPr>
        <w:pStyle w:val="FirstParagraph"/>
      </w:pPr>
      <w:r>
        <w:t xml:space="preserve">Business goals move into IT strategy, architecture, and portfolio prioritisation.</w:t>
      </w:r>
    </w:p>
    <w:p>
      <w:pPr>
        <w:pStyle w:val="BodyText"/>
      </w:pPr>
    </w:p>
    <w:p>
      <w:pPr>
        <w:pStyle w:val="BodyText"/>
      </w:pPr>
      <w:r>
        <w:drawing>
          <wp:inline>
            <wp:extent cx="5334000" cy="4619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MentalModelEnterpriseIT_files\figure-docx\mermaid-figure-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1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49"/>
    <w:bookmarkStart w:id="53" w:name="delivery-flow"/>
    <w:p>
      <w:pPr>
        <w:pStyle w:val="Heading2"/>
      </w:pPr>
      <w:r>
        <w:t xml:space="preserve">5.2 Delivery flow</w:t>
      </w:r>
    </w:p>
    <w:p>
      <w:pPr>
        <w:pStyle w:val="FirstParagraph"/>
      </w:pPr>
      <w:r>
        <w:t xml:space="preserve">Demand is converted into outcomes through delivery disciplines.</w:t>
      </w:r>
    </w:p>
    <w:p>
      <w:pPr>
        <w:pStyle w:val="BodyText"/>
      </w:pPr>
    </w:p>
    <w:p>
      <w:pPr>
        <w:pStyle w:val="BodyText"/>
      </w:pPr>
      <w:r>
        <w:drawing>
          <wp:inline>
            <wp:extent cx="5334000" cy="396923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MentalModelEnterpriseIT_files\figure-docx\mermaid-figure-6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53"/>
    <w:bookmarkStart w:id="57" w:name="service-flow"/>
    <w:p>
      <w:pPr>
        <w:pStyle w:val="Heading2"/>
      </w:pPr>
      <w:r>
        <w:t xml:space="preserve">5.3 Service flow</w:t>
      </w:r>
    </w:p>
    <w:p>
      <w:pPr>
        <w:pStyle w:val="FirstParagraph"/>
      </w:pPr>
      <w:r>
        <w:t xml:space="preserve">Operational services move through request, fulfilment, support, monitoring, and improvement.</w:t>
      </w:r>
    </w:p>
    <w:p>
      <w:pPr>
        <w:pStyle w:val="BodyText"/>
      </w:pPr>
    </w:p>
    <w:p>
      <w:pPr>
        <w:pStyle w:val="BodyText"/>
      </w:pPr>
      <w:r>
        <w:drawing>
          <wp:inline>
            <wp:extent cx="5334000" cy="402254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MentalModelEnterpriseIT_files\figure-docx\mermaid-figure-5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57"/>
    <w:bookmarkStart w:id="61" w:name="control-flow"/>
    <w:p>
      <w:pPr>
        <w:pStyle w:val="Heading2"/>
      </w:pPr>
      <w:r>
        <w:t xml:space="preserve">5.4 Control flow</w:t>
      </w:r>
    </w:p>
    <w:p>
      <w:pPr>
        <w:pStyle w:val="FirstParagraph"/>
      </w:pPr>
      <w:r>
        <w:t xml:space="preserve">Control disciplines work through policy, control design, execution, evidence, audit, and remediation.</w:t>
      </w:r>
    </w:p>
    <w:p>
      <w:pPr>
        <w:pStyle w:val="BodyText"/>
      </w:pPr>
    </w:p>
    <w:p>
      <w:pPr>
        <w:pStyle w:val="BodyText"/>
      </w:pPr>
      <w:r>
        <w:drawing>
          <wp:inline>
            <wp:extent cx="5334000" cy="359872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MentalModelEnterpriseIT_files\figure-docx\mermaid-figure-4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61"/>
    <w:bookmarkStart w:id="65" w:name="feedback-flow"/>
    <w:p>
      <w:pPr>
        <w:pStyle w:val="Heading2"/>
      </w:pPr>
      <w:r>
        <w:t xml:space="preserve">5.5 Feedback flow</w:t>
      </w:r>
    </w:p>
    <w:p>
      <w:pPr>
        <w:pStyle w:val="FirstParagraph"/>
      </w:pPr>
      <w:r>
        <w:t xml:space="preserve">A modern enterprise learns through feedback.</w:t>
      </w:r>
    </w:p>
    <w:p>
      <w:pPr>
        <w:pStyle w:val="BodyText"/>
      </w:pPr>
    </w:p>
    <w:p>
      <w:pPr>
        <w:pStyle w:val="BodyText"/>
      </w:pPr>
      <w:r>
        <w:drawing>
          <wp:inline>
            <wp:extent cx="5334000" cy="368732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MentalModelEnterpriseIT_files\figure-docx\mermaid-figure-3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Mental point:</w:t>
      </w:r>
      <w:r>
        <w:t xml:space="preserve"> </w:t>
      </w:r>
      <w:r>
        <w:t xml:space="preserve">the enterprise is a system of decisions, services, change, and feedback loops.</w:t>
      </w:r>
    </w:p>
    <w:bookmarkEnd w:id="65"/>
    <w:bookmarkEnd w:id="66"/>
    <w:bookmarkStart w:id="71" w:name="framework-mapping-model"/>
    <w:p>
      <w:pPr>
        <w:pStyle w:val="Heading1"/>
      </w:pPr>
      <w:r>
        <w:t xml:space="preserve">6. Framework Mapping Model</w:t>
      </w:r>
    </w:p>
    <w:p>
      <w:pPr>
        <w:pStyle w:val="FirstParagraph"/>
      </w:pPr>
      <w:r>
        <w:t xml:space="preserve">No single framework covers the whole enterprise. Each framework typically governs one part of the system.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9"/>
        <w:gridCol w:w="3424"/>
        <w:gridCol w:w="26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Mental domain</w:t>
            </w:r>
          </w:p>
        </w:tc>
        <w:tc>
          <w:tcPr/>
          <w:p>
            <w:pPr>
              <w:pStyle w:val="Compact"/>
            </w:pPr>
            <w:r>
              <w:t xml:space="preserve">Primary purpose</w:t>
            </w:r>
          </w:p>
        </w:tc>
        <w:tc>
          <w:tcPr/>
          <w:p>
            <w:pPr>
              <w:pStyle w:val="Compact"/>
            </w:pPr>
            <w:r>
              <w:t xml:space="preserve">Example frameworks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</w:t>
            </w:r>
          </w:p>
        </w:tc>
        <w:tc>
          <w:tcPr/>
          <w:p>
            <w:pPr>
              <w:pStyle w:val="Compact"/>
            </w:pPr>
            <w:r>
              <w:t xml:space="preserve">Set direction and control</w:t>
            </w:r>
          </w:p>
        </w:tc>
        <w:tc>
          <w:tcPr/>
          <w:p>
            <w:pPr>
              <w:pStyle w:val="Compact"/>
            </w:pPr>
            <w:r>
              <w:t xml:space="preserve">COBIT, ISO/IEC 38500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Shape the enterprise</w:t>
            </w:r>
          </w:p>
        </w:tc>
        <w:tc>
          <w:tcPr/>
          <w:p>
            <w:pPr>
              <w:pStyle w:val="Compact"/>
            </w:pPr>
            <w:r>
              <w:t xml:space="preserve">TOGAF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Prioritise</w:t>
            </w:r>
          </w:p>
        </w:tc>
        <w:tc>
          <w:tcPr/>
          <w:p>
            <w:pPr>
              <w:pStyle w:val="Compact"/>
            </w:pPr>
            <w:r>
              <w:t xml:space="preserve">Select strategic investment</w:t>
            </w:r>
          </w:p>
        </w:tc>
        <w:tc>
          <w:tcPr/>
          <w:p>
            <w:pPr>
              <w:pStyle w:val="Compact"/>
            </w:pPr>
            <w:r>
              <w:t xml:space="preserve">MoP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Transform</w:t>
            </w:r>
          </w:p>
        </w:tc>
        <w:tc>
          <w:tcPr/>
          <w:p>
            <w:pPr>
              <w:pStyle w:val="Compact"/>
            </w:pPr>
            <w:r>
              <w:t xml:space="preserve">Coordinate major change</w:t>
            </w:r>
          </w:p>
        </w:tc>
        <w:tc>
          <w:tcPr/>
          <w:p>
            <w:pPr>
              <w:pStyle w:val="Compact"/>
            </w:pPr>
            <w:r>
              <w:t xml:space="preserve">MSP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</w:t>
            </w:r>
          </w:p>
        </w:tc>
        <w:tc>
          <w:tcPr/>
          <w:p>
            <w:pPr>
              <w:pStyle w:val="Compact"/>
            </w:pPr>
            <w:r>
              <w:t xml:space="preserve">Execute projects</w:t>
            </w:r>
          </w:p>
        </w:tc>
        <w:tc>
          <w:tcPr/>
          <w:p>
            <w:pPr>
              <w:pStyle w:val="Compact"/>
            </w:pPr>
            <w:r>
              <w:t xml:space="preserve">PRINCE2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and improve</w:t>
            </w:r>
          </w:p>
        </w:tc>
        <w:tc>
          <w:tcPr/>
          <w:p>
            <w:pPr>
              <w:pStyle w:val="Compact"/>
            </w:pPr>
            <w:r>
              <w:t xml:space="preserve">Engineer solutions and platforms</w:t>
            </w:r>
          </w:p>
        </w:tc>
        <w:tc>
          <w:tcPr/>
          <w:p>
            <w:pPr>
              <w:pStyle w:val="Compact"/>
            </w:pPr>
            <w:r>
              <w:t xml:space="preserve">Agile, DevOps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Operate and support services</w:t>
            </w:r>
          </w:p>
        </w:tc>
        <w:tc>
          <w:tcPr/>
          <w:p>
            <w:pPr>
              <w:pStyle w:val="Compact"/>
            </w:pPr>
            <w:r>
              <w:t xml:space="preserve">ITIL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Protect</w:t>
            </w:r>
          </w:p>
        </w:tc>
        <w:tc>
          <w:tcPr/>
          <w:p>
            <w:pPr>
              <w:pStyle w:val="Compact"/>
            </w:pPr>
            <w:r>
              <w:t xml:space="preserve">Secure information and systems</w:t>
            </w:r>
          </w:p>
        </w:tc>
        <w:tc>
          <w:tcPr/>
          <w:p>
            <w:pPr>
              <w:pStyle w:val="Compact"/>
            </w:pPr>
            <w:r>
              <w:t xml:space="preserve">ISO/IEC 27001, NIST CSF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Manage uncertainty and response</w:t>
            </w:r>
          </w:p>
        </w:tc>
        <w:tc>
          <w:tcPr/>
          <w:p>
            <w:pPr>
              <w:pStyle w:val="Compact"/>
            </w:pPr>
            <w:r>
              <w:t xml:space="preserve">MoR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Comply</w:t>
            </w:r>
          </w:p>
        </w:tc>
        <w:tc>
          <w:tcPr/>
          <w:p>
            <w:pPr>
              <w:pStyle w:val="Compact"/>
            </w:pPr>
            <w:r>
              <w:t xml:space="preserve">Meet regulatory obligations</w:t>
            </w:r>
          </w:p>
        </w:tc>
        <w:tc>
          <w:tcPr/>
          <w:p>
            <w:pPr>
              <w:pStyle w:val="Compact"/>
            </w:pPr>
            <w:r>
              <w:t xml:space="preserve">GDPR, NIS2, DORA, AI 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Assure</w:t>
            </w:r>
          </w:p>
        </w:tc>
        <w:tc>
          <w:tcPr/>
          <w:p>
            <w:pPr>
              <w:pStyle w:val="Compact"/>
            </w:pPr>
            <w:r>
              <w:t xml:space="preserve">Provide independent confidence</w:t>
            </w:r>
          </w:p>
        </w:tc>
        <w:tc>
          <w:tcPr/>
          <w:p>
            <w:pPr>
              <w:pStyle w:val="Compact"/>
            </w:pPr>
            <w:r>
              <w:t xml:space="preserve">Internal Audit, ISO 19011</w:t>
            </w:r>
          </w:p>
        </w:tc>
      </w:tr>
    </w:tbl>
    <w:bookmarkStart w:id="70" w:name="framework-interaction-view"/>
    <w:p>
      <w:pPr>
        <w:pStyle w:val="Heading2"/>
      </w:pPr>
      <w:r>
        <w:t xml:space="preserve">6.1 Framework interaction view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5485362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MentalModelEnterpriseIT_files\figure-docx\mermaid-figure-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85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70"/>
    <w:bookmarkEnd w:id="71"/>
    <w:bookmarkStart w:id="72" w:name="executive-view"/>
    <w:p>
      <w:pPr>
        <w:pStyle w:val="Heading1"/>
      </w:pPr>
      <w:r>
        <w:t xml:space="preserve">7. Executive View</w:t>
      </w:r>
    </w:p>
    <w:p>
      <w:pPr>
        <w:pStyle w:val="FirstParagraph"/>
      </w:pPr>
      <w:r>
        <w:t xml:space="preserve">For senior leadership, the model can be simplified into five questions.</w:t>
      </w:r>
    </w:p>
    <w:p>
      <w:pPr>
        <w:pStyle w:val="BodyText"/>
      </w:pPr>
      <w:r>
        <w:t xml:space="preserve">The Board and executive leadership typically want confidence that:</w:t>
      </w:r>
    </w:p>
    <w:p>
      <w:pPr>
        <w:pStyle w:val="Compact"/>
        <w:numPr>
          <w:ilvl w:val="0"/>
          <w:numId w:val="1018"/>
        </w:numPr>
      </w:pPr>
      <w:r>
        <w:t xml:space="preserve">technology supports strategy</w:t>
      </w:r>
    </w:p>
    <w:p>
      <w:pPr>
        <w:pStyle w:val="Compact"/>
        <w:numPr>
          <w:ilvl w:val="0"/>
          <w:numId w:val="1018"/>
        </w:numPr>
      </w:pPr>
      <w:r>
        <w:t xml:space="preserve">money is being spent on the right priorities</w:t>
      </w:r>
    </w:p>
    <w:p>
      <w:pPr>
        <w:pStyle w:val="Compact"/>
        <w:numPr>
          <w:ilvl w:val="0"/>
          <w:numId w:val="1018"/>
        </w:numPr>
      </w:pPr>
      <w:r>
        <w:t xml:space="preserve">change is delivered successfully</w:t>
      </w:r>
    </w:p>
    <w:p>
      <w:pPr>
        <w:pStyle w:val="Compact"/>
        <w:numPr>
          <w:ilvl w:val="0"/>
          <w:numId w:val="1018"/>
        </w:numPr>
      </w:pPr>
      <w:r>
        <w:t xml:space="preserve">services are reliable and secure</w:t>
      </w:r>
    </w:p>
    <w:p>
      <w:pPr>
        <w:pStyle w:val="Compact"/>
        <w:numPr>
          <w:ilvl w:val="0"/>
          <w:numId w:val="1018"/>
        </w:numPr>
      </w:pPr>
      <w:r>
        <w:t xml:space="preserve">risk and compliance are under control</w:t>
      </w:r>
    </w:p>
    <w:p>
      <w:pPr>
        <w:pStyle w:val="FirstParagraph"/>
      </w:pPr>
      <w:r>
        <w:t xml:space="preserve">This is the executive essence of IT governance.</w:t>
      </w:r>
    </w:p>
    <w:bookmarkEnd w:id="72"/>
    <w:bookmarkStart w:id="73" w:name="practical-operating-model-sentence"/>
    <w:p>
      <w:pPr>
        <w:pStyle w:val="Heading1"/>
      </w:pPr>
      <w:r>
        <w:t xml:space="preserve">8. Practical Operating Model Sentence</w:t>
      </w:r>
    </w:p>
    <w:p>
      <w:pPr>
        <w:pStyle w:val="FirstParagraph"/>
      </w:pPr>
      <w:r>
        <w:t xml:space="preserve">A concise statement for this chapter is:</w:t>
      </w:r>
    </w:p>
    <w:p>
      <w:pPr>
        <w:pStyle w:val="BlockText"/>
      </w:pPr>
      <w:r>
        <w:t xml:space="preserve">A modern IT enterprise is a governed system that directs the enterprise, changes the enterprise, runs the enterprise, controls the enterprise, and continuously improves the enterprise.</w:t>
      </w:r>
    </w:p>
    <w:bookmarkEnd w:id="73"/>
    <w:bookmarkStart w:id="79" w:name="key-governance-implications"/>
    <w:p>
      <w:pPr>
        <w:pStyle w:val="Heading1"/>
      </w:pPr>
      <w:r>
        <w:t xml:space="preserve">9. Key Governance Implications</w:t>
      </w:r>
    </w:p>
    <w:p>
      <w:pPr>
        <w:pStyle w:val="FirstParagraph"/>
      </w:pPr>
      <w:r>
        <w:t xml:space="preserve">This mental model leads to several important governance implications.</w:t>
      </w:r>
    </w:p>
    <w:bookmarkStart w:id="74" w:name="alignment-is-essential"/>
    <w:p>
      <w:pPr>
        <w:pStyle w:val="Heading2"/>
      </w:pPr>
      <w:r>
        <w:t xml:space="preserve">9.1 Alignment is essential</w:t>
      </w:r>
    </w:p>
    <w:p>
      <w:pPr>
        <w:pStyle w:val="FirstParagraph"/>
      </w:pPr>
      <w:r>
        <w:t xml:space="preserve">Strategy, architecture, delivery, and operations must be linked. If they are disconnected, the enterprise creates waste, duplication, and risk.</w:t>
      </w:r>
    </w:p>
    <w:bookmarkEnd w:id="74"/>
    <w:bookmarkStart w:id="75" w:name="accountability-must-be-explicit"/>
    <w:p>
      <w:pPr>
        <w:pStyle w:val="Heading2"/>
      </w:pPr>
      <w:r>
        <w:t xml:space="preserve">9.2 Accountability must be explicit</w:t>
      </w:r>
    </w:p>
    <w:p>
      <w:pPr>
        <w:pStyle w:val="FirstParagraph"/>
      </w:pPr>
      <w:r>
        <w:t xml:space="preserve">Decision rights, ownership, and assurance responsibilities should be visible and documented.</w:t>
      </w:r>
    </w:p>
    <w:bookmarkEnd w:id="75"/>
    <w:bookmarkStart w:id="76" w:name="control-must-be-embedded"/>
    <w:p>
      <w:pPr>
        <w:pStyle w:val="Heading2"/>
      </w:pPr>
      <w:r>
        <w:t xml:space="preserve">9.3 Control must be embedded</w:t>
      </w:r>
    </w:p>
    <w:p>
      <w:pPr>
        <w:pStyle w:val="FirstParagraph"/>
      </w:pPr>
      <w:r>
        <w:t xml:space="preserve">Risk, security, and compliance cannot be bolted on after the fact. They must be built into design, delivery, and operations.</w:t>
      </w:r>
    </w:p>
    <w:bookmarkEnd w:id="76"/>
    <w:bookmarkStart w:id="77" w:name="feedback-must-influence-direction"/>
    <w:p>
      <w:pPr>
        <w:pStyle w:val="Heading2"/>
      </w:pPr>
      <w:r>
        <w:t xml:space="preserve">9.4 Feedback must influence direction</w:t>
      </w:r>
    </w:p>
    <w:p>
      <w:pPr>
        <w:pStyle w:val="FirstParagraph"/>
      </w:pPr>
      <w:r>
        <w:t xml:space="preserve">Incidents, metrics, audits, and lessons learned should shape future strategy and improvement.</w:t>
      </w:r>
    </w:p>
    <w:bookmarkEnd w:id="77"/>
    <w:bookmarkStart w:id="78" w:name="Xa89b28254b72dccdf8643784dbcd92f7a6690b2"/>
    <w:p>
      <w:pPr>
        <w:pStyle w:val="Heading2"/>
      </w:pPr>
      <w:r>
        <w:t xml:space="preserve">9.5 Frameworks should be integrated, not isolated</w:t>
      </w:r>
    </w:p>
    <w:p>
      <w:pPr>
        <w:pStyle w:val="FirstParagraph"/>
      </w:pPr>
      <w:r>
        <w:t xml:space="preserve">Frameworks are most valuable when used together in a coherent enterprise model rather than treated as separate compliance exercises.</w:t>
      </w:r>
    </w:p>
    <w:bookmarkEnd w:id="78"/>
    <w:bookmarkEnd w:id="79"/>
    <w:bookmarkStart w:id="80" w:name="summary"/>
    <w:p>
      <w:pPr>
        <w:pStyle w:val="Heading1"/>
      </w:pPr>
      <w:r>
        <w:t xml:space="preserve">10. Summary</w:t>
      </w:r>
    </w:p>
    <w:p>
      <w:pPr>
        <w:pStyle w:val="FirstParagraph"/>
      </w:pPr>
      <w:r>
        <w:t xml:space="preserve">The most useful mental shortcut for a modern IT enterprise is this:</w:t>
      </w:r>
    </w:p>
    <w:p>
      <w:pPr>
        <w:pStyle w:val="SourceCode"/>
      </w:pPr>
      <w:r>
        <w:rPr>
          <w:rStyle w:val="VerbatimChar"/>
        </w:rPr>
        <w:t xml:space="preserve">Direct the enterprise</w:t>
      </w:r>
      <w:r>
        <w:br/>
      </w:r>
      <w:r>
        <w:rPr>
          <w:rStyle w:val="VerbatimChar"/>
        </w:rPr>
        <w:t xml:space="preserve">Change the enterprise</w:t>
      </w:r>
      <w:r>
        <w:br/>
      </w:r>
      <w:r>
        <w:rPr>
          <w:rStyle w:val="VerbatimChar"/>
        </w:rPr>
        <w:t xml:space="preserve">Run the enterprise</w:t>
      </w:r>
      <w:r>
        <w:br/>
      </w:r>
      <w:r>
        <w:rPr>
          <w:rStyle w:val="VerbatimChar"/>
        </w:rPr>
        <w:t xml:space="preserve">Control the enterprise</w:t>
      </w:r>
      <w:r>
        <w:br/>
      </w:r>
      <w:r>
        <w:rPr>
          <w:rStyle w:val="VerbatimChar"/>
        </w:rPr>
        <w:t xml:space="preserve">Improve the enterprise</w:t>
      </w:r>
    </w:p>
    <w:p>
      <w:pPr>
        <w:pStyle w:val="FirstParagraph"/>
      </w:pPr>
      <w:r>
        <w:t xml:space="preserve">This is the essence of modern IT governance.</w:t>
      </w:r>
    </w:p>
    <w:p>
      <w:pPr>
        <w:pStyle w:val="BodyText"/>
      </w:pPr>
      <w:r>
        <w:t xml:space="preserve">A well-governed enterprise aligns business purpose, architectural design, investment choices, delivery capability, service operations, and assurance mechanisms into one coherent system.</w:t>
      </w:r>
    </w:p>
    <w:bookmarkEnd w:id="80"/>
    <w:bookmarkStart w:id="81" w:name="suggested-related-chapters"/>
    <w:p>
      <w:pPr>
        <w:pStyle w:val="Heading1"/>
      </w:pPr>
      <w:r>
        <w:t xml:space="preserve">11. Suggested Related Chapters</w:t>
      </w:r>
    </w:p>
    <w:p>
      <w:pPr>
        <w:pStyle w:val="FirstParagraph"/>
      </w:pPr>
      <w:r>
        <w:t xml:space="preserve">This chapter connects naturally to the following topics:</w:t>
      </w:r>
    </w:p>
    <w:p>
      <w:pPr>
        <w:pStyle w:val="Compact"/>
        <w:numPr>
          <w:ilvl w:val="0"/>
          <w:numId w:val="1019"/>
        </w:numPr>
      </w:pPr>
      <w:r>
        <w:t xml:space="preserve">Enterprise IT Organogram</w:t>
      </w:r>
    </w:p>
    <w:p>
      <w:pPr>
        <w:pStyle w:val="Compact"/>
        <w:numPr>
          <w:ilvl w:val="0"/>
          <w:numId w:val="1019"/>
        </w:numPr>
      </w:pPr>
      <w:r>
        <w:t xml:space="preserve">Visual IT Governance Universe</w:t>
      </w:r>
    </w:p>
    <w:p>
      <w:pPr>
        <w:pStyle w:val="Compact"/>
        <w:numPr>
          <w:ilvl w:val="0"/>
          <w:numId w:val="1019"/>
        </w:numPr>
      </w:pPr>
      <w:r>
        <w:t xml:space="preserve">Enterprise Capability Map</w:t>
      </w:r>
    </w:p>
    <w:p>
      <w:pPr>
        <w:pStyle w:val="Compact"/>
        <w:numPr>
          <w:ilvl w:val="0"/>
          <w:numId w:val="1019"/>
        </w:numPr>
      </w:pPr>
      <w:r>
        <w:t xml:space="preserve">Cross-Framework Process Integration</w:t>
      </w:r>
    </w:p>
    <w:p>
      <w:pPr>
        <w:pStyle w:val="Compact"/>
        <w:numPr>
          <w:ilvl w:val="0"/>
          <w:numId w:val="1019"/>
        </w:numPr>
      </w:pPr>
      <w:r>
        <w:t xml:space="preserve">Governance Artefact Catalogue</w:t>
      </w:r>
    </w:p>
    <w:p>
      <w:pPr>
        <w:pStyle w:val="Compact"/>
        <w:numPr>
          <w:ilvl w:val="0"/>
          <w:numId w:val="1019"/>
        </w:numPr>
      </w:pPr>
      <w:r>
        <w:t xml:space="preserve">Enterprise RACI Model</w:t>
      </w:r>
    </w:p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7" Target="media/rId67.png" /><Relationship Type="http://schemas.openxmlformats.org/officeDocument/2006/relationships/image" Id="rId62" Target="media/rId62.png" /><Relationship Type="http://schemas.openxmlformats.org/officeDocument/2006/relationships/image" Id="rId58" Target="media/rId58.png" /><Relationship Type="http://schemas.openxmlformats.org/officeDocument/2006/relationships/image" Id="rId54" Target="media/rId54.png" /><Relationship Type="http://schemas.openxmlformats.org/officeDocument/2006/relationships/image" Id="rId50" Target="media/rId50.png" /><Relationship Type="http://schemas.openxmlformats.org/officeDocument/2006/relationships/image" Id="rId46" Target="media/rId46.png" /><Relationship Type="http://schemas.openxmlformats.org/officeDocument/2006/relationships/image" Id="rId41" Target="media/rId41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Mental Model of the Modern IT Enterprise</dc:title>
  <dc:creator>OpenAI</dc:creator>
  <dc:language>en-GB</dc:language>
  <cp:keywords/>
  <dcterms:created xsi:type="dcterms:W3CDTF">2026-03-28T22:46:46Z</dcterms:created>
  <dcterms:modified xsi:type="dcterms:W3CDTF">2026-03-28T22:46:46Z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field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title-block-banner">
    <vt:lpwstr>True</vt:lpwstr>
  </property>
  <property fmtid="{D5CDD505-2E9C-101B-9397-08002B2CF9AE}" pid="13" name="toc-title">
    <vt:lpwstr>Table of contents</vt:lpwstr>
  </property>
</Properties>
</file>