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NIST Cybersecurity Framework</w:t>
      </w:r>
    </w:p>
    <w:p>
      <w:pPr>
        <w:pStyle w:val="Subtitle"/>
      </w:pPr>
      <w:r>
        <w:t xml:space="preserve">Governance, Risk, Controls, and Implementation Template</w:t>
      </w:r>
    </w:p>
    <w:p>
      <w:pPr>
        <w:pStyle w:val="Author"/>
      </w:pPr>
      <w:r>
        <w:t xml:space="preserve">Joao Luiz D’Andrea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The NIST Cybersecurity Framework (CSF) provides a flexible, outcome-based structure for managing cybersecurity risk across organisations of different sizes, sectors, and levels of maturity. This document provides a practical template for defining the organisation’s cybersecurity governance model, risk management approach, control structure, implementation roadmap, and assurance model using NIST CSF 2.0.</w:t>
      </w:r>
    </w:p>
    <w:p>
      <w:pPr>
        <w:pStyle w:val="BodyText"/>
      </w:pPr>
      <w:r>
        <w:t xml:space="preserve">This template can be used to document the organisation’s target operating model for cybersecurity, align business and technology stakeholders, support risk-based investment decisions, and integrate cybersecurity with enterprise governance, resilience, compliance, and assurance processes.</w:t>
      </w:r>
    </w:p>
    <w:bookmarkEnd w:id="20"/>
    <w:bookmarkStart w:id="27" w:name="overview"/>
    <w:p>
      <w:pPr>
        <w:pStyle w:val="Heading1"/>
      </w:pPr>
      <w:r>
        <w:t xml:space="preserve">2. Overview</w:t>
      </w:r>
    </w:p>
    <w:bookmarkStart w:id="21" w:name="purpose"/>
    <w:p>
      <w:pPr>
        <w:pStyle w:val="Heading2"/>
      </w:pPr>
      <w:r>
        <w:t xml:space="preserve">2.1 Purpose</w:t>
      </w:r>
    </w:p>
    <w:p>
      <w:pPr>
        <w:pStyle w:val="FirstParagraph"/>
      </w:pPr>
      <w:r>
        <w:t xml:space="preserve">This document provides a practical template for defining, implementing, operating, and assuring a cybersecurity management system aligned to the NIST Cybersecurity Framework.</w:t>
      </w:r>
    </w:p>
    <w:bookmarkEnd w:id="21"/>
    <w:bookmarkStart w:id="22" w:name="objectives"/>
    <w:p>
      <w:pPr>
        <w:pStyle w:val="Heading2"/>
      </w:pPr>
      <w:r>
        <w:t xml:space="preserve">2.2 Objectives</w:t>
      </w:r>
    </w:p>
    <w:p>
      <w:pPr>
        <w:pStyle w:val="FirstParagraph"/>
      </w:pPr>
      <w:r>
        <w:t xml:space="preserve">The main objectives of applying the NIST Cybersecurity Framework are to:</w:t>
      </w:r>
    </w:p>
    <w:p>
      <w:pPr>
        <w:pStyle w:val="Compact"/>
        <w:numPr>
          <w:ilvl w:val="0"/>
          <w:numId w:val="1001"/>
        </w:numPr>
      </w:pPr>
      <w:r>
        <w:t xml:space="preserve">establish a common language for cybersecurity risk</w:t>
      </w:r>
    </w:p>
    <w:p>
      <w:pPr>
        <w:pStyle w:val="Compact"/>
        <w:numPr>
          <w:ilvl w:val="0"/>
          <w:numId w:val="1001"/>
        </w:numPr>
      </w:pPr>
      <w:r>
        <w:t xml:space="preserve">align cybersecurity with business objectives and enterprise risk</w:t>
      </w:r>
    </w:p>
    <w:p>
      <w:pPr>
        <w:pStyle w:val="Compact"/>
        <w:numPr>
          <w:ilvl w:val="0"/>
          <w:numId w:val="1001"/>
        </w:numPr>
      </w:pPr>
      <w:r>
        <w:t xml:space="preserve">define and prioritise cybersecurity outcomes</w:t>
      </w:r>
    </w:p>
    <w:p>
      <w:pPr>
        <w:pStyle w:val="Compact"/>
        <w:numPr>
          <w:ilvl w:val="0"/>
          <w:numId w:val="1001"/>
        </w:numPr>
      </w:pPr>
      <w:r>
        <w:t xml:space="preserve">improve governance, resilience, and incident readiness</w:t>
      </w:r>
    </w:p>
    <w:p>
      <w:pPr>
        <w:pStyle w:val="Compact"/>
        <w:numPr>
          <w:ilvl w:val="0"/>
          <w:numId w:val="1001"/>
        </w:numPr>
      </w:pPr>
      <w:r>
        <w:t xml:space="preserve">strengthen communication across executives, business units, risk teams, and technical teams</w:t>
      </w:r>
    </w:p>
    <w:p>
      <w:pPr>
        <w:pStyle w:val="Compact"/>
        <w:numPr>
          <w:ilvl w:val="0"/>
          <w:numId w:val="1001"/>
        </w:numPr>
      </w:pPr>
      <w:r>
        <w:t xml:space="preserve">support continuous improvement through profiles, tiers, metrics, and assurance</w:t>
      </w:r>
    </w:p>
    <w:bookmarkEnd w:id="22"/>
    <w:bookmarkStart w:id="25" w:name="scope"/>
    <w:p>
      <w:pPr>
        <w:pStyle w:val="Heading2"/>
      </w:pPr>
      <w:r>
        <w:t xml:space="preserve">2.3 Scope</w:t>
      </w:r>
    </w:p>
    <w:p>
      <w:pPr>
        <w:pStyle w:val="FirstParagraph"/>
      </w:pPr>
      <w:r>
        <w:t xml:space="preserve">Describe the scope of NIST CSF applicability in the organisation.</w:t>
      </w:r>
    </w:p>
    <w:bookmarkStart w:id="23" w:name="in-scope"/>
    <w:p>
      <w:pPr>
        <w:pStyle w:val="Heading3"/>
      </w:pPr>
      <w:r>
        <w:t xml:space="preserve">2.3.1 In scope</w:t>
      </w:r>
    </w:p>
    <w:p>
      <w:pPr>
        <w:pStyle w:val="Compact"/>
        <w:numPr>
          <w:ilvl w:val="0"/>
          <w:numId w:val="1002"/>
        </w:numPr>
      </w:pPr>
      <w:r>
        <w:t xml:space="preserve">enterprise cybersecurity governance</w:t>
      </w:r>
    </w:p>
    <w:p>
      <w:pPr>
        <w:pStyle w:val="Compact"/>
        <w:numPr>
          <w:ilvl w:val="0"/>
          <w:numId w:val="1002"/>
        </w:numPr>
      </w:pPr>
      <w:r>
        <w:t xml:space="preserve">business services and critical processes</w:t>
      </w:r>
    </w:p>
    <w:p>
      <w:pPr>
        <w:pStyle w:val="Compact"/>
        <w:numPr>
          <w:ilvl w:val="0"/>
          <w:numId w:val="1002"/>
        </w:numPr>
      </w:pPr>
      <w:r>
        <w:t xml:space="preserve">information assets and data</w:t>
      </w:r>
    </w:p>
    <w:p>
      <w:pPr>
        <w:pStyle w:val="Compact"/>
        <w:numPr>
          <w:ilvl w:val="0"/>
          <w:numId w:val="1002"/>
        </w:numPr>
      </w:pPr>
      <w:r>
        <w:t xml:space="preserve">applications, platforms, infrastructure, and cloud services</w:t>
      </w:r>
    </w:p>
    <w:p>
      <w:pPr>
        <w:pStyle w:val="Compact"/>
        <w:numPr>
          <w:ilvl w:val="0"/>
          <w:numId w:val="1002"/>
        </w:numPr>
      </w:pPr>
      <w:r>
        <w:t xml:space="preserve">operational technology where applicable</w:t>
      </w:r>
    </w:p>
    <w:p>
      <w:pPr>
        <w:pStyle w:val="Compact"/>
        <w:numPr>
          <w:ilvl w:val="0"/>
          <w:numId w:val="1002"/>
        </w:numPr>
      </w:pPr>
      <w:r>
        <w:t xml:space="preserve">third-party services and supply chain dependencies</w:t>
      </w:r>
    </w:p>
    <w:p>
      <w:pPr>
        <w:pStyle w:val="Compact"/>
        <w:numPr>
          <w:ilvl w:val="0"/>
          <w:numId w:val="1002"/>
        </w:numPr>
      </w:pPr>
      <w:r>
        <w:t xml:space="preserve">cyber resilience, incident response, and recovery arrangements</w:t>
      </w:r>
    </w:p>
    <w:bookmarkEnd w:id="23"/>
    <w:bookmarkStart w:id="24" w:name="out-of-scope"/>
    <w:p>
      <w:pPr>
        <w:pStyle w:val="Heading3"/>
      </w:pPr>
      <w:r>
        <w:t xml:space="preserve">2.3.2 Out of scope</w:t>
      </w:r>
    </w:p>
    <w:p>
      <w:pPr>
        <w:pStyle w:val="FirstParagraph"/>
      </w:pPr>
      <w:r>
        <w:t xml:space="preserve">Document justified exclusions, if any.</w:t>
      </w:r>
    </w:p>
    <w:bookmarkEnd w:id="24"/>
    <w:bookmarkEnd w:id="25"/>
    <w:bookmarkStart w:id="26" w:name="intended-audience"/>
    <w:p>
      <w:pPr>
        <w:pStyle w:val="Heading2"/>
      </w:pPr>
      <w:r>
        <w:t xml:space="preserve">2.4 Intended Audience</w:t>
      </w:r>
    </w:p>
    <w:p>
      <w:pPr>
        <w:pStyle w:val="Compact"/>
        <w:numPr>
          <w:ilvl w:val="0"/>
          <w:numId w:val="1003"/>
        </w:numPr>
      </w:pPr>
      <w:r>
        <w:t xml:space="preserve">Board and executive leadership</w:t>
      </w:r>
    </w:p>
    <w:p>
      <w:pPr>
        <w:pStyle w:val="Compact"/>
        <w:numPr>
          <w:ilvl w:val="0"/>
          <w:numId w:val="1003"/>
        </w:numPr>
      </w:pPr>
      <w:r>
        <w:t xml:space="preserve">Chief Information Security Officer</w:t>
      </w:r>
    </w:p>
    <w:p>
      <w:pPr>
        <w:pStyle w:val="Compact"/>
        <w:numPr>
          <w:ilvl w:val="0"/>
          <w:numId w:val="1003"/>
        </w:numPr>
      </w:pPr>
      <w:r>
        <w:t xml:space="preserve">Chief Information Officer</w:t>
      </w:r>
    </w:p>
    <w:p>
      <w:pPr>
        <w:pStyle w:val="Compact"/>
        <w:numPr>
          <w:ilvl w:val="0"/>
          <w:numId w:val="1003"/>
        </w:numPr>
      </w:pPr>
      <w:r>
        <w:t xml:space="preserve">Enterprise Risk Management teams</w:t>
      </w:r>
    </w:p>
    <w:p>
      <w:pPr>
        <w:pStyle w:val="Compact"/>
        <w:numPr>
          <w:ilvl w:val="0"/>
          <w:numId w:val="1003"/>
        </w:numPr>
      </w:pPr>
      <w:r>
        <w:t xml:space="preserve">Security architecture and engineering teams</w:t>
      </w:r>
    </w:p>
    <w:p>
      <w:pPr>
        <w:pStyle w:val="Compact"/>
        <w:numPr>
          <w:ilvl w:val="0"/>
          <w:numId w:val="1003"/>
        </w:numPr>
      </w:pPr>
      <w:r>
        <w:t xml:space="preserve">IT operations and service management teams</w:t>
      </w:r>
    </w:p>
    <w:p>
      <w:pPr>
        <w:pStyle w:val="Compact"/>
        <w:numPr>
          <w:ilvl w:val="0"/>
          <w:numId w:val="1003"/>
        </w:numPr>
      </w:pPr>
      <w:r>
        <w:t xml:space="preserve">Business owners and control owners</w:t>
      </w:r>
    </w:p>
    <w:p>
      <w:pPr>
        <w:pStyle w:val="Compact"/>
        <w:numPr>
          <w:ilvl w:val="0"/>
          <w:numId w:val="1003"/>
        </w:numPr>
      </w:pPr>
      <w:r>
        <w:t xml:space="preserve">Compliance and legal teams</w:t>
      </w:r>
    </w:p>
    <w:p>
      <w:pPr>
        <w:pStyle w:val="Compact"/>
        <w:numPr>
          <w:ilvl w:val="0"/>
          <w:numId w:val="1003"/>
        </w:numPr>
      </w:pPr>
      <w:r>
        <w:t xml:space="preserve">Internal audit and assurance teams</w:t>
      </w:r>
    </w:p>
    <w:p>
      <w:pPr>
        <w:pStyle w:val="Compact"/>
        <w:numPr>
          <w:ilvl w:val="0"/>
          <w:numId w:val="1003"/>
        </w:numPr>
      </w:pPr>
      <w:r>
        <w:t xml:space="preserve">PMO / transformation teams</w:t>
      </w:r>
    </w:p>
    <w:bookmarkEnd w:id="26"/>
    <w:bookmarkEnd w:id="27"/>
    <w:bookmarkStart w:id="34" w:name="framework-foundation"/>
    <w:p>
      <w:pPr>
        <w:pStyle w:val="Heading1"/>
      </w:pPr>
      <w:r>
        <w:t xml:space="preserve">3. Framework Foundation</w:t>
      </w:r>
    </w:p>
    <w:bookmarkStart w:id="28" w:name="background"/>
    <w:p>
      <w:pPr>
        <w:pStyle w:val="Heading2"/>
      </w:pPr>
      <w:r>
        <w:t xml:space="preserve">3.1 Background</w:t>
      </w:r>
    </w:p>
    <w:p>
      <w:pPr>
        <w:pStyle w:val="FirstParagraph"/>
      </w:pPr>
      <w:r>
        <w:t xml:space="preserve">The NIST Cybersecurity Framework is designed to help organisations understand, assess, prioritise, and communicate cybersecurity risks. CSF 2.0 is intended for use by any organisation and is structured around six Functions: Govern, Identify, Protect, Detect, Respond, and Recover.</w:t>
      </w:r>
    </w:p>
    <w:bookmarkEnd w:id="28"/>
    <w:bookmarkStart w:id="29" w:name="core-components"/>
    <w:p>
      <w:pPr>
        <w:pStyle w:val="Heading2"/>
      </w:pPr>
      <w:r>
        <w:t xml:space="preserve">3.2 Core Components</w:t>
      </w:r>
    </w:p>
    <w:p>
      <w:pPr>
        <w:pStyle w:val="FirstParagraph"/>
      </w:pPr>
      <w:r>
        <w:t xml:space="preserve">The framework is built around the following components:</w:t>
      </w:r>
    </w:p>
    <w:p>
      <w:pPr>
        <w:pStyle w:val="Compact"/>
        <w:numPr>
          <w:ilvl w:val="0"/>
          <w:numId w:val="1004"/>
        </w:numPr>
      </w:pPr>
      <w:r>
        <w:t xml:space="preserve">Functions</w:t>
      </w:r>
    </w:p>
    <w:p>
      <w:pPr>
        <w:pStyle w:val="Compact"/>
        <w:numPr>
          <w:ilvl w:val="0"/>
          <w:numId w:val="1004"/>
        </w:numPr>
      </w:pPr>
      <w:r>
        <w:t xml:space="preserve">Categories</w:t>
      </w:r>
    </w:p>
    <w:p>
      <w:pPr>
        <w:pStyle w:val="Compact"/>
        <w:numPr>
          <w:ilvl w:val="0"/>
          <w:numId w:val="1004"/>
        </w:numPr>
      </w:pPr>
      <w:r>
        <w:t xml:space="preserve">Subcategories</w:t>
      </w:r>
    </w:p>
    <w:p>
      <w:pPr>
        <w:pStyle w:val="Compact"/>
        <w:numPr>
          <w:ilvl w:val="0"/>
          <w:numId w:val="1004"/>
        </w:numPr>
      </w:pPr>
      <w:r>
        <w:t xml:space="preserve">Organisational Profiles</w:t>
      </w:r>
    </w:p>
    <w:p>
      <w:pPr>
        <w:pStyle w:val="Compact"/>
        <w:numPr>
          <w:ilvl w:val="0"/>
          <w:numId w:val="1004"/>
        </w:numPr>
      </w:pPr>
      <w:r>
        <w:t xml:space="preserve">Implementation Tiers</w:t>
      </w:r>
    </w:p>
    <w:p>
      <w:pPr>
        <w:pStyle w:val="FirstParagraph"/>
      </w:pPr>
      <w:r>
        <w:t xml:space="preserve">Profiles support comparison between current and target cybersecurity outcomes, and Tiers help characterise how rigorously cybersecurity risk governance and management practices are applied.</w:t>
      </w:r>
    </w:p>
    <w:bookmarkEnd w:id="29"/>
    <w:bookmarkStart w:id="31" w:name="functions"/>
    <w:p>
      <w:pPr>
        <w:pStyle w:val="Heading2"/>
      </w:pPr>
      <w:r>
        <w:t xml:space="preserve">3.3 Functions</w:t>
      </w:r>
    </w:p>
    <w:p>
      <w:pPr>
        <w:pStyle w:val="FirstParagraph"/>
      </w:pPr>
      <w:r>
        <w:t xml:space="preserve">Document how the organisation applies the six CSF Functions:</w:t>
      </w:r>
    </w:p>
    <w:p>
      <w:pPr>
        <w:pStyle w:val="Compact"/>
        <w:numPr>
          <w:ilvl w:val="0"/>
          <w:numId w:val="1005"/>
        </w:numPr>
      </w:pPr>
      <w:r>
        <w:t xml:space="preserve">Govern</w:t>
      </w:r>
    </w:p>
    <w:p>
      <w:pPr>
        <w:pStyle w:val="Compact"/>
        <w:numPr>
          <w:ilvl w:val="0"/>
          <w:numId w:val="1005"/>
        </w:numPr>
      </w:pPr>
      <w:r>
        <w:t xml:space="preserve">Identify</w:t>
      </w:r>
    </w:p>
    <w:p>
      <w:pPr>
        <w:pStyle w:val="Compact"/>
        <w:numPr>
          <w:ilvl w:val="0"/>
          <w:numId w:val="1005"/>
        </w:numPr>
      </w:pPr>
      <w:r>
        <w:t xml:space="preserve">Protect</w:t>
      </w:r>
    </w:p>
    <w:p>
      <w:pPr>
        <w:pStyle w:val="Compact"/>
        <w:numPr>
          <w:ilvl w:val="0"/>
          <w:numId w:val="1005"/>
        </w:numPr>
      </w:pPr>
      <w:r>
        <w:t xml:space="preserve">Detect</w:t>
      </w:r>
    </w:p>
    <w:p>
      <w:pPr>
        <w:pStyle w:val="Compact"/>
        <w:numPr>
          <w:ilvl w:val="0"/>
          <w:numId w:val="1005"/>
        </w:numPr>
      </w:pPr>
      <w:r>
        <w:t xml:space="preserve">Respond</w:t>
      </w:r>
    </w:p>
    <w:p>
      <w:pPr>
        <w:pStyle w:val="Compact"/>
        <w:numPr>
          <w:ilvl w:val="0"/>
          <w:numId w:val="1005"/>
        </w:numPr>
      </w:pPr>
      <w:r>
        <w:t xml:space="preserve">Recover</w:t>
      </w:r>
    </w:p>
    <w:bookmarkStart w:id="30" w:name="function-summary"/>
    <w:p>
      <w:pPr>
        <w:pStyle w:val="Heading3"/>
      </w:pPr>
      <w:r>
        <w:t xml:space="preserve">3.3.1 Function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Purpose</w:t>
            </w:r>
          </w:p>
        </w:tc>
      </w:tr>
      <w:tr>
        <w:tc>
          <w:tcPr/>
          <w:p>
            <w:pPr>
              <w:pStyle w:val="Compact"/>
            </w:pPr>
            <w:r>
              <w:t xml:space="preserve">Govern</w:t>
            </w:r>
          </w:p>
        </w:tc>
        <w:tc>
          <w:tcPr/>
          <w:p>
            <w:pPr>
              <w:pStyle w:val="Compact"/>
            </w:pPr>
            <w:r>
              <w:t xml:space="preserve">Establish, communicate, and monitor cybersecurity risk management strategy, expectations, and oversight</w:t>
            </w:r>
          </w:p>
        </w:tc>
      </w:tr>
      <w:tr>
        <w:tc>
          <w:tcPr/>
          <w:p>
            <w:pPr>
              <w:pStyle w:val="Compact"/>
            </w:pPr>
            <w:r>
              <w:t xml:space="preserve">Identify</w:t>
            </w:r>
          </w:p>
        </w:tc>
        <w:tc>
          <w:tcPr/>
          <w:p>
            <w:pPr>
              <w:pStyle w:val="Compact"/>
            </w:pPr>
            <w:r>
              <w:t xml:space="preserve">Understand assets, business context, and cybersecurity risks</w:t>
            </w:r>
          </w:p>
        </w:tc>
      </w:tr>
      <w:tr>
        <w:tc>
          <w:tcPr/>
          <w:p>
            <w:pPr>
              <w:pStyle w:val="Compact"/>
            </w:pPr>
            <w:r>
              <w:t xml:space="preserve">Protect</w:t>
            </w:r>
          </w:p>
        </w:tc>
        <w:tc>
          <w:tcPr/>
          <w:p>
            <w:pPr>
              <w:pStyle w:val="Compact"/>
            </w:pPr>
            <w:r>
              <w:t xml:space="preserve">Safeguard assets and reduce the likelihood or impact of incidents</w:t>
            </w:r>
          </w:p>
        </w:tc>
      </w:tr>
      <w:tr>
        <w:tc>
          <w:tcPr/>
          <w:p>
            <w:pPr>
              <w:pStyle w:val="Compact"/>
            </w:pPr>
            <w:r>
              <w:t xml:space="preserve">Detect</w:t>
            </w:r>
          </w:p>
        </w:tc>
        <w:tc>
          <w:tcPr/>
          <w:p>
            <w:pPr>
              <w:pStyle w:val="Compact"/>
            </w:pPr>
            <w:r>
              <w:t xml:space="preserve">Discover and analyse anomalous events and cybersecurity incidents</w:t>
            </w:r>
          </w:p>
        </w:tc>
      </w:tr>
      <w:tr>
        <w:tc>
          <w:tcPr/>
          <w:p>
            <w:pPr>
              <w:pStyle w:val="Compact"/>
            </w:pPr>
            <w:r>
              <w:t xml:space="preserve">Respond</w:t>
            </w:r>
          </w:p>
        </w:tc>
        <w:tc>
          <w:tcPr/>
          <w:p>
            <w:pPr>
              <w:pStyle w:val="Compact"/>
            </w:pPr>
            <w:r>
              <w:t xml:space="preserve">Contain, manage, and communicate during cybersecurity incidents</w:t>
            </w:r>
          </w:p>
        </w:tc>
      </w:tr>
      <w:tr>
        <w:tc>
          <w:tcPr/>
          <w:p>
            <w:pPr>
              <w:pStyle w:val="Compact"/>
            </w:pPr>
            <w:r>
              <w:t xml:space="preserve">Recover</w:t>
            </w:r>
          </w:p>
        </w:tc>
        <w:tc>
          <w:tcPr/>
          <w:p>
            <w:pPr>
              <w:pStyle w:val="Compact"/>
            </w:pPr>
            <w:r>
              <w:t xml:space="preserve">Restore capabilities and services and improve resilience after incidents</w:t>
            </w:r>
          </w:p>
        </w:tc>
      </w:tr>
    </w:tbl>
    <w:bookmarkEnd w:id="30"/>
    <w:bookmarkEnd w:id="31"/>
    <w:bookmarkStart w:id="33" w:name="profiles-and-tiers"/>
    <w:p>
      <w:pPr>
        <w:pStyle w:val="Heading2"/>
      </w:pPr>
      <w:r>
        <w:t xml:space="preserve">3.4 Profiles and Tiers</w:t>
      </w:r>
    </w:p>
    <w:p>
      <w:pPr>
        <w:pStyle w:val="FirstParagraph"/>
      </w:pPr>
      <w:r>
        <w:t xml:space="preserve">Describe how the organisation will use:</w:t>
      </w:r>
    </w:p>
    <w:p>
      <w:pPr>
        <w:pStyle w:val="Compact"/>
        <w:numPr>
          <w:ilvl w:val="0"/>
          <w:numId w:val="1006"/>
        </w:numPr>
      </w:pPr>
      <w:r>
        <w:t xml:space="preserve">Current Profile</w:t>
      </w:r>
    </w:p>
    <w:p>
      <w:pPr>
        <w:pStyle w:val="Compact"/>
        <w:numPr>
          <w:ilvl w:val="0"/>
          <w:numId w:val="1006"/>
        </w:numPr>
      </w:pPr>
      <w:r>
        <w:t xml:space="preserve">Target Profile</w:t>
      </w:r>
    </w:p>
    <w:p>
      <w:pPr>
        <w:pStyle w:val="Compact"/>
        <w:numPr>
          <w:ilvl w:val="0"/>
          <w:numId w:val="1006"/>
        </w:numPr>
      </w:pPr>
      <w:r>
        <w:t xml:space="preserve">gap analysis</w:t>
      </w:r>
    </w:p>
    <w:p>
      <w:pPr>
        <w:pStyle w:val="Compact"/>
        <w:numPr>
          <w:ilvl w:val="0"/>
          <w:numId w:val="1006"/>
        </w:numPr>
      </w:pPr>
      <w:r>
        <w:t xml:space="preserve">prioritised improvement roadmap</w:t>
      </w:r>
    </w:p>
    <w:p>
      <w:pPr>
        <w:pStyle w:val="Compact"/>
        <w:numPr>
          <w:ilvl w:val="0"/>
          <w:numId w:val="1006"/>
        </w:numPr>
      </w:pPr>
      <w:r>
        <w:t xml:space="preserve">Implementation Tiers</w:t>
      </w:r>
    </w:p>
    <w:bookmarkStart w:id="32" w:name="example-profile-table"/>
    <w:p>
      <w:pPr>
        <w:pStyle w:val="Heading3"/>
      </w:pPr>
      <w:r>
        <w:t xml:space="preserve">3.4.1 Example profile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CSF Area</w:t>
            </w:r>
          </w:p>
        </w:tc>
        <w:tc>
          <w:tcPr/>
          <w:p>
            <w:pPr>
              <w:pStyle w:val="Compact"/>
            </w:pPr>
            <w:r>
              <w:t xml:space="preserve">Current State</w:t>
            </w:r>
          </w:p>
        </w:tc>
        <w:tc>
          <w:tcPr/>
          <w:p>
            <w:pPr>
              <w:pStyle w:val="Compact"/>
            </w:pPr>
            <w:r>
              <w:t xml:space="preserve">Target State</w:t>
            </w:r>
          </w:p>
        </w:tc>
        <w:tc>
          <w:tcPr/>
          <w:p>
            <w:pPr>
              <w:pStyle w:val="Compact"/>
            </w:pPr>
            <w:r>
              <w:t xml:space="preserve">Gap</w:t>
            </w:r>
          </w:p>
        </w:tc>
        <w:tc>
          <w:tcPr/>
          <w:p>
            <w:pPr>
              <w:pStyle w:val="Compact"/>
            </w:pPr>
            <w:r>
              <w:t xml:space="preserve">Priority</w:t>
            </w:r>
          </w:p>
        </w:tc>
        <w:tc>
          <w:tcPr/>
          <w:p>
            <w:pPr>
              <w:pStyle w:val="Compact"/>
            </w:pPr>
            <w:r>
              <w:t xml:space="preserve">Owner</w:t>
            </w:r>
          </w:p>
        </w:tc>
      </w:tr>
      <w:tr>
        <w:tc>
          <w:tcPr/>
          <w:p>
            <w:pPr>
              <w:pStyle w:val="Compact"/>
            </w:pPr>
            <w:r>
              <w:t xml:space="preserve">Governance</w:t>
            </w:r>
          </w:p>
        </w:tc>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High</w:t>
            </w:r>
          </w:p>
        </w:tc>
        <w:tc>
          <w:tcPr/>
          <w:p>
            <w:pPr>
              <w:pStyle w:val="Compact"/>
            </w:pPr>
            <w:r>
              <w:t xml:space="preserve">Example</w:t>
            </w:r>
          </w:p>
        </w:tc>
      </w:tr>
    </w:tbl>
    <w:bookmarkEnd w:id="32"/>
    <w:bookmarkEnd w:id="33"/>
    <w:bookmarkEnd w:id="34"/>
    <w:bookmarkStart w:id="42" w:name="governance-model"/>
    <w:p>
      <w:pPr>
        <w:pStyle w:val="Heading1"/>
      </w:pPr>
      <w:r>
        <w:t xml:space="preserve">4. Governance Model</w:t>
      </w:r>
    </w:p>
    <w:bookmarkStart w:id="35" w:name="governance-objectives"/>
    <w:p>
      <w:pPr>
        <w:pStyle w:val="Heading2"/>
      </w:pPr>
      <w:r>
        <w:t xml:space="preserve">4.1 Governance Objectives</w:t>
      </w:r>
    </w:p>
    <w:p>
      <w:pPr>
        <w:pStyle w:val="FirstParagraph"/>
      </w:pPr>
      <w:r>
        <w:t xml:space="preserve">Define the governance objectives for NIST CSF adoption:</w:t>
      </w:r>
    </w:p>
    <w:p>
      <w:pPr>
        <w:pStyle w:val="Compact"/>
        <w:numPr>
          <w:ilvl w:val="0"/>
          <w:numId w:val="1007"/>
        </w:numPr>
      </w:pPr>
      <w:r>
        <w:t xml:space="preserve">establish executive accountability for cybersecurity risk</w:t>
      </w:r>
    </w:p>
    <w:p>
      <w:pPr>
        <w:pStyle w:val="Compact"/>
        <w:numPr>
          <w:ilvl w:val="0"/>
          <w:numId w:val="1007"/>
        </w:numPr>
      </w:pPr>
      <w:r>
        <w:t xml:space="preserve">align cybersecurity priorities with enterprise strategy and risk appetite</w:t>
      </w:r>
    </w:p>
    <w:p>
      <w:pPr>
        <w:pStyle w:val="Compact"/>
        <w:numPr>
          <w:ilvl w:val="0"/>
          <w:numId w:val="1007"/>
        </w:numPr>
      </w:pPr>
      <w:r>
        <w:t xml:space="preserve">assign ownership for CSF outcomes</w:t>
      </w:r>
    </w:p>
    <w:p>
      <w:pPr>
        <w:pStyle w:val="Compact"/>
        <w:numPr>
          <w:ilvl w:val="0"/>
          <w:numId w:val="1007"/>
        </w:numPr>
      </w:pPr>
      <w:r>
        <w:t xml:space="preserve">embed governance into investment, change, operations, and resilience processes</w:t>
      </w:r>
    </w:p>
    <w:p>
      <w:pPr>
        <w:pStyle w:val="Compact"/>
        <w:numPr>
          <w:ilvl w:val="0"/>
          <w:numId w:val="1007"/>
        </w:numPr>
      </w:pPr>
      <w:r>
        <w:t xml:space="preserve">maintain evidence of implementation and control effectiveness</w:t>
      </w:r>
    </w:p>
    <w:p>
      <w:pPr>
        <w:pStyle w:val="Compact"/>
        <w:numPr>
          <w:ilvl w:val="0"/>
          <w:numId w:val="1007"/>
        </w:numPr>
      </w:pPr>
      <w:r>
        <w:t xml:space="preserve">support continuous improvement through profiles, metrics, and assurance</w:t>
      </w:r>
    </w:p>
    <w:bookmarkEnd w:id="35"/>
    <w:bookmarkStart w:id="37" w:name="governance-structure"/>
    <w:p>
      <w:pPr>
        <w:pStyle w:val="Heading2"/>
      </w:pPr>
      <w:r>
        <w:t xml:space="preserve">4.2 Governance Structure</w:t>
      </w:r>
    </w:p>
    <w:p>
      <w:pPr>
        <w:pStyle w:val="FirstParagraph"/>
      </w:pPr>
      <w:r>
        <w:t xml:space="preserve">Describe the governance bodies and their responsibilities.</w:t>
      </w:r>
    </w:p>
    <w:bookmarkStart w:id="36" w:name="example-governance-bodies"/>
    <w:p>
      <w:pPr>
        <w:pStyle w:val="Heading3"/>
      </w:pPr>
      <w:r>
        <w:t xml:space="preserve">4.2.1 Example governance bodies</w:t>
      </w:r>
    </w:p>
    <w:p>
      <w:pPr>
        <w:pStyle w:val="Compact"/>
        <w:numPr>
          <w:ilvl w:val="0"/>
          <w:numId w:val="1008"/>
        </w:numPr>
      </w:pPr>
      <w:r>
        <w:t xml:space="preserve">Board / Risk Committee</w:t>
      </w:r>
    </w:p>
    <w:p>
      <w:pPr>
        <w:pStyle w:val="Compact"/>
        <w:numPr>
          <w:ilvl w:val="0"/>
          <w:numId w:val="1008"/>
        </w:numPr>
      </w:pPr>
      <w:r>
        <w:t xml:space="preserve">Executive Cybersecurity Steering Committee</w:t>
      </w:r>
    </w:p>
    <w:p>
      <w:pPr>
        <w:pStyle w:val="Compact"/>
        <w:numPr>
          <w:ilvl w:val="0"/>
          <w:numId w:val="1008"/>
        </w:numPr>
      </w:pPr>
      <w:r>
        <w:t xml:space="preserve">Information Security Forum</w:t>
      </w:r>
    </w:p>
    <w:p>
      <w:pPr>
        <w:pStyle w:val="Compact"/>
        <w:numPr>
          <w:ilvl w:val="0"/>
          <w:numId w:val="1008"/>
        </w:numPr>
      </w:pPr>
      <w:r>
        <w:t xml:space="preserve">Enterprise Risk Committee</w:t>
      </w:r>
    </w:p>
    <w:p>
      <w:pPr>
        <w:pStyle w:val="Compact"/>
        <w:numPr>
          <w:ilvl w:val="0"/>
          <w:numId w:val="1008"/>
        </w:numPr>
      </w:pPr>
      <w:r>
        <w:t xml:space="preserve">Architecture Review Board</w:t>
      </w:r>
    </w:p>
    <w:p>
      <w:pPr>
        <w:pStyle w:val="Compact"/>
        <w:numPr>
          <w:ilvl w:val="0"/>
          <w:numId w:val="1008"/>
        </w:numPr>
      </w:pPr>
      <w:r>
        <w:t xml:space="preserve">Operational Resilience Committee</w:t>
      </w:r>
    </w:p>
    <w:p>
      <w:pPr>
        <w:pStyle w:val="Compact"/>
        <w:numPr>
          <w:ilvl w:val="0"/>
          <w:numId w:val="1008"/>
        </w:numPr>
      </w:pPr>
      <w:r>
        <w:t xml:space="preserve">Internal Audit</w:t>
      </w:r>
    </w:p>
    <w:bookmarkEnd w:id="36"/>
    <w:bookmarkEnd w:id="37"/>
    <w:bookmarkStart w:id="41" w:name="three-lines-model"/>
    <w:p>
      <w:pPr>
        <w:pStyle w:val="Heading2"/>
      </w:pPr>
      <w:r>
        <w:t xml:space="preserve">4.3 Three Lines Model</w:t>
      </w:r>
    </w:p>
    <w:p>
      <w:pPr>
        <w:pStyle w:val="FirstParagraph"/>
      </w:pPr>
      <w:r>
        <w:t xml:space="preserve">Describe responsibilities across the three lines.</w:t>
      </w:r>
    </w:p>
    <w:bookmarkStart w:id="38" w:name="first-line"/>
    <w:p>
      <w:pPr>
        <w:pStyle w:val="Heading3"/>
      </w:pPr>
      <w:r>
        <w:t xml:space="preserve">4.3.1 First line</w:t>
      </w:r>
    </w:p>
    <w:p>
      <w:pPr>
        <w:pStyle w:val="Compact"/>
        <w:numPr>
          <w:ilvl w:val="0"/>
          <w:numId w:val="1009"/>
        </w:numPr>
      </w:pPr>
      <w:r>
        <w:t xml:space="preserve">business ownership of services, assets, and operational controls</w:t>
      </w:r>
    </w:p>
    <w:p>
      <w:pPr>
        <w:pStyle w:val="Compact"/>
        <w:numPr>
          <w:ilvl w:val="0"/>
          <w:numId w:val="1009"/>
        </w:numPr>
      </w:pPr>
      <w:r>
        <w:t xml:space="preserve">technology and security operations</w:t>
      </w:r>
    </w:p>
    <w:p>
      <w:pPr>
        <w:pStyle w:val="Compact"/>
        <w:numPr>
          <w:ilvl w:val="0"/>
          <w:numId w:val="1009"/>
        </w:numPr>
      </w:pPr>
      <w:r>
        <w:t xml:space="preserve">process execution and evidence production</w:t>
      </w:r>
    </w:p>
    <w:p>
      <w:pPr>
        <w:pStyle w:val="Compact"/>
        <w:numPr>
          <w:ilvl w:val="0"/>
          <w:numId w:val="1009"/>
        </w:numPr>
      </w:pPr>
      <w:r>
        <w:t xml:space="preserve">incident detection, response, and recovery execution</w:t>
      </w:r>
    </w:p>
    <w:bookmarkEnd w:id="38"/>
    <w:bookmarkStart w:id="39" w:name="second-line"/>
    <w:p>
      <w:pPr>
        <w:pStyle w:val="Heading3"/>
      </w:pPr>
      <w:r>
        <w:t xml:space="preserve">4.3.2 Second line</w:t>
      </w:r>
    </w:p>
    <w:p>
      <w:pPr>
        <w:pStyle w:val="Compact"/>
        <w:numPr>
          <w:ilvl w:val="0"/>
          <w:numId w:val="1010"/>
        </w:numPr>
      </w:pPr>
      <w:r>
        <w:t xml:space="preserve">cybersecurity governance</w:t>
      </w:r>
    </w:p>
    <w:p>
      <w:pPr>
        <w:pStyle w:val="Compact"/>
        <w:numPr>
          <w:ilvl w:val="0"/>
          <w:numId w:val="1010"/>
        </w:numPr>
      </w:pPr>
      <w:r>
        <w:t xml:space="preserve">risk oversight</w:t>
      </w:r>
    </w:p>
    <w:p>
      <w:pPr>
        <w:pStyle w:val="Compact"/>
        <w:numPr>
          <w:ilvl w:val="0"/>
          <w:numId w:val="1010"/>
        </w:numPr>
      </w:pPr>
      <w:r>
        <w:t xml:space="preserve">policy and standard setting</w:t>
      </w:r>
    </w:p>
    <w:p>
      <w:pPr>
        <w:pStyle w:val="Compact"/>
        <w:numPr>
          <w:ilvl w:val="0"/>
          <w:numId w:val="1010"/>
        </w:numPr>
      </w:pPr>
      <w:r>
        <w:t xml:space="preserve">compliance monitoring</w:t>
      </w:r>
    </w:p>
    <w:p>
      <w:pPr>
        <w:pStyle w:val="Compact"/>
        <w:numPr>
          <w:ilvl w:val="0"/>
          <w:numId w:val="1010"/>
        </w:numPr>
      </w:pPr>
      <w:r>
        <w:t xml:space="preserve">challenge and advisory support</w:t>
      </w:r>
    </w:p>
    <w:bookmarkEnd w:id="39"/>
    <w:bookmarkStart w:id="40" w:name="third-line"/>
    <w:p>
      <w:pPr>
        <w:pStyle w:val="Heading3"/>
      </w:pPr>
      <w:r>
        <w:t xml:space="preserve">4.3.3 Third line</w:t>
      </w:r>
    </w:p>
    <w:p>
      <w:pPr>
        <w:pStyle w:val="Compact"/>
        <w:numPr>
          <w:ilvl w:val="0"/>
          <w:numId w:val="1011"/>
        </w:numPr>
      </w:pPr>
      <w:r>
        <w:t xml:space="preserve">internal audit</w:t>
      </w:r>
    </w:p>
    <w:p>
      <w:pPr>
        <w:pStyle w:val="Compact"/>
        <w:numPr>
          <w:ilvl w:val="0"/>
          <w:numId w:val="1011"/>
        </w:numPr>
      </w:pPr>
      <w:r>
        <w:t xml:space="preserve">independent assurance</w:t>
      </w:r>
    </w:p>
    <w:p>
      <w:pPr>
        <w:pStyle w:val="Compact"/>
        <w:numPr>
          <w:ilvl w:val="0"/>
          <w:numId w:val="1011"/>
        </w:numPr>
      </w:pPr>
      <w:r>
        <w:t xml:space="preserve">control effectiveness review</w:t>
      </w:r>
    </w:p>
    <w:bookmarkEnd w:id="40"/>
    <w:bookmarkEnd w:id="41"/>
    <w:bookmarkEnd w:id="42"/>
    <w:bookmarkStart w:id="45" w:name="roles-and-responsibilities"/>
    <w:p>
      <w:pPr>
        <w:pStyle w:val="Heading1"/>
      </w:pPr>
      <w:r>
        <w:t xml:space="preserve">5. Roles and Responsibilities</w:t>
      </w:r>
    </w:p>
    <w:bookmarkStart w:id="43" w:name="key-roles"/>
    <w:p>
      <w:pPr>
        <w:pStyle w:val="Heading2"/>
      </w:pPr>
      <w:r>
        <w:t xml:space="preserve">5.1 Key Roles</w:t>
      </w:r>
    </w:p>
    <w:p>
      <w:pPr>
        <w:pStyle w:val="FirstParagraph"/>
      </w:pPr>
      <w:r>
        <w:t xml:space="preserve">Document the main NIST CSF-related roles.</w:t>
      </w:r>
    </w:p>
    <w:p>
      <w:pPr>
        <w:pStyle w:val="Compact"/>
        <w:numPr>
          <w:ilvl w:val="0"/>
          <w:numId w:val="1012"/>
        </w:numPr>
      </w:pPr>
      <w:r>
        <w:t xml:space="preserve">Board</w:t>
      </w:r>
    </w:p>
    <w:p>
      <w:pPr>
        <w:pStyle w:val="Compact"/>
        <w:numPr>
          <w:ilvl w:val="0"/>
          <w:numId w:val="1012"/>
        </w:numPr>
      </w:pPr>
      <w:r>
        <w:t xml:space="preserve">CEO / Executive Management</w:t>
      </w:r>
    </w:p>
    <w:p>
      <w:pPr>
        <w:pStyle w:val="Compact"/>
        <w:numPr>
          <w:ilvl w:val="0"/>
          <w:numId w:val="1012"/>
        </w:numPr>
      </w:pPr>
      <w:r>
        <w:t xml:space="preserve">Chief Information Security Officer</w:t>
      </w:r>
    </w:p>
    <w:p>
      <w:pPr>
        <w:pStyle w:val="Compact"/>
        <w:numPr>
          <w:ilvl w:val="0"/>
          <w:numId w:val="1012"/>
        </w:numPr>
      </w:pPr>
      <w:r>
        <w:t xml:space="preserve">Chief Information Officer</w:t>
      </w:r>
    </w:p>
    <w:p>
      <w:pPr>
        <w:pStyle w:val="Compact"/>
        <w:numPr>
          <w:ilvl w:val="0"/>
          <w:numId w:val="1012"/>
        </w:numPr>
      </w:pPr>
      <w:r>
        <w:t xml:space="preserve">Chief Risk Officer</w:t>
      </w:r>
    </w:p>
    <w:p>
      <w:pPr>
        <w:pStyle w:val="Compact"/>
        <w:numPr>
          <w:ilvl w:val="0"/>
          <w:numId w:val="1012"/>
        </w:numPr>
      </w:pPr>
      <w:r>
        <w:t xml:space="preserve">Business Service Owner</w:t>
      </w:r>
    </w:p>
    <w:p>
      <w:pPr>
        <w:pStyle w:val="Compact"/>
        <w:numPr>
          <w:ilvl w:val="0"/>
          <w:numId w:val="1012"/>
        </w:numPr>
      </w:pPr>
      <w:r>
        <w:t xml:space="preserve">Information Asset Owner</w:t>
      </w:r>
    </w:p>
    <w:p>
      <w:pPr>
        <w:pStyle w:val="Compact"/>
        <w:numPr>
          <w:ilvl w:val="0"/>
          <w:numId w:val="1012"/>
        </w:numPr>
      </w:pPr>
      <w:r>
        <w:t xml:space="preserve">Security Architect</w:t>
      </w:r>
    </w:p>
    <w:p>
      <w:pPr>
        <w:pStyle w:val="Compact"/>
        <w:numPr>
          <w:ilvl w:val="0"/>
          <w:numId w:val="1012"/>
        </w:numPr>
      </w:pPr>
      <w:r>
        <w:t xml:space="preserve">Security Operations Lead</w:t>
      </w:r>
    </w:p>
    <w:p>
      <w:pPr>
        <w:pStyle w:val="Compact"/>
        <w:numPr>
          <w:ilvl w:val="0"/>
          <w:numId w:val="1012"/>
        </w:numPr>
      </w:pPr>
      <w:r>
        <w:t xml:space="preserve">Incident Response Lead</w:t>
      </w:r>
    </w:p>
    <w:p>
      <w:pPr>
        <w:pStyle w:val="Compact"/>
        <w:numPr>
          <w:ilvl w:val="0"/>
          <w:numId w:val="1012"/>
        </w:numPr>
      </w:pPr>
      <w:r>
        <w:t xml:space="preserve">Infrastructure / Platform Owner</w:t>
      </w:r>
    </w:p>
    <w:p>
      <w:pPr>
        <w:pStyle w:val="Compact"/>
        <w:numPr>
          <w:ilvl w:val="0"/>
          <w:numId w:val="1012"/>
        </w:numPr>
      </w:pPr>
      <w:r>
        <w:t xml:space="preserve">Third-Party Risk Manager</w:t>
      </w:r>
    </w:p>
    <w:p>
      <w:pPr>
        <w:pStyle w:val="Compact"/>
        <w:numPr>
          <w:ilvl w:val="0"/>
          <w:numId w:val="1012"/>
        </w:numPr>
      </w:pPr>
      <w:r>
        <w:t xml:space="preserve">Business Continuity Lead</w:t>
      </w:r>
    </w:p>
    <w:p>
      <w:pPr>
        <w:pStyle w:val="Compact"/>
        <w:numPr>
          <w:ilvl w:val="0"/>
          <w:numId w:val="1012"/>
        </w:numPr>
      </w:pPr>
      <w:r>
        <w:t xml:space="preserve">Internal Audit</w:t>
      </w:r>
    </w:p>
    <w:bookmarkEnd w:id="43"/>
    <w:bookmarkStart w:id="44" w:name="raci-matrix"/>
    <w:p>
      <w:pPr>
        <w:pStyle w:val="Heading2"/>
      </w:pPr>
      <w:r>
        <w:t xml:space="preserve">5.2 RACI Matrix</w:t>
      </w:r>
    </w:p>
    <w:p>
      <w:pPr>
        <w:pStyle w:val="FirstParagraph"/>
      </w:pPr>
      <w:r>
        <w:t xml:space="preserve">Use the following model and adapt it.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Activity</w:t>
            </w:r>
          </w:p>
        </w:tc>
        <w:tc>
          <w:tcPr/>
          <w:p>
            <w:pPr>
              <w:pStyle w:val="Compact"/>
            </w:pPr>
            <w:r>
              <w:t xml:space="preserve">Board</w:t>
            </w:r>
          </w:p>
        </w:tc>
        <w:tc>
          <w:tcPr/>
          <w:p>
            <w:pPr>
              <w:pStyle w:val="Compact"/>
            </w:pPr>
            <w:r>
              <w:t xml:space="preserve">Exec</w:t>
            </w:r>
          </w:p>
        </w:tc>
        <w:tc>
          <w:tcPr/>
          <w:p>
            <w:pPr>
              <w:pStyle w:val="Compact"/>
            </w:pPr>
            <w:r>
              <w:t xml:space="preserve">CISO</w:t>
            </w:r>
          </w:p>
        </w:tc>
        <w:tc>
          <w:tcPr/>
          <w:p>
            <w:pPr>
              <w:pStyle w:val="Compact"/>
            </w:pPr>
            <w:r>
              <w:t xml:space="preserve">CIO</w:t>
            </w:r>
          </w:p>
        </w:tc>
        <w:tc>
          <w:tcPr/>
          <w:p>
            <w:pPr>
              <w:pStyle w:val="Compact"/>
            </w:pPr>
            <w:r>
              <w:t xml:space="preserve">Risk</w:t>
            </w:r>
          </w:p>
        </w:tc>
        <w:tc>
          <w:tcPr/>
          <w:p>
            <w:pPr>
              <w:pStyle w:val="Compact"/>
            </w:pPr>
            <w:r>
              <w:t xml:space="preserve">Business Owner</w:t>
            </w:r>
          </w:p>
        </w:tc>
        <w:tc>
          <w:tcPr/>
          <w:p>
            <w:pPr>
              <w:pStyle w:val="Compact"/>
            </w:pPr>
            <w:r>
              <w:t xml:space="preserve">Security Ops</w:t>
            </w:r>
          </w:p>
        </w:tc>
        <w:tc>
          <w:tcPr/>
          <w:p>
            <w:pPr>
              <w:pStyle w:val="Compact"/>
            </w:pPr>
            <w:r>
              <w:t xml:space="preserve">Architecture</w:t>
            </w:r>
          </w:p>
        </w:tc>
        <w:tc>
          <w:tcPr/>
          <w:p>
            <w:pPr>
              <w:pStyle w:val="Compact"/>
            </w:pPr>
            <w:r>
              <w:t xml:space="preserve">Audit</w:t>
            </w:r>
          </w:p>
        </w:tc>
      </w:tr>
      <w:tr>
        <w:tc>
          <w:tcPr/>
          <w:p>
            <w:pPr>
              <w:pStyle w:val="Compact"/>
            </w:pPr>
            <w:r>
              <w:t xml:space="preserve">Approve cybersecurity strategy</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Maintain current and target profiles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Define cyber risk appetite</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Approve security policies and standards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Operate detection and monitoring</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Manage cyber incidents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Test resilience and recovery</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Perform independent assurance</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R/A</w:t>
            </w:r>
          </w:p>
        </w:tc>
      </w:tr>
    </w:tbl>
    <w:bookmarkEnd w:id="44"/>
    <w:bookmarkEnd w:id="45"/>
    <w:bookmarkStart w:id="48" w:name="policy-framework"/>
    <w:p>
      <w:pPr>
        <w:pStyle w:val="Heading1"/>
      </w:pPr>
      <w:r>
        <w:t xml:space="preserve">6. Policy Framework</w:t>
      </w:r>
    </w:p>
    <w:bookmarkStart w:id="46" w:name="core-policies"/>
    <w:p>
      <w:pPr>
        <w:pStyle w:val="Heading2"/>
      </w:pPr>
      <w:r>
        <w:t xml:space="preserve">6.1 Core Policies</w:t>
      </w:r>
    </w:p>
    <w:p>
      <w:pPr>
        <w:pStyle w:val="FirstParagraph"/>
      </w:pPr>
      <w:r>
        <w:t xml:space="preserve">List and describe the main cybersecurity-related policies.</w:t>
      </w:r>
    </w:p>
    <w:p>
      <w:pPr>
        <w:pStyle w:val="Compact"/>
        <w:numPr>
          <w:ilvl w:val="0"/>
          <w:numId w:val="1013"/>
        </w:numPr>
      </w:pPr>
      <w:r>
        <w:t xml:space="preserve">Cybersecurity Policy</w:t>
      </w:r>
    </w:p>
    <w:p>
      <w:pPr>
        <w:pStyle w:val="Compact"/>
        <w:numPr>
          <w:ilvl w:val="0"/>
          <w:numId w:val="1013"/>
        </w:numPr>
      </w:pPr>
      <w:r>
        <w:t xml:space="preserve">Information Security Policy</w:t>
      </w:r>
    </w:p>
    <w:p>
      <w:pPr>
        <w:pStyle w:val="Compact"/>
        <w:numPr>
          <w:ilvl w:val="0"/>
          <w:numId w:val="1013"/>
        </w:numPr>
      </w:pPr>
      <w:r>
        <w:t xml:space="preserve">Risk Management Policy</w:t>
      </w:r>
    </w:p>
    <w:p>
      <w:pPr>
        <w:pStyle w:val="Compact"/>
        <w:numPr>
          <w:ilvl w:val="0"/>
          <w:numId w:val="1013"/>
        </w:numPr>
      </w:pPr>
      <w:r>
        <w:t xml:space="preserve">Asset Management Standard</w:t>
      </w:r>
    </w:p>
    <w:p>
      <w:pPr>
        <w:pStyle w:val="Compact"/>
        <w:numPr>
          <w:ilvl w:val="0"/>
          <w:numId w:val="1013"/>
        </w:numPr>
      </w:pPr>
      <w:r>
        <w:t xml:space="preserve">Identity and Access Management Policy</w:t>
      </w:r>
    </w:p>
    <w:p>
      <w:pPr>
        <w:pStyle w:val="Compact"/>
        <w:numPr>
          <w:ilvl w:val="0"/>
          <w:numId w:val="1013"/>
        </w:numPr>
      </w:pPr>
      <w:r>
        <w:t xml:space="preserve">Vulnerability Management Standard</w:t>
      </w:r>
    </w:p>
    <w:p>
      <w:pPr>
        <w:pStyle w:val="Compact"/>
        <w:numPr>
          <w:ilvl w:val="0"/>
          <w:numId w:val="1013"/>
        </w:numPr>
      </w:pPr>
      <w:r>
        <w:t xml:space="preserve">Logging and Monitoring Standard</w:t>
      </w:r>
    </w:p>
    <w:p>
      <w:pPr>
        <w:pStyle w:val="Compact"/>
        <w:numPr>
          <w:ilvl w:val="0"/>
          <w:numId w:val="1013"/>
        </w:numPr>
      </w:pPr>
      <w:r>
        <w:t xml:space="preserve">Incident Response Policy</w:t>
      </w:r>
    </w:p>
    <w:p>
      <w:pPr>
        <w:pStyle w:val="Compact"/>
        <w:numPr>
          <w:ilvl w:val="0"/>
          <w:numId w:val="1013"/>
        </w:numPr>
      </w:pPr>
      <w:r>
        <w:t xml:space="preserve">Business Continuity / Disaster Recovery Policy</w:t>
      </w:r>
    </w:p>
    <w:p>
      <w:pPr>
        <w:pStyle w:val="Compact"/>
        <w:numPr>
          <w:ilvl w:val="0"/>
          <w:numId w:val="1013"/>
        </w:numPr>
      </w:pPr>
      <w:r>
        <w:t xml:space="preserve">Third-Party Security Policy</w:t>
      </w:r>
    </w:p>
    <w:p>
      <w:pPr>
        <w:pStyle w:val="Compact"/>
        <w:numPr>
          <w:ilvl w:val="0"/>
          <w:numId w:val="1013"/>
        </w:numPr>
      </w:pPr>
      <w:r>
        <w:t xml:space="preserve">Secure Development Policy</w:t>
      </w:r>
    </w:p>
    <w:p>
      <w:pPr>
        <w:pStyle w:val="Compact"/>
        <w:numPr>
          <w:ilvl w:val="0"/>
          <w:numId w:val="1013"/>
        </w:numPr>
      </w:pPr>
      <w:r>
        <w:t xml:space="preserve">Data Protection and Classification Policy</w:t>
      </w:r>
    </w:p>
    <w:bookmarkEnd w:id="46"/>
    <w:bookmarkStart w:id="47" w:name="standards-and-procedures"/>
    <w:p>
      <w:pPr>
        <w:pStyle w:val="Heading2"/>
      </w:pPr>
      <w:r>
        <w:t xml:space="preserve">6.2 Standards and Procedures</w:t>
      </w:r>
    </w:p>
    <w:p>
      <w:pPr>
        <w:pStyle w:val="FirstParagraph"/>
      </w:pPr>
      <w:r>
        <w:t xml:space="preserve">Document the standards, baselines, procedures, and playbooks supporting implementation.</w:t>
      </w:r>
    </w:p>
    <w:bookmarkEnd w:id="47"/>
    <w:bookmarkEnd w:id="48"/>
    <w:bookmarkStart w:id="56" w:name="core-processes"/>
    <w:p>
      <w:pPr>
        <w:pStyle w:val="Heading1"/>
      </w:pPr>
      <w:r>
        <w:t xml:space="preserve">7. Core Processes</w:t>
      </w:r>
    </w:p>
    <w:bookmarkStart w:id="49" w:name="govern"/>
    <w:p>
      <w:pPr>
        <w:pStyle w:val="Heading2"/>
      </w:pPr>
      <w:r>
        <w:t xml:space="preserve">7.1 Govern</w:t>
      </w:r>
    </w:p>
    <w:p>
      <w:pPr>
        <w:pStyle w:val="FirstParagraph"/>
      </w:pPr>
      <w:r>
        <w:t xml:space="preserve">Describe how the organisation establishes cybersecurity strategy, policy, oversight, risk tolerance, roles, supply chain governance, and performance monitoring. CSF 2.0 introduced</w:t>
      </w:r>
      <w:r>
        <w:t xml:space="preserve"> </w:t>
      </w:r>
      <w:r>
        <w:rPr>
          <w:b/>
          <w:bCs/>
        </w:rPr>
        <w:t xml:space="preserve">Govern</w:t>
      </w:r>
      <w:r>
        <w:t xml:space="preserve"> </w:t>
      </w:r>
      <w:r>
        <w:t xml:space="preserve">as a distinct Function to strengthen governance and enterprise alignment. :contentReference</w:t>
      </w:r>
      <w:r>
        <w:t xml:space="preserve">oaicite:3</w:t>
      </w:r>
    </w:p>
    <w:bookmarkEnd w:id="49"/>
    <w:bookmarkStart w:id="50" w:name="identify"/>
    <w:p>
      <w:pPr>
        <w:pStyle w:val="Heading2"/>
      </w:pPr>
      <w:r>
        <w:t xml:space="preserve">7.2 Identify</w:t>
      </w:r>
    </w:p>
    <w:p>
      <w:pPr>
        <w:pStyle w:val="FirstParagraph"/>
      </w:pPr>
      <w:r>
        <w:t xml:space="preserve">Describe the processes for:</w:t>
      </w:r>
    </w:p>
    <w:p>
      <w:pPr>
        <w:pStyle w:val="Compact"/>
        <w:numPr>
          <w:ilvl w:val="0"/>
          <w:numId w:val="1014"/>
        </w:numPr>
      </w:pPr>
      <w:r>
        <w:t xml:space="preserve">asset inventory</w:t>
      </w:r>
    </w:p>
    <w:p>
      <w:pPr>
        <w:pStyle w:val="Compact"/>
        <w:numPr>
          <w:ilvl w:val="0"/>
          <w:numId w:val="1014"/>
        </w:numPr>
      </w:pPr>
      <w:r>
        <w:t xml:space="preserve">business context analysis</w:t>
      </w:r>
    </w:p>
    <w:p>
      <w:pPr>
        <w:pStyle w:val="Compact"/>
        <w:numPr>
          <w:ilvl w:val="0"/>
          <w:numId w:val="1014"/>
        </w:numPr>
      </w:pPr>
      <w:r>
        <w:t xml:space="preserve">dependency mapping</w:t>
      </w:r>
    </w:p>
    <w:p>
      <w:pPr>
        <w:pStyle w:val="Compact"/>
        <w:numPr>
          <w:ilvl w:val="0"/>
          <w:numId w:val="1014"/>
        </w:numPr>
      </w:pPr>
      <w:r>
        <w:t xml:space="preserve">critical service identification</w:t>
      </w:r>
    </w:p>
    <w:p>
      <w:pPr>
        <w:pStyle w:val="Compact"/>
        <w:numPr>
          <w:ilvl w:val="0"/>
          <w:numId w:val="1014"/>
        </w:numPr>
      </w:pPr>
      <w:r>
        <w:t xml:space="preserve">risk assessment</w:t>
      </w:r>
    </w:p>
    <w:p>
      <w:pPr>
        <w:pStyle w:val="Compact"/>
        <w:numPr>
          <w:ilvl w:val="0"/>
          <w:numId w:val="1014"/>
        </w:numPr>
      </w:pPr>
      <w:r>
        <w:t xml:space="preserve">threat and vulnerability understanding</w:t>
      </w:r>
    </w:p>
    <w:bookmarkEnd w:id="50"/>
    <w:bookmarkStart w:id="51" w:name="protect"/>
    <w:p>
      <w:pPr>
        <w:pStyle w:val="Heading2"/>
      </w:pPr>
      <w:r>
        <w:t xml:space="preserve">7.3 Protect</w:t>
      </w:r>
    </w:p>
    <w:p>
      <w:pPr>
        <w:pStyle w:val="FirstParagraph"/>
      </w:pPr>
      <w:r>
        <w:t xml:space="preserve">Describe the processes for:</w:t>
      </w:r>
    </w:p>
    <w:p>
      <w:pPr>
        <w:pStyle w:val="Compact"/>
        <w:numPr>
          <w:ilvl w:val="0"/>
          <w:numId w:val="1015"/>
        </w:numPr>
      </w:pPr>
      <w:r>
        <w:t xml:space="preserve">access control</w:t>
      </w:r>
    </w:p>
    <w:p>
      <w:pPr>
        <w:pStyle w:val="Compact"/>
        <w:numPr>
          <w:ilvl w:val="0"/>
          <w:numId w:val="1015"/>
        </w:numPr>
      </w:pPr>
      <w:r>
        <w:t xml:space="preserve">awareness and training</w:t>
      </w:r>
    </w:p>
    <w:p>
      <w:pPr>
        <w:pStyle w:val="Compact"/>
        <w:numPr>
          <w:ilvl w:val="0"/>
          <w:numId w:val="1015"/>
        </w:numPr>
      </w:pPr>
      <w:r>
        <w:t xml:space="preserve">data protection</w:t>
      </w:r>
    </w:p>
    <w:p>
      <w:pPr>
        <w:pStyle w:val="Compact"/>
        <w:numPr>
          <w:ilvl w:val="0"/>
          <w:numId w:val="1015"/>
        </w:numPr>
      </w:pPr>
      <w:r>
        <w:t xml:space="preserve">platform and infrastructure hardening</w:t>
      </w:r>
    </w:p>
    <w:p>
      <w:pPr>
        <w:pStyle w:val="Compact"/>
        <w:numPr>
          <w:ilvl w:val="0"/>
          <w:numId w:val="1015"/>
        </w:numPr>
      </w:pPr>
      <w:r>
        <w:t xml:space="preserve">secure configuration</w:t>
      </w:r>
    </w:p>
    <w:p>
      <w:pPr>
        <w:pStyle w:val="Compact"/>
        <w:numPr>
          <w:ilvl w:val="0"/>
          <w:numId w:val="1015"/>
        </w:numPr>
      </w:pPr>
      <w:r>
        <w:t xml:space="preserve">maintenance</w:t>
      </w:r>
    </w:p>
    <w:p>
      <w:pPr>
        <w:pStyle w:val="Compact"/>
        <w:numPr>
          <w:ilvl w:val="0"/>
          <w:numId w:val="1015"/>
        </w:numPr>
      </w:pPr>
      <w:r>
        <w:t xml:space="preserve">protective technology</w:t>
      </w:r>
    </w:p>
    <w:p>
      <w:pPr>
        <w:pStyle w:val="Compact"/>
        <w:numPr>
          <w:ilvl w:val="0"/>
          <w:numId w:val="1015"/>
        </w:numPr>
      </w:pPr>
      <w:r>
        <w:t xml:space="preserve">secure development and change management</w:t>
      </w:r>
    </w:p>
    <w:bookmarkEnd w:id="51"/>
    <w:bookmarkStart w:id="52" w:name="detect"/>
    <w:p>
      <w:pPr>
        <w:pStyle w:val="Heading2"/>
      </w:pPr>
      <w:r>
        <w:t xml:space="preserve">7.4 Detect</w:t>
      </w:r>
    </w:p>
    <w:p>
      <w:pPr>
        <w:pStyle w:val="FirstParagraph"/>
      </w:pPr>
      <w:r>
        <w:t xml:space="preserve">Describe the processes for:</w:t>
      </w:r>
    </w:p>
    <w:p>
      <w:pPr>
        <w:pStyle w:val="Compact"/>
        <w:numPr>
          <w:ilvl w:val="0"/>
          <w:numId w:val="1016"/>
        </w:numPr>
      </w:pPr>
      <w:r>
        <w:t xml:space="preserve">continuous monitoring</w:t>
      </w:r>
    </w:p>
    <w:p>
      <w:pPr>
        <w:pStyle w:val="Compact"/>
        <w:numPr>
          <w:ilvl w:val="0"/>
          <w:numId w:val="1016"/>
        </w:numPr>
      </w:pPr>
      <w:r>
        <w:t xml:space="preserve">telemetry and log collection</w:t>
      </w:r>
    </w:p>
    <w:p>
      <w:pPr>
        <w:pStyle w:val="Compact"/>
        <w:numPr>
          <w:ilvl w:val="0"/>
          <w:numId w:val="1016"/>
        </w:numPr>
      </w:pPr>
      <w:r>
        <w:t xml:space="preserve">alerting</w:t>
      </w:r>
    </w:p>
    <w:p>
      <w:pPr>
        <w:pStyle w:val="Compact"/>
        <w:numPr>
          <w:ilvl w:val="0"/>
          <w:numId w:val="1016"/>
        </w:numPr>
      </w:pPr>
      <w:r>
        <w:t xml:space="preserve">anomaly detection</w:t>
      </w:r>
    </w:p>
    <w:p>
      <w:pPr>
        <w:pStyle w:val="Compact"/>
        <w:numPr>
          <w:ilvl w:val="0"/>
          <w:numId w:val="1016"/>
        </w:numPr>
      </w:pPr>
      <w:r>
        <w:t xml:space="preserve">detection engineering</w:t>
      </w:r>
    </w:p>
    <w:p>
      <w:pPr>
        <w:pStyle w:val="Compact"/>
        <w:numPr>
          <w:ilvl w:val="0"/>
          <w:numId w:val="1016"/>
        </w:numPr>
      </w:pPr>
      <w:r>
        <w:t xml:space="preserve">threat intelligence integration</w:t>
      </w:r>
    </w:p>
    <w:p>
      <w:pPr>
        <w:pStyle w:val="Compact"/>
        <w:numPr>
          <w:ilvl w:val="0"/>
          <w:numId w:val="1016"/>
        </w:numPr>
      </w:pPr>
      <w:r>
        <w:t xml:space="preserve">triage and escalation</w:t>
      </w:r>
    </w:p>
    <w:bookmarkEnd w:id="52"/>
    <w:bookmarkStart w:id="53" w:name="respond"/>
    <w:p>
      <w:pPr>
        <w:pStyle w:val="Heading2"/>
      </w:pPr>
      <w:r>
        <w:t xml:space="preserve">7.5 Respond</w:t>
      </w:r>
    </w:p>
    <w:p>
      <w:pPr>
        <w:pStyle w:val="FirstParagraph"/>
      </w:pPr>
      <w:r>
        <w:t xml:space="preserve">Describe the processes for:</w:t>
      </w:r>
    </w:p>
    <w:p>
      <w:pPr>
        <w:pStyle w:val="Compact"/>
        <w:numPr>
          <w:ilvl w:val="0"/>
          <w:numId w:val="1017"/>
        </w:numPr>
      </w:pPr>
      <w:r>
        <w:t xml:space="preserve">incident triage</w:t>
      </w:r>
    </w:p>
    <w:p>
      <w:pPr>
        <w:pStyle w:val="Compact"/>
        <w:numPr>
          <w:ilvl w:val="0"/>
          <w:numId w:val="1017"/>
        </w:numPr>
      </w:pPr>
      <w:r>
        <w:t xml:space="preserve">containment</w:t>
      </w:r>
    </w:p>
    <w:p>
      <w:pPr>
        <w:pStyle w:val="Compact"/>
        <w:numPr>
          <w:ilvl w:val="0"/>
          <w:numId w:val="1017"/>
        </w:numPr>
      </w:pPr>
      <w:r>
        <w:t xml:space="preserve">eradication</w:t>
      </w:r>
    </w:p>
    <w:p>
      <w:pPr>
        <w:pStyle w:val="Compact"/>
        <w:numPr>
          <w:ilvl w:val="0"/>
          <w:numId w:val="1017"/>
        </w:numPr>
      </w:pPr>
      <w:r>
        <w:t xml:space="preserve">internal and external communications</w:t>
      </w:r>
    </w:p>
    <w:p>
      <w:pPr>
        <w:pStyle w:val="Compact"/>
        <w:numPr>
          <w:ilvl w:val="0"/>
          <w:numId w:val="1017"/>
        </w:numPr>
      </w:pPr>
      <w:r>
        <w:t xml:space="preserve">stakeholder coordination</w:t>
      </w:r>
    </w:p>
    <w:p>
      <w:pPr>
        <w:pStyle w:val="Compact"/>
        <w:numPr>
          <w:ilvl w:val="0"/>
          <w:numId w:val="1017"/>
        </w:numPr>
      </w:pPr>
      <w:r>
        <w:t xml:space="preserve">regulatory notification where required</w:t>
      </w:r>
    </w:p>
    <w:p>
      <w:pPr>
        <w:pStyle w:val="Compact"/>
        <w:numPr>
          <w:ilvl w:val="0"/>
          <w:numId w:val="1017"/>
        </w:numPr>
      </w:pPr>
      <w:r>
        <w:t xml:space="preserve">lessons learned</w:t>
      </w:r>
    </w:p>
    <w:p>
      <w:pPr>
        <w:pStyle w:val="FirstParagraph"/>
      </w:pPr>
      <w:r>
        <w:t xml:space="preserve">NIST’s incident response guidance aligns incident response activities with the CSF 2.0 functions and lifecycle. :contentReference</w:t>
      </w:r>
      <w:r>
        <w:t xml:space="preserve">oaicite:4</w:t>
      </w:r>
    </w:p>
    <w:bookmarkEnd w:id="53"/>
    <w:bookmarkStart w:id="54" w:name="recover"/>
    <w:p>
      <w:pPr>
        <w:pStyle w:val="Heading2"/>
      </w:pPr>
      <w:r>
        <w:t xml:space="preserve">7.6 Recover</w:t>
      </w:r>
    </w:p>
    <w:p>
      <w:pPr>
        <w:pStyle w:val="FirstParagraph"/>
      </w:pPr>
      <w:r>
        <w:t xml:space="preserve">Describe the processes for:</w:t>
      </w:r>
    </w:p>
    <w:p>
      <w:pPr>
        <w:pStyle w:val="Compact"/>
        <w:numPr>
          <w:ilvl w:val="0"/>
          <w:numId w:val="1018"/>
        </w:numPr>
      </w:pPr>
      <w:r>
        <w:t xml:space="preserve">restoration of services</w:t>
      </w:r>
    </w:p>
    <w:p>
      <w:pPr>
        <w:pStyle w:val="Compact"/>
        <w:numPr>
          <w:ilvl w:val="0"/>
          <w:numId w:val="1018"/>
        </w:numPr>
      </w:pPr>
      <w:r>
        <w:t xml:space="preserve">recovery prioritisation</w:t>
      </w:r>
    </w:p>
    <w:p>
      <w:pPr>
        <w:pStyle w:val="Compact"/>
        <w:numPr>
          <w:ilvl w:val="0"/>
          <w:numId w:val="1018"/>
        </w:numPr>
      </w:pPr>
      <w:r>
        <w:t xml:space="preserve">validation and assurance</w:t>
      </w:r>
    </w:p>
    <w:p>
      <w:pPr>
        <w:pStyle w:val="Compact"/>
        <w:numPr>
          <w:ilvl w:val="0"/>
          <w:numId w:val="1018"/>
        </w:numPr>
      </w:pPr>
      <w:r>
        <w:t xml:space="preserve">resilience testing</w:t>
      </w:r>
    </w:p>
    <w:p>
      <w:pPr>
        <w:pStyle w:val="Compact"/>
        <w:numPr>
          <w:ilvl w:val="0"/>
          <w:numId w:val="1018"/>
        </w:numPr>
      </w:pPr>
      <w:r>
        <w:t xml:space="preserve">crisis communications</w:t>
      </w:r>
    </w:p>
    <w:p>
      <w:pPr>
        <w:pStyle w:val="Compact"/>
        <w:numPr>
          <w:ilvl w:val="0"/>
          <w:numId w:val="1018"/>
        </w:numPr>
      </w:pPr>
      <w:r>
        <w:t xml:space="preserve">recovery lessons learned</w:t>
      </w:r>
    </w:p>
    <w:p>
      <w:pPr>
        <w:pStyle w:val="Compact"/>
        <w:numPr>
          <w:ilvl w:val="0"/>
          <w:numId w:val="1018"/>
        </w:numPr>
      </w:pPr>
      <w:r>
        <w:t xml:space="preserve">improvement planning</w:t>
      </w:r>
    </w:p>
    <w:bookmarkEnd w:id="54"/>
    <w:bookmarkStart w:id="55" w:name="profile-management"/>
    <w:p>
      <w:pPr>
        <w:pStyle w:val="Heading2"/>
      </w:pPr>
      <w:r>
        <w:t xml:space="preserve">7.7 Profile Management</w:t>
      </w:r>
    </w:p>
    <w:p>
      <w:pPr>
        <w:pStyle w:val="FirstParagraph"/>
      </w:pPr>
      <w:r>
        <w:t xml:space="preserve">Document how the organisation creates and maintains:</w:t>
      </w:r>
    </w:p>
    <w:p>
      <w:pPr>
        <w:pStyle w:val="Compact"/>
        <w:numPr>
          <w:ilvl w:val="0"/>
          <w:numId w:val="1019"/>
        </w:numPr>
      </w:pPr>
      <w:r>
        <w:t xml:space="preserve">Current Profile</w:t>
      </w:r>
    </w:p>
    <w:p>
      <w:pPr>
        <w:pStyle w:val="Compact"/>
        <w:numPr>
          <w:ilvl w:val="0"/>
          <w:numId w:val="1019"/>
        </w:numPr>
      </w:pPr>
      <w:r>
        <w:t xml:space="preserve">Target Profile</w:t>
      </w:r>
    </w:p>
    <w:p>
      <w:pPr>
        <w:pStyle w:val="Compact"/>
        <w:numPr>
          <w:ilvl w:val="0"/>
          <w:numId w:val="1019"/>
        </w:numPr>
      </w:pPr>
      <w:r>
        <w:t xml:space="preserve">gap analysis</w:t>
      </w:r>
    </w:p>
    <w:p>
      <w:pPr>
        <w:pStyle w:val="Compact"/>
        <w:numPr>
          <w:ilvl w:val="0"/>
          <w:numId w:val="1019"/>
        </w:numPr>
      </w:pPr>
      <w:r>
        <w:t xml:space="preserve">remediation plan</w:t>
      </w:r>
    </w:p>
    <w:p>
      <w:pPr>
        <w:pStyle w:val="Compact"/>
        <w:numPr>
          <w:ilvl w:val="0"/>
          <w:numId w:val="1019"/>
        </w:numPr>
      </w:pPr>
      <w:r>
        <w:t xml:space="preserve">prioritised initiatives</w:t>
      </w:r>
    </w:p>
    <w:p>
      <w:pPr>
        <w:pStyle w:val="Compact"/>
        <w:numPr>
          <w:ilvl w:val="0"/>
          <w:numId w:val="1019"/>
        </w:numPr>
      </w:pPr>
      <w:r>
        <w:t xml:space="preserve">review cycle</w:t>
      </w:r>
    </w:p>
    <w:p>
      <w:pPr>
        <w:pStyle w:val="FirstParagraph"/>
      </w:pPr>
      <w:r>
        <w:t xml:space="preserve">NIST provides profile templates and guidance for using organisational profiles. :contentReference</w:t>
      </w:r>
      <w:r>
        <w:t xml:space="preserve">oaicite:5</w:t>
      </w:r>
    </w:p>
    <w:bookmarkEnd w:id="55"/>
    <w:bookmarkEnd w:id="56"/>
    <w:bookmarkStart w:id="60" w:name="control-framework"/>
    <w:p>
      <w:pPr>
        <w:pStyle w:val="Heading1"/>
      </w:pPr>
      <w:r>
        <w:t xml:space="preserve">8. Control Framework</w:t>
      </w:r>
    </w:p>
    <w:bookmarkStart w:id="58" w:name="control-domains"/>
    <w:p>
      <w:pPr>
        <w:pStyle w:val="Heading2"/>
      </w:pPr>
      <w:r>
        <w:t xml:space="preserve">8.1 Control Domains</w:t>
      </w:r>
    </w:p>
    <w:p>
      <w:pPr>
        <w:pStyle w:val="FirstParagraph"/>
      </w:pPr>
      <w:r>
        <w:t xml:space="preserve">Organise the control environment using the six CSF Functions.</w:t>
      </w:r>
    </w:p>
    <w:bookmarkStart w:id="57" w:name="example-control-domains"/>
    <w:p>
      <w:pPr>
        <w:pStyle w:val="Heading3"/>
      </w:pPr>
      <w:r>
        <w:t xml:space="preserve">8.1.1 Example control domains</w:t>
      </w:r>
    </w:p>
    <w:p>
      <w:pPr>
        <w:pStyle w:val="Compact"/>
        <w:numPr>
          <w:ilvl w:val="0"/>
          <w:numId w:val="1020"/>
        </w:numPr>
      </w:pPr>
      <w:r>
        <w:t xml:space="preserve">governance and oversight</w:t>
      </w:r>
    </w:p>
    <w:p>
      <w:pPr>
        <w:pStyle w:val="Compact"/>
        <w:numPr>
          <w:ilvl w:val="0"/>
          <w:numId w:val="1020"/>
        </w:numPr>
      </w:pPr>
      <w:r>
        <w:t xml:space="preserve">risk management</w:t>
      </w:r>
    </w:p>
    <w:p>
      <w:pPr>
        <w:pStyle w:val="Compact"/>
        <w:numPr>
          <w:ilvl w:val="0"/>
          <w:numId w:val="1020"/>
        </w:numPr>
      </w:pPr>
      <w:r>
        <w:t xml:space="preserve">asset management</w:t>
      </w:r>
    </w:p>
    <w:p>
      <w:pPr>
        <w:pStyle w:val="Compact"/>
        <w:numPr>
          <w:ilvl w:val="0"/>
          <w:numId w:val="1020"/>
        </w:numPr>
      </w:pPr>
      <w:r>
        <w:t xml:space="preserve">identity and access management</w:t>
      </w:r>
    </w:p>
    <w:p>
      <w:pPr>
        <w:pStyle w:val="Compact"/>
        <w:numPr>
          <w:ilvl w:val="0"/>
          <w:numId w:val="1020"/>
        </w:numPr>
      </w:pPr>
      <w:r>
        <w:t xml:space="preserve">awareness and training</w:t>
      </w:r>
    </w:p>
    <w:p>
      <w:pPr>
        <w:pStyle w:val="Compact"/>
        <w:numPr>
          <w:ilvl w:val="0"/>
          <w:numId w:val="1020"/>
        </w:numPr>
      </w:pPr>
      <w:r>
        <w:t xml:space="preserve">data security</w:t>
      </w:r>
    </w:p>
    <w:p>
      <w:pPr>
        <w:pStyle w:val="Compact"/>
        <w:numPr>
          <w:ilvl w:val="0"/>
          <w:numId w:val="1020"/>
        </w:numPr>
      </w:pPr>
      <w:r>
        <w:t xml:space="preserve">platform security</w:t>
      </w:r>
    </w:p>
    <w:p>
      <w:pPr>
        <w:pStyle w:val="Compact"/>
        <w:numPr>
          <w:ilvl w:val="0"/>
          <w:numId w:val="1020"/>
        </w:numPr>
      </w:pPr>
      <w:r>
        <w:t xml:space="preserve">monitoring and detection</w:t>
      </w:r>
    </w:p>
    <w:p>
      <w:pPr>
        <w:pStyle w:val="Compact"/>
        <w:numPr>
          <w:ilvl w:val="0"/>
          <w:numId w:val="1020"/>
        </w:numPr>
      </w:pPr>
      <w:r>
        <w:t xml:space="preserve">incident response</w:t>
      </w:r>
    </w:p>
    <w:p>
      <w:pPr>
        <w:pStyle w:val="Compact"/>
        <w:numPr>
          <w:ilvl w:val="0"/>
          <w:numId w:val="1020"/>
        </w:numPr>
      </w:pPr>
      <w:r>
        <w:t xml:space="preserve">recovery and resilience</w:t>
      </w:r>
    </w:p>
    <w:p>
      <w:pPr>
        <w:pStyle w:val="Compact"/>
        <w:numPr>
          <w:ilvl w:val="0"/>
          <w:numId w:val="1020"/>
        </w:numPr>
      </w:pPr>
      <w:r>
        <w:t xml:space="preserve">third-party and supply chain security</w:t>
      </w:r>
    </w:p>
    <w:p>
      <w:pPr>
        <w:pStyle w:val="Compact"/>
        <w:numPr>
          <w:ilvl w:val="0"/>
          <w:numId w:val="1020"/>
        </w:numPr>
      </w:pPr>
      <w:r>
        <w:t xml:space="preserve">continuous improvement</w:t>
      </w:r>
    </w:p>
    <w:bookmarkEnd w:id="57"/>
    <w:bookmarkEnd w:id="58"/>
    <w:bookmarkStart w:id="59" w:name="sample-control-catalogue"/>
    <w:p>
      <w:pPr>
        <w:pStyle w:val="Heading2"/>
      </w:pPr>
      <w:r>
        <w:t xml:space="preserve">8.2 Sample Control Catalogue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 ID</w:t>
            </w:r>
          </w:p>
        </w:tc>
        <w:tc>
          <w:tcPr/>
          <w:p>
            <w:pPr>
              <w:pStyle w:val="Compact"/>
            </w:pPr>
            <w:r>
              <w:t xml:space="preserve">Control Name</w:t>
            </w:r>
          </w:p>
        </w:tc>
        <w:tc>
          <w:tcPr/>
          <w:p>
            <w:pPr>
              <w:pStyle w:val="Compact"/>
            </w:pPr>
            <w:r>
              <w:t xml:space="preserve">Objective</w:t>
            </w:r>
          </w:p>
        </w:tc>
        <w:tc>
          <w:tcPr/>
          <w:p>
            <w:pPr>
              <w:pStyle w:val="Compact"/>
            </w:pPr>
            <w:r>
              <w:t xml:space="preserve">Control Owner</w:t>
            </w:r>
          </w:p>
        </w:tc>
        <w:tc>
          <w:tcPr/>
          <w:p>
            <w:pPr>
              <w:pStyle w:val="Compact"/>
            </w:pPr>
            <w:r>
              <w:t xml:space="preserve">Frequency</w:t>
            </w:r>
          </w:p>
        </w:tc>
        <w:tc>
          <w:tcPr/>
          <w:p>
            <w:pPr>
              <w:pStyle w:val="Compact"/>
            </w:pPr>
            <w:r>
              <w:t xml:space="preserve">Evidence</w:t>
            </w:r>
          </w:p>
        </w:tc>
      </w:tr>
      <w:tr>
        <w:tc>
          <w:tcPr/>
          <w:p>
            <w:pPr>
              <w:pStyle w:val="Compact"/>
            </w:pPr>
            <w:r>
              <w:t xml:space="preserve">NIST-01</w:t>
            </w:r>
          </w:p>
        </w:tc>
        <w:tc>
          <w:tcPr/>
          <w:p>
            <w:pPr>
              <w:pStyle w:val="Compact"/>
            </w:pPr>
            <w:r>
              <w:t xml:space="preserve">Cybersecurity strategy approved</w:t>
            </w:r>
          </w:p>
        </w:tc>
        <w:tc>
          <w:tcPr/>
          <w:p>
            <w:pPr>
              <w:pStyle w:val="Compact"/>
            </w:pPr>
            <w:r>
              <w:t xml:space="preserve">Ensure executive direction and accountability</w:t>
            </w:r>
          </w:p>
        </w:tc>
        <w:tc>
          <w:tcPr/>
          <w:p>
            <w:pPr>
              <w:pStyle w:val="Compact"/>
            </w:pPr>
            <w:r>
              <w:t xml:space="preserve">CISO</w:t>
            </w:r>
          </w:p>
        </w:tc>
        <w:tc>
          <w:tcPr/>
          <w:p>
            <w:pPr>
              <w:pStyle w:val="Compact"/>
            </w:pPr>
            <w:r>
              <w:t xml:space="preserve">Annual</w:t>
            </w:r>
          </w:p>
        </w:tc>
        <w:tc>
          <w:tcPr/>
          <w:p>
            <w:pPr>
              <w:pStyle w:val="Compact"/>
            </w:pPr>
            <w:r>
              <w:t xml:space="preserve">Approved strategy</w:t>
            </w:r>
          </w:p>
        </w:tc>
      </w:tr>
      <w:tr>
        <w:tc>
          <w:tcPr/>
          <w:p>
            <w:pPr>
              <w:pStyle w:val="Compact"/>
            </w:pPr>
            <w:r>
              <w:t xml:space="preserve">NIST-02</w:t>
            </w:r>
          </w:p>
        </w:tc>
        <w:tc>
          <w:tcPr/>
          <w:p>
            <w:pPr>
              <w:pStyle w:val="Compact"/>
            </w:pPr>
            <w:r>
              <w:t xml:space="preserve">Current and target profiles maintained</w:t>
            </w:r>
          </w:p>
        </w:tc>
        <w:tc>
          <w:tcPr/>
          <w:p>
            <w:pPr>
              <w:pStyle w:val="Compact"/>
            </w:pPr>
            <w:r>
              <w:t xml:space="preserve">Drive risk-based improvement</w:t>
            </w:r>
          </w:p>
        </w:tc>
        <w:tc>
          <w:tcPr/>
          <w:p>
            <w:pPr>
              <w:pStyle w:val="Compact"/>
            </w:pPr>
            <w:r>
              <w:t xml:space="preserve">Cyber Governance Lead</w:t>
            </w:r>
          </w:p>
        </w:tc>
        <w:tc>
          <w:tcPr/>
          <w:p>
            <w:pPr>
              <w:pStyle w:val="Compact"/>
            </w:pPr>
            <w:r>
              <w:t xml:space="preserve">Semi-annual</w:t>
            </w:r>
          </w:p>
        </w:tc>
        <w:tc>
          <w:tcPr/>
          <w:p>
            <w:pPr>
              <w:pStyle w:val="Compact"/>
            </w:pPr>
            <w:r>
              <w:t xml:space="preserve">Profile register</w:t>
            </w:r>
          </w:p>
        </w:tc>
      </w:tr>
      <w:tr>
        <w:tc>
          <w:tcPr/>
          <w:p>
            <w:pPr>
              <w:pStyle w:val="Compact"/>
            </w:pPr>
            <w:r>
              <w:t xml:space="preserve">NIST-03</w:t>
            </w:r>
          </w:p>
        </w:tc>
        <w:tc>
          <w:tcPr/>
          <w:p>
            <w:pPr>
              <w:pStyle w:val="Compact"/>
            </w:pPr>
            <w:r>
              <w:t xml:space="preserve">Asset inventory maintained</w:t>
            </w:r>
          </w:p>
        </w:tc>
        <w:tc>
          <w:tcPr/>
          <w:p>
            <w:pPr>
              <w:pStyle w:val="Compact"/>
            </w:pPr>
            <w:r>
              <w:t xml:space="preserve">Ensure visibility of assets and services</w:t>
            </w:r>
          </w:p>
        </w:tc>
        <w:tc>
          <w:tcPr/>
          <w:p>
            <w:pPr>
              <w:pStyle w:val="Compact"/>
            </w:pPr>
            <w:r>
              <w:t xml:space="preserve">IT Operations</w:t>
            </w:r>
          </w:p>
        </w:tc>
        <w:tc>
          <w:tcPr/>
          <w:p>
            <w:pPr>
              <w:pStyle w:val="Compact"/>
            </w:pPr>
            <w:r>
              <w:t xml:space="preserve">Monthly</w:t>
            </w:r>
          </w:p>
        </w:tc>
        <w:tc>
          <w:tcPr/>
          <w:p>
            <w:pPr>
              <w:pStyle w:val="Compact"/>
            </w:pPr>
            <w:r>
              <w:t xml:space="preserve">Asset register</w:t>
            </w:r>
          </w:p>
        </w:tc>
      </w:tr>
      <w:tr>
        <w:tc>
          <w:tcPr/>
          <w:p>
            <w:pPr>
              <w:pStyle w:val="Compact"/>
            </w:pPr>
            <w:r>
              <w:t xml:space="preserve">NIST-04</w:t>
            </w:r>
          </w:p>
        </w:tc>
        <w:tc>
          <w:tcPr/>
          <w:p>
            <w:pPr>
              <w:pStyle w:val="Compact"/>
            </w:pPr>
            <w:r>
              <w:t xml:space="preserve">Security monitoring performed</w:t>
            </w:r>
          </w:p>
        </w:tc>
        <w:tc>
          <w:tcPr/>
          <w:p>
            <w:pPr>
              <w:pStyle w:val="Compact"/>
            </w:pPr>
            <w:r>
              <w:t xml:space="preserve">Detect suspicious events in a timely manner</w:t>
            </w:r>
          </w:p>
        </w:tc>
        <w:tc>
          <w:tcPr/>
          <w:p>
            <w:pPr>
              <w:pStyle w:val="Compact"/>
            </w:pPr>
            <w:r>
              <w:t xml:space="preserve">SOC Manager</w:t>
            </w:r>
          </w:p>
        </w:tc>
        <w:tc>
          <w:tcPr/>
          <w:p>
            <w:pPr>
              <w:pStyle w:val="Compact"/>
            </w:pPr>
            <w:r>
              <w:t xml:space="preserve">Continuous</w:t>
            </w:r>
          </w:p>
        </w:tc>
        <w:tc>
          <w:tcPr/>
          <w:p>
            <w:pPr>
              <w:pStyle w:val="Compact"/>
            </w:pPr>
            <w:r>
              <w:t xml:space="preserve">SIEM reports</w:t>
            </w:r>
          </w:p>
        </w:tc>
      </w:tr>
      <w:tr>
        <w:tc>
          <w:tcPr/>
          <w:p>
            <w:pPr>
              <w:pStyle w:val="Compact"/>
            </w:pPr>
            <w:r>
              <w:t xml:space="preserve">NIST-05</w:t>
            </w:r>
          </w:p>
        </w:tc>
        <w:tc>
          <w:tcPr/>
          <w:p>
            <w:pPr>
              <w:pStyle w:val="Compact"/>
            </w:pPr>
            <w:r>
              <w:t xml:space="preserve">Incident response exercised</w:t>
            </w:r>
          </w:p>
        </w:tc>
        <w:tc>
          <w:tcPr/>
          <w:p>
            <w:pPr>
              <w:pStyle w:val="Compact"/>
            </w:pPr>
            <w:r>
              <w:t xml:space="preserve">Improve response readiness</w:t>
            </w:r>
          </w:p>
        </w:tc>
        <w:tc>
          <w:tcPr/>
          <w:p>
            <w:pPr>
              <w:pStyle w:val="Compact"/>
            </w:pPr>
            <w:r>
              <w:t xml:space="preserve">Incident Manager</w:t>
            </w:r>
          </w:p>
        </w:tc>
        <w:tc>
          <w:tcPr/>
          <w:p>
            <w:pPr>
              <w:pStyle w:val="Compact"/>
            </w:pPr>
            <w:r>
              <w:t xml:space="preserve">Quarterly</w:t>
            </w:r>
          </w:p>
        </w:tc>
        <w:tc>
          <w:tcPr/>
          <w:p>
            <w:pPr>
              <w:pStyle w:val="Compact"/>
            </w:pPr>
            <w:r>
              <w:t xml:space="preserve">Exercise reports</w:t>
            </w:r>
          </w:p>
        </w:tc>
      </w:tr>
      <w:tr>
        <w:tc>
          <w:tcPr/>
          <w:p>
            <w:pPr>
              <w:pStyle w:val="Compact"/>
            </w:pPr>
            <w:r>
              <w:t xml:space="preserve">NIST-06</w:t>
            </w:r>
          </w:p>
        </w:tc>
        <w:tc>
          <w:tcPr/>
          <w:p>
            <w:pPr>
              <w:pStyle w:val="Compact"/>
            </w:pPr>
            <w:r>
              <w:t xml:space="preserve">Recovery capabilities tested</w:t>
            </w:r>
          </w:p>
        </w:tc>
        <w:tc>
          <w:tcPr/>
          <w:p>
            <w:pPr>
              <w:pStyle w:val="Compact"/>
            </w:pPr>
            <w:r>
              <w:t xml:space="preserve">Validate resilience and restoration</w:t>
            </w:r>
          </w:p>
        </w:tc>
        <w:tc>
          <w:tcPr/>
          <w:p>
            <w:pPr>
              <w:pStyle w:val="Compact"/>
            </w:pPr>
            <w:r>
              <w:t xml:space="preserve">Continuity Lead</w:t>
            </w:r>
          </w:p>
        </w:tc>
        <w:tc>
          <w:tcPr/>
          <w:p>
            <w:pPr>
              <w:pStyle w:val="Compact"/>
            </w:pPr>
            <w:r>
              <w:t xml:space="preserve">Annual</w:t>
            </w:r>
          </w:p>
        </w:tc>
        <w:tc>
          <w:tcPr/>
          <w:p>
            <w:pPr>
              <w:pStyle w:val="Compact"/>
            </w:pPr>
            <w:r>
              <w:t xml:space="preserve">Recovery test evidence</w:t>
            </w:r>
          </w:p>
        </w:tc>
      </w:tr>
    </w:tbl>
    <w:bookmarkEnd w:id="59"/>
    <w:bookmarkEnd w:id="60"/>
    <w:bookmarkStart w:id="63" w:name="artefacts-and-evidence"/>
    <w:p>
      <w:pPr>
        <w:pStyle w:val="Heading1"/>
      </w:pPr>
      <w:r>
        <w:t xml:space="preserve">9. Artefacts and Evidence</w:t>
      </w:r>
    </w:p>
    <w:bookmarkStart w:id="61" w:name="required-artefacts"/>
    <w:p>
      <w:pPr>
        <w:pStyle w:val="Heading2"/>
      </w:pPr>
      <w:r>
        <w:t xml:space="preserve">9.1 Required Artefacts</w:t>
      </w:r>
    </w:p>
    <w:p>
      <w:pPr>
        <w:pStyle w:val="FirstParagraph"/>
      </w:pPr>
      <w:r>
        <w:t xml:space="preserve">Document the key artefacts used to support implementation and assurance.</w:t>
      </w:r>
    </w:p>
    <w:p>
      <w:pPr>
        <w:pStyle w:val="Compact"/>
        <w:numPr>
          <w:ilvl w:val="0"/>
          <w:numId w:val="1021"/>
        </w:numPr>
      </w:pPr>
      <w:r>
        <w:t xml:space="preserve">cybersecurity strategy</w:t>
      </w:r>
    </w:p>
    <w:p>
      <w:pPr>
        <w:pStyle w:val="Compact"/>
        <w:numPr>
          <w:ilvl w:val="0"/>
          <w:numId w:val="1021"/>
        </w:numPr>
      </w:pPr>
      <w:r>
        <w:t xml:space="preserve">cyber risk appetite statement</w:t>
      </w:r>
    </w:p>
    <w:p>
      <w:pPr>
        <w:pStyle w:val="Compact"/>
        <w:numPr>
          <w:ilvl w:val="0"/>
          <w:numId w:val="1021"/>
        </w:numPr>
      </w:pPr>
      <w:r>
        <w:t xml:space="preserve">policy set and control standards</w:t>
      </w:r>
    </w:p>
    <w:p>
      <w:pPr>
        <w:pStyle w:val="Compact"/>
        <w:numPr>
          <w:ilvl w:val="0"/>
          <w:numId w:val="1021"/>
        </w:numPr>
      </w:pPr>
      <w:r>
        <w:t xml:space="preserve">asset inventory</w:t>
      </w:r>
    </w:p>
    <w:p>
      <w:pPr>
        <w:pStyle w:val="Compact"/>
        <w:numPr>
          <w:ilvl w:val="0"/>
          <w:numId w:val="1021"/>
        </w:numPr>
      </w:pPr>
      <w:r>
        <w:t xml:space="preserve">dependency map</w:t>
      </w:r>
    </w:p>
    <w:p>
      <w:pPr>
        <w:pStyle w:val="Compact"/>
        <w:numPr>
          <w:ilvl w:val="0"/>
          <w:numId w:val="1021"/>
        </w:numPr>
      </w:pPr>
      <w:r>
        <w:t xml:space="preserve">business impact analysis</w:t>
      </w:r>
    </w:p>
    <w:p>
      <w:pPr>
        <w:pStyle w:val="Compact"/>
        <w:numPr>
          <w:ilvl w:val="0"/>
          <w:numId w:val="1021"/>
        </w:numPr>
      </w:pPr>
      <w:r>
        <w:t xml:space="preserve">current and target profiles</w:t>
      </w:r>
    </w:p>
    <w:p>
      <w:pPr>
        <w:pStyle w:val="Compact"/>
        <w:numPr>
          <w:ilvl w:val="0"/>
          <w:numId w:val="1021"/>
        </w:numPr>
      </w:pPr>
      <w:r>
        <w:t xml:space="preserve">risk register</w:t>
      </w:r>
    </w:p>
    <w:p>
      <w:pPr>
        <w:pStyle w:val="Compact"/>
        <w:numPr>
          <w:ilvl w:val="0"/>
          <w:numId w:val="1021"/>
        </w:numPr>
      </w:pPr>
      <w:r>
        <w:t xml:space="preserve">threat scenarios</w:t>
      </w:r>
    </w:p>
    <w:p>
      <w:pPr>
        <w:pStyle w:val="Compact"/>
        <w:numPr>
          <w:ilvl w:val="0"/>
          <w:numId w:val="1021"/>
        </w:numPr>
      </w:pPr>
      <w:r>
        <w:t xml:space="preserve">vulnerability management records</w:t>
      </w:r>
    </w:p>
    <w:p>
      <w:pPr>
        <w:pStyle w:val="Compact"/>
        <w:numPr>
          <w:ilvl w:val="0"/>
          <w:numId w:val="1021"/>
        </w:numPr>
      </w:pPr>
      <w:r>
        <w:t xml:space="preserve">detection use case catalogue</w:t>
      </w:r>
    </w:p>
    <w:p>
      <w:pPr>
        <w:pStyle w:val="Compact"/>
        <w:numPr>
          <w:ilvl w:val="0"/>
          <w:numId w:val="1021"/>
        </w:numPr>
      </w:pPr>
      <w:r>
        <w:t xml:space="preserve">incident response plan</w:t>
      </w:r>
    </w:p>
    <w:p>
      <w:pPr>
        <w:pStyle w:val="Compact"/>
        <w:numPr>
          <w:ilvl w:val="0"/>
          <w:numId w:val="1021"/>
        </w:numPr>
      </w:pPr>
      <w:r>
        <w:t xml:space="preserve">incident playbooks</w:t>
      </w:r>
    </w:p>
    <w:p>
      <w:pPr>
        <w:pStyle w:val="Compact"/>
        <w:numPr>
          <w:ilvl w:val="0"/>
          <w:numId w:val="1021"/>
        </w:numPr>
      </w:pPr>
      <w:r>
        <w:t xml:space="preserve">recovery plans</w:t>
      </w:r>
    </w:p>
    <w:p>
      <w:pPr>
        <w:pStyle w:val="Compact"/>
        <w:numPr>
          <w:ilvl w:val="0"/>
          <w:numId w:val="1021"/>
        </w:numPr>
      </w:pPr>
      <w:r>
        <w:t xml:space="preserve">resilience test reports</w:t>
      </w:r>
    </w:p>
    <w:p>
      <w:pPr>
        <w:pStyle w:val="Compact"/>
        <w:numPr>
          <w:ilvl w:val="0"/>
          <w:numId w:val="1021"/>
        </w:numPr>
      </w:pPr>
      <w:r>
        <w:t xml:space="preserve">third-party security assessments</w:t>
      </w:r>
    </w:p>
    <w:p>
      <w:pPr>
        <w:pStyle w:val="Compact"/>
        <w:numPr>
          <w:ilvl w:val="0"/>
          <w:numId w:val="1021"/>
        </w:numPr>
      </w:pPr>
      <w:r>
        <w:t xml:space="preserve">metrics and dashboard packs</w:t>
      </w:r>
    </w:p>
    <w:p>
      <w:pPr>
        <w:pStyle w:val="Compact"/>
        <w:numPr>
          <w:ilvl w:val="0"/>
          <w:numId w:val="1021"/>
        </w:numPr>
      </w:pPr>
      <w:r>
        <w:t xml:space="preserve">audit reports</w:t>
      </w:r>
    </w:p>
    <w:bookmarkEnd w:id="61"/>
    <w:bookmarkStart w:id="62" w:name="evidence-model"/>
    <w:p>
      <w:pPr>
        <w:pStyle w:val="Heading2"/>
      </w:pPr>
      <w:r>
        <w:t xml:space="preserve">9.2 Evidence Model</w:t>
      </w:r>
    </w:p>
    <w:p>
      <w:pPr>
        <w:pStyle w:val="FirstParagraph"/>
      </w:pPr>
      <w:r>
        <w:t xml:space="preserve">For each artefact define:</w:t>
      </w:r>
    </w:p>
    <w:p>
      <w:pPr>
        <w:pStyle w:val="Compact"/>
        <w:numPr>
          <w:ilvl w:val="0"/>
          <w:numId w:val="1022"/>
        </w:numPr>
      </w:pPr>
      <w:r>
        <w:t xml:space="preserve">owner</w:t>
      </w:r>
    </w:p>
    <w:p>
      <w:pPr>
        <w:pStyle w:val="Compact"/>
        <w:numPr>
          <w:ilvl w:val="0"/>
          <w:numId w:val="1022"/>
        </w:numPr>
      </w:pPr>
      <w:r>
        <w:t xml:space="preserve">purpose</w:t>
      </w:r>
    </w:p>
    <w:p>
      <w:pPr>
        <w:pStyle w:val="Compact"/>
        <w:numPr>
          <w:ilvl w:val="0"/>
          <w:numId w:val="1022"/>
        </w:numPr>
      </w:pPr>
      <w:r>
        <w:t xml:space="preserve">location</w:t>
      </w:r>
    </w:p>
    <w:p>
      <w:pPr>
        <w:pStyle w:val="Compact"/>
        <w:numPr>
          <w:ilvl w:val="0"/>
          <w:numId w:val="1022"/>
        </w:numPr>
      </w:pPr>
      <w:r>
        <w:t xml:space="preserve">frequency of update</w:t>
      </w:r>
    </w:p>
    <w:p>
      <w:pPr>
        <w:pStyle w:val="Compact"/>
        <w:numPr>
          <w:ilvl w:val="0"/>
          <w:numId w:val="1022"/>
        </w:numPr>
      </w:pPr>
      <w:r>
        <w:t xml:space="preserve">retention period</w:t>
      </w:r>
    </w:p>
    <w:p>
      <w:pPr>
        <w:pStyle w:val="Compact"/>
        <w:numPr>
          <w:ilvl w:val="0"/>
          <w:numId w:val="1022"/>
        </w:numPr>
      </w:pPr>
      <w:r>
        <w:t xml:space="preserve">assurance mechanism</w:t>
      </w:r>
    </w:p>
    <w:bookmarkEnd w:id="62"/>
    <w:bookmarkEnd w:id="63"/>
    <w:bookmarkStart w:id="67" w:name="architecture-and-technology-implications"/>
    <w:p>
      <w:pPr>
        <w:pStyle w:val="Heading1"/>
      </w:pPr>
      <w:r>
        <w:t xml:space="preserve">10. Architecture and Technology Implications</w:t>
      </w:r>
    </w:p>
    <w:bookmarkStart w:id="64" w:name="security-by-design"/>
    <w:p>
      <w:pPr>
        <w:pStyle w:val="Heading2"/>
      </w:pPr>
      <w:r>
        <w:t xml:space="preserve">10.1 Security by Design</w:t>
      </w:r>
    </w:p>
    <w:p>
      <w:pPr>
        <w:pStyle w:val="FirstParagraph"/>
      </w:pPr>
      <w:r>
        <w:t xml:space="preserve">Describe how cybersecurity requirements are embedded into:</w:t>
      </w:r>
    </w:p>
    <w:p>
      <w:pPr>
        <w:pStyle w:val="Compact"/>
        <w:numPr>
          <w:ilvl w:val="0"/>
          <w:numId w:val="1023"/>
        </w:numPr>
      </w:pPr>
      <w:r>
        <w:t xml:space="preserve">enterprise architecture</w:t>
      </w:r>
    </w:p>
    <w:p>
      <w:pPr>
        <w:pStyle w:val="Compact"/>
        <w:numPr>
          <w:ilvl w:val="0"/>
          <w:numId w:val="1023"/>
        </w:numPr>
      </w:pPr>
      <w:r>
        <w:t xml:space="preserve">solution design</w:t>
      </w:r>
    </w:p>
    <w:p>
      <w:pPr>
        <w:pStyle w:val="Compact"/>
        <w:numPr>
          <w:ilvl w:val="0"/>
          <w:numId w:val="1023"/>
        </w:numPr>
      </w:pPr>
      <w:r>
        <w:t xml:space="preserve">cloud architecture</w:t>
      </w:r>
    </w:p>
    <w:p>
      <w:pPr>
        <w:pStyle w:val="Compact"/>
        <w:numPr>
          <w:ilvl w:val="0"/>
          <w:numId w:val="1023"/>
        </w:numPr>
      </w:pPr>
      <w:r>
        <w:t xml:space="preserve">network design</w:t>
      </w:r>
    </w:p>
    <w:p>
      <w:pPr>
        <w:pStyle w:val="Compact"/>
        <w:numPr>
          <w:ilvl w:val="0"/>
          <w:numId w:val="1023"/>
        </w:numPr>
      </w:pPr>
      <w:r>
        <w:t xml:space="preserve">identity architecture</w:t>
      </w:r>
    </w:p>
    <w:p>
      <w:pPr>
        <w:pStyle w:val="Compact"/>
        <w:numPr>
          <w:ilvl w:val="0"/>
          <w:numId w:val="1023"/>
        </w:numPr>
      </w:pPr>
      <w:r>
        <w:t xml:space="preserve">endpoint and platform engineering</w:t>
      </w:r>
    </w:p>
    <w:p>
      <w:pPr>
        <w:pStyle w:val="Compact"/>
        <w:numPr>
          <w:ilvl w:val="0"/>
          <w:numId w:val="1023"/>
        </w:numPr>
      </w:pPr>
      <w:r>
        <w:t xml:space="preserve">data architecture</w:t>
      </w:r>
    </w:p>
    <w:p>
      <w:pPr>
        <w:pStyle w:val="Compact"/>
        <w:numPr>
          <w:ilvl w:val="0"/>
          <w:numId w:val="1023"/>
        </w:numPr>
      </w:pPr>
      <w:r>
        <w:t xml:space="preserve">software delivery pipelines</w:t>
      </w:r>
    </w:p>
    <w:p>
      <w:pPr>
        <w:pStyle w:val="Compact"/>
        <w:numPr>
          <w:ilvl w:val="0"/>
          <w:numId w:val="1023"/>
        </w:numPr>
      </w:pPr>
      <w:r>
        <w:t xml:space="preserve">third-party integration patterns</w:t>
      </w:r>
    </w:p>
    <w:bookmarkEnd w:id="64"/>
    <w:bookmarkStart w:id="65" w:name="technology-landscape-view"/>
    <w:p>
      <w:pPr>
        <w:pStyle w:val="Heading2"/>
      </w:pPr>
      <w:r>
        <w:t xml:space="preserve">10.2 Technology Landscape View</w:t>
      </w:r>
    </w:p>
    <w:p>
      <w:pPr>
        <w:pStyle w:val="FirstParagraph"/>
      </w:pPr>
      <w:r>
        <w:t xml:space="preserve">Document the security-relevant architecture elements:</w:t>
      </w:r>
    </w:p>
    <w:p>
      <w:pPr>
        <w:pStyle w:val="Compact"/>
        <w:numPr>
          <w:ilvl w:val="0"/>
          <w:numId w:val="1024"/>
        </w:numPr>
      </w:pPr>
      <w:r>
        <w:t xml:space="preserve">business services and critical processes</w:t>
      </w:r>
    </w:p>
    <w:p>
      <w:pPr>
        <w:pStyle w:val="Compact"/>
        <w:numPr>
          <w:ilvl w:val="0"/>
          <w:numId w:val="1024"/>
        </w:numPr>
      </w:pPr>
      <w:r>
        <w:t xml:space="preserve">application and data estate</w:t>
      </w:r>
    </w:p>
    <w:p>
      <w:pPr>
        <w:pStyle w:val="Compact"/>
        <w:numPr>
          <w:ilvl w:val="0"/>
          <w:numId w:val="1024"/>
        </w:numPr>
      </w:pPr>
      <w:r>
        <w:t xml:space="preserve">infrastructure and cloud platforms</w:t>
      </w:r>
    </w:p>
    <w:p>
      <w:pPr>
        <w:pStyle w:val="Compact"/>
        <w:numPr>
          <w:ilvl w:val="0"/>
          <w:numId w:val="1024"/>
        </w:numPr>
      </w:pPr>
      <w:r>
        <w:t xml:space="preserve">security tooling landscape</w:t>
      </w:r>
    </w:p>
    <w:p>
      <w:pPr>
        <w:pStyle w:val="Compact"/>
        <w:numPr>
          <w:ilvl w:val="0"/>
          <w:numId w:val="1024"/>
        </w:numPr>
      </w:pPr>
      <w:r>
        <w:t xml:space="preserve">identity and access ecosystem</w:t>
      </w:r>
    </w:p>
    <w:p>
      <w:pPr>
        <w:pStyle w:val="Compact"/>
        <w:numPr>
          <w:ilvl w:val="0"/>
          <w:numId w:val="1024"/>
        </w:numPr>
      </w:pPr>
      <w:r>
        <w:t xml:space="preserve">logging and monitoring architecture</w:t>
      </w:r>
    </w:p>
    <w:p>
      <w:pPr>
        <w:pStyle w:val="Compact"/>
        <w:numPr>
          <w:ilvl w:val="0"/>
          <w:numId w:val="1024"/>
        </w:numPr>
      </w:pPr>
      <w:r>
        <w:t xml:space="preserve">resilience and recovery architecture</w:t>
      </w:r>
    </w:p>
    <w:bookmarkEnd w:id="65"/>
    <w:bookmarkStart w:id="66" w:name="dependency-and-data-flow-mapping"/>
    <w:p>
      <w:pPr>
        <w:pStyle w:val="Heading2"/>
      </w:pPr>
      <w:r>
        <w:t xml:space="preserve">10.3 Dependency and Data Flow Mapping</w:t>
      </w:r>
    </w:p>
    <w:p>
      <w:pPr>
        <w:pStyle w:val="FirstParagraph"/>
      </w:pPr>
      <w:r>
        <w:t xml:space="preserve">Include or reference:</w:t>
      </w:r>
    </w:p>
    <w:p>
      <w:pPr>
        <w:pStyle w:val="Compact"/>
        <w:numPr>
          <w:ilvl w:val="0"/>
          <w:numId w:val="1025"/>
        </w:numPr>
      </w:pPr>
      <w:r>
        <w:t xml:space="preserve">business service maps</w:t>
      </w:r>
    </w:p>
    <w:p>
      <w:pPr>
        <w:pStyle w:val="Compact"/>
        <w:numPr>
          <w:ilvl w:val="0"/>
          <w:numId w:val="1025"/>
        </w:numPr>
      </w:pPr>
      <w:r>
        <w:t xml:space="preserve">application dependency diagrams</w:t>
      </w:r>
    </w:p>
    <w:p>
      <w:pPr>
        <w:pStyle w:val="Compact"/>
        <w:numPr>
          <w:ilvl w:val="0"/>
          <w:numId w:val="1025"/>
        </w:numPr>
      </w:pPr>
      <w:r>
        <w:t xml:space="preserve">network and trust zone diagrams</w:t>
      </w:r>
    </w:p>
    <w:p>
      <w:pPr>
        <w:pStyle w:val="Compact"/>
        <w:numPr>
          <w:ilvl w:val="0"/>
          <w:numId w:val="1025"/>
        </w:numPr>
      </w:pPr>
      <w:r>
        <w:t xml:space="preserve">third-party dependency maps</w:t>
      </w:r>
    </w:p>
    <w:p>
      <w:pPr>
        <w:pStyle w:val="Compact"/>
        <w:numPr>
          <w:ilvl w:val="0"/>
          <w:numId w:val="1025"/>
        </w:numPr>
      </w:pPr>
      <w:r>
        <w:t xml:space="preserve">crown jewel asset maps</w:t>
      </w:r>
    </w:p>
    <w:p>
      <w:pPr>
        <w:pStyle w:val="Compact"/>
        <w:numPr>
          <w:ilvl w:val="0"/>
          <w:numId w:val="1025"/>
        </w:numPr>
      </w:pPr>
      <w:r>
        <w:t xml:space="preserve">recovery dependency maps</w:t>
      </w:r>
    </w:p>
    <w:bookmarkEnd w:id="66"/>
    <w:bookmarkEnd w:id="67"/>
    <w:bookmarkStart w:id="71" w:name="risk-management"/>
    <w:p>
      <w:pPr>
        <w:pStyle w:val="Heading1"/>
      </w:pPr>
      <w:r>
        <w:t xml:space="preserve">11. Risk Management</w:t>
      </w:r>
    </w:p>
    <w:bookmarkStart w:id="68" w:name="cyber-risk-model"/>
    <w:p>
      <w:pPr>
        <w:pStyle w:val="Heading2"/>
      </w:pPr>
      <w:r>
        <w:t xml:space="preserve">11.1 Cyber Risk Model</w:t>
      </w:r>
    </w:p>
    <w:p>
      <w:pPr>
        <w:pStyle w:val="FirstParagraph"/>
      </w:pPr>
      <w:r>
        <w:t xml:space="preserve">Describe how cyber risks are identified, assessed, treated, accepted, escalated, and monitored.</w:t>
      </w:r>
    </w:p>
    <w:bookmarkEnd w:id="68"/>
    <w:bookmarkStart w:id="69" w:name="example-risk-categories"/>
    <w:p>
      <w:pPr>
        <w:pStyle w:val="Heading2"/>
      </w:pPr>
      <w:r>
        <w:t xml:space="preserve">11.2 Example Risk Categories</w:t>
      </w:r>
    </w:p>
    <w:p>
      <w:pPr>
        <w:pStyle w:val="Compact"/>
        <w:numPr>
          <w:ilvl w:val="0"/>
          <w:numId w:val="1026"/>
        </w:numPr>
      </w:pPr>
      <w:r>
        <w:t xml:space="preserve">governance weakness</w:t>
      </w:r>
    </w:p>
    <w:p>
      <w:pPr>
        <w:pStyle w:val="Compact"/>
        <w:numPr>
          <w:ilvl w:val="0"/>
          <w:numId w:val="1026"/>
        </w:numPr>
      </w:pPr>
      <w:r>
        <w:t xml:space="preserve">incomplete asset visibility</w:t>
      </w:r>
    </w:p>
    <w:p>
      <w:pPr>
        <w:pStyle w:val="Compact"/>
        <w:numPr>
          <w:ilvl w:val="0"/>
          <w:numId w:val="1026"/>
        </w:numPr>
      </w:pPr>
      <w:r>
        <w:t xml:space="preserve">identity compromise</w:t>
      </w:r>
    </w:p>
    <w:p>
      <w:pPr>
        <w:pStyle w:val="Compact"/>
        <w:numPr>
          <w:ilvl w:val="0"/>
          <w:numId w:val="1026"/>
        </w:numPr>
      </w:pPr>
      <w:r>
        <w:t xml:space="preserve">unpatched vulnerabilities</w:t>
      </w:r>
    </w:p>
    <w:p>
      <w:pPr>
        <w:pStyle w:val="Compact"/>
        <w:numPr>
          <w:ilvl w:val="0"/>
          <w:numId w:val="1026"/>
        </w:numPr>
      </w:pPr>
      <w:r>
        <w:t xml:space="preserve">supply chain exposure</w:t>
      </w:r>
    </w:p>
    <w:p>
      <w:pPr>
        <w:pStyle w:val="Compact"/>
        <w:numPr>
          <w:ilvl w:val="0"/>
          <w:numId w:val="1026"/>
        </w:numPr>
      </w:pPr>
      <w:r>
        <w:t xml:space="preserve">insufficient monitoring coverage</w:t>
      </w:r>
    </w:p>
    <w:p>
      <w:pPr>
        <w:pStyle w:val="Compact"/>
        <w:numPr>
          <w:ilvl w:val="0"/>
          <w:numId w:val="1026"/>
        </w:numPr>
      </w:pPr>
      <w:r>
        <w:t xml:space="preserve">weak incident coordination</w:t>
      </w:r>
    </w:p>
    <w:p>
      <w:pPr>
        <w:pStyle w:val="Compact"/>
        <w:numPr>
          <w:ilvl w:val="0"/>
          <w:numId w:val="1026"/>
        </w:numPr>
      </w:pPr>
      <w:r>
        <w:t xml:space="preserve">inadequate resilience and recovery</w:t>
      </w:r>
    </w:p>
    <w:p>
      <w:pPr>
        <w:pStyle w:val="Compact"/>
        <w:numPr>
          <w:ilvl w:val="0"/>
          <w:numId w:val="1026"/>
        </w:numPr>
      </w:pPr>
      <w:r>
        <w:t xml:space="preserve">insecure change and development practices</w:t>
      </w:r>
    </w:p>
    <w:p>
      <w:pPr>
        <w:pStyle w:val="Compact"/>
        <w:numPr>
          <w:ilvl w:val="0"/>
          <w:numId w:val="1026"/>
        </w:numPr>
      </w:pPr>
      <w:r>
        <w:t xml:space="preserve">poor evidence and assurance</w:t>
      </w:r>
    </w:p>
    <w:bookmarkEnd w:id="69"/>
    <w:bookmarkStart w:id="70" w:name="risk-register-template"/>
    <w:p>
      <w:pPr>
        <w:pStyle w:val="Heading2"/>
      </w:pPr>
      <w:r>
        <w:t xml:space="preserve">11.3 Risk Register Template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Cause</w:t>
            </w:r>
          </w:p>
        </w:tc>
        <w:tc>
          <w:tcPr/>
          <w:p>
            <w:pPr>
              <w:pStyle w:val="Compact"/>
            </w:pPr>
            <w:r>
              <w:t xml:space="preserve">Impact</w:t>
            </w:r>
          </w:p>
        </w:tc>
        <w:tc>
          <w:tcPr/>
          <w:p>
            <w:pPr>
              <w:pStyle w:val="Compact"/>
            </w:pPr>
            <w:r>
              <w:t xml:space="preserve">Likelihood</w:t>
            </w:r>
          </w:p>
        </w:tc>
        <w:tc>
          <w:tcPr/>
          <w:p>
            <w:pPr>
              <w:pStyle w:val="Compact"/>
            </w:pPr>
            <w:r>
              <w:t xml:space="preserve">Inherent Risk</w:t>
            </w:r>
          </w:p>
        </w:tc>
        <w:tc>
          <w:tcPr/>
          <w:p>
            <w:pPr>
              <w:pStyle w:val="Compact"/>
            </w:pPr>
            <w:r>
              <w:t xml:space="preserve">Control Strength</w:t>
            </w:r>
          </w:p>
        </w:tc>
        <w:tc>
          <w:tcPr/>
          <w:p>
            <w:pPr>
              <w:pStyle w:val="Compact"/>
            </w:pPr>
            <w:r>
              <w:t xml:space="preserve">Residual Risk</w:t>
            </w:r>
          </w:p>
        </w:tc>
        <w:tc>
          <w:tcPr/>
          <w:p>
            <w:pPr>
              <w:pStyle w:val="Compact"/>
            </w:pPr>
            <w:r>
              <w:t xml:space="preserve">Owner</w:t>
            </w:r>
          </w:p>
        </w:tc>
      </w:tr>
      <w:tr>
        <w:tc>
          <w:tcPr/>
          <w:p>
            <w:pPr>
              <w:pStyle w:val="Compact"/>
            </w:pPr>
            <w:r>
              <w:t xml:space="preserve">CY-01</w:t>
            </w:r>
          </w:p>
        </w:tc>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Example</w:t>
            </w:r>
          </w:p>
        </w:tc>
      </w:tr>
    </w:tbl>
    <w:bookmarkEnd w:id="70"/>
    <w:bookmarkEnd w:id="71"/>
    <w:bookmarkStart w:id="74" w:name="metrics-and-reporting"/>
    <w:p>
      <w:pPr>
        <w:pStyle w:val="Heading1"/>
      </w:pPr>
      <w:r>
        <w:t xml:space="preserve">12. Metrics and Reporting</w:t>
      </w:r>
    </w:p>
    <w:bookmarkStart w:id="72" w:name="key-metrics"/>
    <w:p>
      <w:pPr>
        <w:pStyle w:val="Heading2"/>
      </w:pPr>
      <w:r>
        <w:t xml:space="preserve">12.1 Key Metrics</w:t>
      </w:r>
    </w:p>
    <w:p>
      <w:pPr>
        <w:pStyle w:val="FirstParagraph"/>
      </w:pPr>
      <w:r>
        <w:t xml:space="preserve">Examples of cybersecurity metrics:</w:t>
      </w:r>
    </w:p>
    <w:p>
      <w:pPr>
        <w:pStyle w:val="Compact"/>
        <w:numPr>
          <w:ilvl w:val="0"/>
          <w:numId w:val="1027"/>
        </w:numPr>
      </w:pPr>
      <w:r>
        <w:t xml:space="preserve">percentage of critical assets identified</w:t>
      </w:r>
    </w:p>
    <w:p>
      <w:pPr>
        <w:pStyle w:val="Compact"/>
        <w:numPr>
          <w:ilvl w:val="0"/>
          <w:numId w:val="1027"/>
        </w:numPr>
      </w:pPr>
      <w:r>
        <w:t xml:space="preserve">percentage of assets covered by monitoring</w:t>
      </w:r>
    </w:p>
    <w:p>
      <w:pPr>
        <w:pStyle w:val="Compact"/>
        <w:numPr>
          <w:ilvl w:val="0"/>
          <w:numId w:val="1027"/>
        </w:numPr>
      </w:pPr>
      <w:r>
        <w:t xml:space="preserve">percentage of systems compliant with baseline configuration</w:t>
      </w:r>
    </w:p>
    <w:p>
      <w:pPr>
        <w:pStyle w:val="Compact"/>
        <w:numPr>
          <w:ilvl w:val="0"/>
          <w:numId w:val="1027"/>
        </w:numPr>
      </w:pPr>
      <w:r>
        <w:t xml:space="preserve">vulnerability remediation performance</w:t>
      </w:r>
    </w:p>
    <w:p>
      <w:pPr>
        <w:pStyle w:val="Compact"/>
        <w:numPr>
          <w:ilvl w:val="0"/>
          <w:numId w:val="1027"/>
        </w:numPr>
      </w:pPr>
      <w:r>
        <w:t xml:space="preserve">identity and privileged access review completion</w:t>
      </w:r>
    </w:p>
    <w:p>
      <w:pPr>
        <w:pStyle w:val="Compact"/>
        <w:numPr>
          <w:ilvl w:val="0"/>
          <w:numId w:val="1027"/>
        </w:numPr>
      </w:pPr>
      <w:r>
        <w:t xml:space="preserve">mean time to detect</w:t>
      </w:r>
    </w:p>
    <w:p>
      <w:pPr>
        <w:pStyle w:val="Compact"/>
        <w:numPr>
          <w:ilvl w:val="0"/>
          <w:numId w:val="1027"/>
        </w:numPr>
      </w:pPr>
      <w:r>
        <w:t xml:space="preserve">mean time to contain</w:t>
      </w:r>
    </w:p>
    <w:p>
      <w:pPr>
        <w:pStyle w:val="Compact"/>
        <w:numPr>
          <w:ilvl w:val="0"/>
          <w:numId w:val="1027"/>
        </w:numPr>
      </w:pPr>
      <w:r>
        <w:t xml:space="preserve">mean time to recover</w:t>
      </w:r>
    </w:p>
    <w:p>
      <w:pPr>
        <w:pStyle w:val="Compact"/>
        <w:numPr>
          <w:ilvl w:val="0"/>
          <w:numId w:val="1027"/>
        </w:numPr>
      </w:pPr>
      <w:r>
        <w:t xml:space="preserve">number of severe incidents</w:t>
      </w:r>
    </w:p>
    <w:p>
      <w:pPr>
        <w:pStyle w:val="Compact"/>
        <w:numPr>
          <w:ilvl w:val="0"/>
          <w:numId w:val="1027"/>
        </w:numPr>
      </w:pPr>
      <w:r>
        <w:t xml:space="preserve">percentage of critical third parties assessed</w:t>
      </w:r>
    </w:p>
    <w:p>
      <w:pPr>
        <w:pStyle w:val="Compact"/>
        <w:numPr>
          <w:ilvl w:val="0"/>
          <w:numId w:val="1027"/>
        </w:numPr>
      </w:pPr>
      <w:r>
        <w:t xml:space="preserve">percentage of recovery tests passed</w:t>
      </w:r>
    </w:p>
    <w:p>
      <w:pPr>
        <w:pStyle w:val="Compact"/>
        <w:numPr>
          <w:ilvl w:val="0"/>
          <w:numId w:val="1027"/>
        </w:numPr>
      </w:pPr>
      <w:r>
        <w:t xml:space="preserve">percentage of target profile outcomes achieved</w:t>
      </w:r>
    </w:p>
    <w:bookmarkEnd w:id="72"/>
    <w:bookmarkStart w:id="73" w:name="dashboard-structure"/>
    <w:p>
      <w:pPr>
        <w:pStyle w:val="Heading2"/>
      </w:pPr>
      <w:r>
        <w:t xml:space="preserve">12.2 Dashboard Structure</w:t>
      </w:r>
    </w:p>
    <w:p>
      <w:pPr>
        <w:pStyle w:val="FirstParagraph"/>
      </w:pPr>
      <w:r>
        <w:t xml:space="preserve">Suggested dashboard views:</w:t>
      </w:r>
    </w:p>
    <w:p>
      <w:pPr>
        <w:pStyle w:val="Compact"/>
        <w:numPr>
          <w:ilvl w:val="0"/>
          <w:numId w:val="1028"/>
        </w:numPr>
      </w:pPr>
      <w:r>
        <w:t xml:space="preserve">executive cyber risk dashboard</w:t>
      </w:r>
    </w:p>
    <w:p>
      <w:pPr>
        <w:pStyle w:val="Compact"/>
        <w:numPr>
          <w:ilvl w:val="0"/>
          <w:numId w:val="1028"/>
        </w:numPr>
      </w:pPr>
      <w:r>
        <w:t xml:space="preserve">operational security dashboard</w:t>
      </w:r>
    </w:p>
    <w:p>
      <w:pPr>
        <w:pStyle w:val="Compact"/>
        <w:numPr>
          <w:ilvl w:val="0"/>
          <w:numId w:val="1028"/>
        </w:numPr>
      </w:pPr>
      <w:r>
        <w:t xml:space="preserve">vulnerability and exposure dashboard</w:t>
      </w:r>
    </w:p>
    <w:p>
      <w:pPr>
        <w:pStyle w:val="Compact"/>
        <w:numPr>
          <w:ilvl w:val="0"/>
          <w:numId w:val="1028"/>
        </w:numPr>
      </w:pPr>
      <w:r>
        <w:t xml:space="preserve">incident and response dashboard</w:t>
      </w:r>
    </w:p>
    <w:p>
      <w:pPr>
        <w:pStyle w:val="Compact"/>
        <w:numPr>
          <w:ilvl w:val="0"/>
          <w:numId w:val="1028"/>
        </w:numPr>
      </w:pPr>
      <w:r>
        <w:t xml:space="preserve">resilience and recovery dashboard</w:t>
      </w:r>
    </w:p>
    <w:p>
      <w:pPr>
        <w:pStyle w:val="Compact"/>
        <w:numPr>
          <w:ilvl w:val="0"/>
          <w:numId w:val="1028"/>
        </w:numPr>
      </w:pPr>
      <w:r>
        <w:t xml:space="preserve">third-party cyber risk dashboard</w:t>
      </w:r>
    </w:p>
    <w:bookmarkEnd w:id="73"/>
    <w:bookmarkEnd w:id="74"/>
    <w:bookmarkStart w:id="77" w:name="audit-and-assurance"/>
    <w:p>
      <w:pPr>
        <w:pStyle w:val="Heading1"/>
      </w:pPr>
      <w:r>
        <w:t xml:space="preserve">13. Audit and Assurance</w:t>
      </w:r>
    </w:p>
    <w:bookmarkStart w:id="75" w:name="assurance-model"/>
    <w:p>
      <w:pPr>
        <w:pStyle w:val="Heading2"/>
      </w:pPr>
      <w:r>
        <w:t xml:space="preserve">13.1 Assurance Model</w:t>
      </w:r>
    </w:p>
    <w:p>
      <w:pPr>
        <w:pStyle w:val="FirstParagraph"/>
      </w:pPr>
      <w:r>
        <w:t xml:space="preserve">Document the assurance approach across:</w:t>
      </w:r>
    </w:p>
    <w:p>
      <w:pPr>
        <w:pStyle w:val="Compact"/>
        <w:numPr>
          <w:ilvl w:val="0"/>
          <w:numId w:val="1029"/>
        </w:numPr>
      </w:pPr>
      <w:r>
        <w:t xml:space="preserve">management self-assessment</w:t>
      </w:r>
    </w:p>
    <w:p>
      <w:pPr>
        <w:pStyle w:val="Compact"/>
        <w:numPr>
          <w:ilvl w:val="0"/>
          <w:numId w:val="1029"/>
        </w:numPr>
      </w:pPr>
      <w:r>
        <w:t xml:space="preserve">profile review and gap validation</w:t>
      </w:r>
    </w:p>
    <w:p>
      <w:pPr>
        <w:pStyle w:val="Compact"/>
        <w:numPr>
          <w:ilvl w:val="0"/>
          <w:numId w:val="1029"/>
        </w:numPr>
      </w:pPr>
      <w:r>
        <w:t xml:space="preserve">second-line control testing</w:t>
      </w:r>
    </w:p>
    <w:p>
      <w:pPr>
        <w:pStyle w:val="Compact"/>
        <w:numPr>
          <w:ilvl w:val="0"/>
          <w:numId w:val="1029"/>
        </w:numPr>
      </w:pPr>
      <w:r>
        <w:t xml:space="preserve">technical validation and exercises</w:t>
      </w:r>
    </w:p>
    <w:p>
      <w:pPr>
        <w:pStyle w:val="Compact"/>
        <w:numPr>
          <w:ilvl w:val="0"/>
          <w:numId w:val="1029"/>
        </w:numPr>
      </w:pPr>
      <w:r>
        <w:t xml:space="preserve">internal audit</w:t>
      </w:r>
    </w:p>
    <w:p>
      <w:pPr>
        <w:pStyle w:val="Compact"/>
        <w:numPr>
          <w:ilvl w:val="0"/>
          <w:numId w:val="1029"/>
        </w:numPr>
      </w:pPr>
      <w:r>
        <w:t xml:space="preserve">external assurance where applicable</w:t>
      </w:r>
    </w:p>
    <w:bookmarkEnd w:id="75"/>
    <w:bookmarkStart w:id="76" w:name="testing-themes"/>
    <w:p>
      <w:pPr>
        <w:pStyle w:val="Heading2"/>
      </w:pPr>
      <w:r>
        <w:t xml:space="preserve">13.2 Testing Themes</w:t>
      </w:r>
    </w:p>
    <w:p>
      <w:pPr>
        <w:pStyle w:val="Compact"/>
        <w:numPr>
          <w:ilvl w:val="0"/>
          <w:numId w:val="1030"/>
        </w:numPr>
      </w:pPr>
      <w:r>
        <w:t xml:space="preserve">governance and policy effectiveness</w:t>
      </w:r>
    </w:p>
    <w:p>
      <w:pPr>
        <w:pStyle w:val="Compact"/>
        <w:numPr>
          <w:ilvl w:val="0"/>
          <w:numId w:val="1030"/>
        </w:numPr>
      </w:pPr>
      <w:r>
        <w:t xml:space="preserve">asset coverage and visibility</w:t>
      </w:r>
    </w:p>
    <w:p>
      <w:pPr>
        <w:pStyle w:val="Compact"/>
        <w:numPr>
          <w:ilvl w:val="0"/>
          <w:numId w:val="1030"/>
        </w:numPr>
      </w:pPr>
      <w:r>
        <w:t xml:space="preserve">control design and operating effectiveness</w:t>
      </w:r>
    </w:p>
    <w:p>
      <w:pPr>
        <w:pStyle w:val="Compact"/>
        <w:numPr>
          <w:ilvl w:val="0"/>
          <w:numId w:val="1030"/>
        </w:numPr>
      </w:pPr>
      <w:r>
        <w:t xml:space="preserve">detection capability</w:t>
      </w:r>
    </w:p>
    <w:p>
      <w:pPr>
        <w:pStyle w:val="Compact"/>
        <w:numPr>
          <w:ilvl w:val="0"/>
          <w:numId w:val="1030"/>
        </w:numPr>
      </w:pPr>
      <w:r>
        <w:t xml:space="preserve">incident readiness</w:t>
      </w:r>
    </w:p>
    <w:p>
      <w:pPr>
        <w:pStyle w:val="Compact"/>
        <w:numPr>
          <w:ilvl w:val="0"/>
          <w:numId w:val="1030"/>
        </w:numPr>
      </w:pPr>
      <w:r>
        <w:t xml:space="preserve">recovery readiness</w:t>
      </w:r>
    </w:p>
    <w:p>
      <w:pPr>
        <w:pStyle w:val="Compact"/>
        <w:numPr>
          <w:ilvl w:val="0"/>
          <w:numId w:val="1030"/>
        </w:numPr>
      </w:pPr>
      <w:r>
        <w:t xml:space="preserve">third-party assurance</w:t>
      </w:r>
    </w:p>
    <w:p>
      <w:pPr>
        <w:pStyle w:val="Compact"/>
        <w:numPr>
          <w:ilvl w:val="0"/>
          <w:numId w:val="1030"/>
        </w:numPr>
      </w:pPr>
      <w:r>
        <w:t xml:space="preserve">metrics quality and reporting discipline</w:t>
      </w:r>
    </w:p>
    <w:bookmarkEnd w:id="76"/>
    <w:bookmarkEnd w:id="77"/>
    <w:bookmarkStart w:id="84" w:name="implementation-roadmap"/>
    <w:p>
      <w:pPr>
        <w:pStyle w:val="Heading1"/>
      </w:pPr>
      <w:r>
        <w:t xml:space="preserve">14. Implementation Roadmap</w:t>
      </w:r>
    </w:p>
    <w:bookmarkStart w:id="82" w:name="maturity-phases"/>
    <w:p>
      <w:pPr>
        <w:pStyle w:val="Heading2"/>
      </w:pPr>
      <w:r>
        <w:t xml:space="preserve">14.1 Maturity Phases</w:t>
      </w:r>
    </w:p>
    <w:bookmarkStart w:id="78" w:name="phase-1-foundation"/>
    <w:p>
      <w:pPr>
        <w:pStyle w:val="Heading3"/>
      </w:pPr>
      <w:r>
        <w:t xml:space="preserve">14.1.1 Phase 1: Foundation</w:t>
      </w:r>
    </w:p>
    <w:p>
      <w:pPr>
        <w:pStyle w:val="Compact"/>
        <w:numPr>
          <w:ilvl w:val="0"/>
          <w:numId w:val="1031"/>
        </w:numPr>
      </w:pPr>
      <w:r>
        <w:t xml:space="preserve">establish governance and executive sponsorship</w:t>
      </w:r>
    </w:p>
    <w:p>
      <w:pPr>
        <w:pStyle w:val="Compact"/>
        <w:numPr>
          <w:ilvl w:val="0"/>
          <w:numId w:val="1031"/>
        </w:numPr>
      </w:pPr>
      <w:r>
        <w:t xml:space="preserve">define policy framework</w:t>
      </w:r>
    </w:p>
    <w:p>
      <w:pPr>
        <w:pStyle w:val="Compact"/>
        <w:numPr>
          <w:ilvl w:val="0"/>
          <w:numId w:val="1031"/>
        </w:numPr>
      </w:pPr>
      <w:r>
        <w:t xml:space="preserve">identify critical services and assets</w:t>
      </w:r>
    </w:p>
    <w:p>
      <w:pPr>
        <w:pStyle w:val="Compact"/>
        <w:numPr>
          <w:ilvl w:val="0"/>
          <w:numId w:val="1031"/>
        </w:numPr>
      </w:pPr>
      <w:r>
        <w:t xml:space="preserve">create initial current profile</w:t>
      </w:r>
    </w:p>
    <w:p>
      <w:pPr>
        <w:pStyle w:val="Compact"/>
        <w:numPr>
          <w:ilvl w:val="0"/>
          <w:numId w:val="1031"/>
        </w:numPr>
      </w:pPr>
      <w:r>
        <w:t xml:space="preserve">establish cyber risk register</w:t>
      </w:r>
    </w:p>
    <w:bookmarkEnd w:id="78"/>
    <w:bookmarkStart w:id="79" w:name="phase-2-control-design"/>
    <w:p>
      <w:pPr>
        <w:pStyle w:val="Heading3"/>
      </w:pPr>
      <w:r>
        <w:t xml:space="preserve">14.1.2 Phase 2: Control Design</w:t>
      </w:r>
    </w:p>
    <w:p>
      <w:pPr>
        <w:pStyle w:val="Compact"/>
        <w:numPr>
          <w:ilvl w:val="0"/>
          <w:numId w:val="1032"/>
        </w:numPr>
      </w:pPr>
      <w:r>
        <w:t xml:space="preserve">define target profile</w:t>
      </w:r>
    </w:p>
    <w:p>
      <w:pPr>
        <w:pStyle w:val="Compact"/>
        <w:numPr>
          <w:ilvl w:val="0"/>
          <w:numId w:val="1032"/>
        </w:numPr>
      </w:pPr>
      <w:r>
        <w:t xml:space="preserve">prioritise control improvements</w:t>
      </w:r>
    </w:p>
    <w:p>
      <w:pPr>
        <w:pStyle w:val="Compact"/>
        <w:numPr>
          <w:ilvl w:val="0"/>
          <w:numId w:val="1032"/>
        </w:numPr>
      </w:pPr>
      <w:r>
        <w:t xml:space="preserve">strengthen identity, monitoring, vulnerability, and response capabilities</w:t>
      </w:r>
    </w:p>
    <w:p>
      <w:pPr>
        <w:pStyle w:val="Compact"/>
        <w:numPr>
          <w:ilvl w:val="0"/>
          <w:numId w:val="1032"/>
        </w:numPr>
      </w:pPr>
      <w:r>
        <w:t xml:space="preserve">define resilience and recovery expectations</w:t>
      </w:r>
    </w:p>
    <w:bookmarkEnd w:id="79"/>
    <w:bookmarkStart w:id="80" w:name="phase-3-integration"/>
    <w:p>
      <w:pPr>
        <w:pStyle w:val="Heading3"/>
      </w:pPr>
      <w:r>
        <w:t xml:space="preserve">14.1.3 Phase 3: Integration</w:t>
      </w:r>
    </w:p>
    <w:p>
      <w:pPr>
        <w:pStyle w:val="Compact"/>
        <w:numPr>
          <w:ilvl w:val="0"/>
          <w:numId w:val="1033"/>
        </w:numPr>
      </w:pPr>
      <w:r>
        <w:t xml:space="preserve">integrate cyber governance with enterprise risk and architecture</w:t>
      </w:r>
    </w:p>
    <w:p>
      <w:pPr>
        <w:pStyle w:val="Compact"/>
        <w:numPr>
          <w:ilvl w:val="0"/>
          <w:numId w:val="1033"/>
        </w:numPr>
      </w:pPr>
      <w:r>
        <w:t xml:space="preserve">align security operations with business service priorities</w:t>
      </w:r>
    </w:p>
    <w:p>
      <w:pPr>
        <w:pStyle w:val="Compact"/>
        <w:numPr>
          <w:ilvl w:val="0"/>
          <w:numId w:val="1033"/>
        </w:numPr>
      </w:pPr>
      <w:r>
        <w:t xml:space="preserve">embed third-party and supply chain controls</w:t>
      </w:r>
    </w:p>
    <w:p>
      <w:pPr>
        <w:pStyle w:val="Compact"/>
        <w:numPr>
          <w:ilvl w:val="0"/>
          <w:numId w:val="1033"/>
        </w:numPr>
      </w:pPr>
      <w:r>
        <w:t xml:space="preserve">improve playbooks, exercises, and evidence management</w:t>
      </w:r>
    </w:p>
    <w:bookmarkEnd w:id="80"/>
    <w:bookmarkStart w:id="81" w:name="phase-4-optimisation"/>
    <w:p>
      <w:pPr>
        <w:pStyle w:val="Heading3"/>
      </w:pPr>
      <w:r>
        <w:t xml:space="preserve">14.1.4 Phase 4: Optimisation</w:t>
      </w:r>
    </w:p>
    <w:p>
      <w:pPr>
        <w:pStyle w:val="Compact"/>
        <w:numPr>
          <w:ilvl w:val="0"/>
          <w:numId w:val="1034"/>
        </w:numPr>
      </w:pPr>
      <w:r>
        <w:t xml:space="preserve">refine metrics and dashboards</w:t>
      </w:r>
    </w:p>
    <w:p>
      <w:pPr>
        <w:pStyle w:val="Compact"/>
        <w:numPr>
          <w:ilvl w:val="0"/>
          <w:numId w:val="1034"/>
        </w:numPr>
      </w:pPr>
      <w:r>
        <w:t xml:space="preserve">automate control evidence</w:t>
      </w:r>
    </w:p>
    <w:p>
      <w:pPr>
        <w:pStyle w:val="Compact"/>
        <w:numPr>
          <w:ilvl w:val="0"/>
          <w:numId w:val="1034"/>
        </w:numPr>
      </w:pPr>
      <w:r>
        <w:t xml:space="preserve">strengthen profile-based planning</w:t>
      </w:r>
    </w:p>
    <w:p>
      <w:pPr>
        <w:pStyle w:val="Compact"/>
        <w:numPr>
          <w:ilvl w:val="0"/>
          <w:numId w:val="1034"/>
        </w:numPr>
      </w:pPr>
      <w:r>
        <w:t xml:space="preserve">expand resilience testing and assurance</w:t>
      </w:r>
    </w:p>
    <w:p>
      <w:pPr>
        <w:pStyle w:val="Compact"/>
        <w:numPr>
          <w:ilvl w:val="0"/>
          <w:numId w:val="1034"/>
        </w:numPr>
      </w:pPr>
      <w:r>
        <w:t xml:space="preserve">drive continuous improvement</w:t>
      </w:r>
    </w:p>
    <w:bookmarkEnd w:id="81"/>
    <w:bookmarkEnd w:id="82"/>
    <w:bookmarkStart w:id="83" w:name="roadmap-table"/>
    <w:p>
      <w:pPr>
        <w:pStyle w:val="Heading2"/>
      </w:pPr>
      <w:r>
        <w:t xml:space="preserve">14.2 Roadmap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Initiative</w:t>
            </w:r>
          </w:p>
        </w:tc>
        <w:tc>
          <w:tcPr/>
          <w:p>
            <w:pPr>
              <w:pStyle w:val="Compact"/>
            </w:pPr>
            <w:r>
              <w:t xml:space="preserve">Description</w:t>
            </w:r>
          </w:p>
        </w:tc>
        <w:tc>
          <w:tcPr/>
          <w:p>
            <w:pPr>
              <w:pStyle w:val="Compact"/>
            </w:pPr>
            <w:r>
              <w:t xml:space="preserve">Owner</w:t>
            </w:r>
          </w:p>
        </w:tc>
        <w:tc>
          <w:tcPr/>
          <w:p>
            <w:pPr>
              <w:pStyle w:val="Compact"/>
            </w:pPr>
            <w:r>
              <w:t xml:space="preserve">Priority</w:t>
            </w:r>
          </w:p>
        </w:tc>
        <w:tc>
          <w:tcPr/>
          <w:p>
            <w:pPr>
              <w:pStyle w:val="Compact"/>
            </w:pPr>
            <w:r>
              <w:t xml:space="preserve">Timeline</w:t>
            </w:r>
          </w:p>
        </w:tc>
        <w:tc>
          <w:tcPr/>
          <w:p>
            <w:pPr>
              <w:pStyle w:val="Compact"/>
            </w:pPr>
            <w:r>
              <w:t xml:space="preserve">Dependency</w:t>
            </w:r>
          </w:p>
        </w:tc>
        <w:tc>
          <w:tcPr/>
          <w:p>
            <w:pPr>
              <w:pStyle w:val="Compact"/>
            </w:pPr>
            <w:r>
              <w:t xml:space="preserve">Status</w:t>
            </w:r>
          </w:p>
        </w:tc>
      </w:tr>
      <w:tr>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High</w:t>
            </w:r>
          </w:p>
        </w:tc>
        <w:tc>
          <w:tcPr/>
          <w:p>
            <w:pPr>
              <w:pStyle w:val="Compact"/>
            </w:pPr>
            <w:r>
              <w:t xml:space="preserve">Q1-Q2</w:t>
            </w:r>
          </w:p>
        </w:tc>
        <w:tc>
          <w:tcPr/>
          <w:p>
            <w:pPr>
              <w:pStyle w:val="Compact"/>
            </w:pPr>
            <w:r>
              <w:t xml:space="preserve">Example</w:t>
            </w:r>
          </w:p>
        </w:tc>
        <w:tc>
          <w:tcPr/>
          <w:p>
            <w:pPr>
              <w:pStyle w:val="Compact"/>
            </w:pPr>
            <w:r>
              <w:t xml:space="preserve">Planned</w:t>
            </w:r>
          </w:p>
        </w:tc>
      </w:tr>
    </w:tbl>
    <w:bookmarkEnd w:id="83"/>
    <w:bookmarkEnd w:id="84"/>
    <w:bookmarkStart w:id="87" w:name="cross-framework-integration"/>
    <w:p>
      <w:pPr>
        <w:pStyle w:val="Heading1"/>
      </w:pPr>
      <w:r>
        <w:t xml:space="preserve">15. Cross-Framework Integration</w:t>
      </w:r>
    </w:p>
    <w:bookmarkStart w:id="85" w:name="relationship-to-other-frameworks"/>
    <w:p>
      <w:pPr>
        <w:pStyle w:val="Heading2"/>
      </w:pPr>
      <w:r>
        <w:t xml:space="preserve">15.1 Relationship to Other Frameworks</w:t>
      </w:r>
    </w:p>
    <w:p>
      <w:pPr>
        <w:pStyle w:val="FirstParagraph"/>
      </w:pPr>
      <w:r>
        <w:t xml:space="preserve">Describe how NIST CSF integrates with:</w:t>
      </w:r>
    </w:p>
    <w:p>
      <w:pPr>
        <w:pStyle w:val="Compact"/>
        <w:numPr>
          <w:ilvl w:val="0"/>
          <w:numId w:val="1035"/>
        </w:numPr>
      </w:pPr>
      <w:r>
        <w:t xml:space="preserve">ISO/IEC 27001</w:t>
      </w:r>
    </w:p>
    <w:p>
      <w:pPr>
        <w:pStyle w:val="Compact"/>
        <w:numPr>
          <w:ilvl w:val="0"/>
          <w:numId w:val="1035"/>
        </w:numPr>
      </w:pPr>
      <w:r>
        <w:t xml:space="preserve">NIS2</w:t>
      </w:r>
    </w:p>
    <w:p>
      <w:pPr>
        <w:pStyle w:val="Compact"/>
        <w:numPr>
          <w:ilvl w:val="0"/>
          <w:numId w:val="1035"/>
        </w:numPr>
      </w:pPr>
      <w:r>
        <w:t xml:space="preserve">DORA</w:t>
      </w:r>
    </w:p>
    <w:p>
      <w:pPr>
        <w:pStyle w:val="Compact"/>
        <w:numPr>
          <w:ilvl w:val="0"/>
          <w:numId w:val="1035"/>
        </w:numPr>
      </w:pPr>
      <w:r>
        <w:t xml:space="preserve">GDPR</w:t>
      </w:r>
    </w:p>
    <w:p>
      <w:pPr>
        <w:pStyle w:val="Compact"/>
        <w:numPr>
          <w:ilvl w:val="0"/>
          <w:numId w:val="1035"/>
        </w:numPr>
      </w:pPr>
      <w:r>
        <w:t xml:space="preserve">AI Act</w:t>
      </w:r>
    </w:p>
    <w:p>
      <w:pPr>
        <w:pStyle w:val="Compact"/>
        <w:numPr>
          <w:ilvl w:val="0"/>
          <w:numId w:val="1035"/>
        </w:numPr>
      </w:pPr>
      <w:r>
        <w:t xml:space="preserve">COBIT</w:t>
      </w:r>
    </w:p>
    <w:p>
      <w:pPr>
        <w:pStyle w:val="Compact"/>
        <w:numPr>
          <w:ilvl w:val="0"/>
          <w:numId w:val="1035"/>
        </w:numPr>
      </w:pPr>
      <w:r>
        <w:t xml:space="preserve">ITIL</w:t>
      </w:r>
    </w:p>
    <w:p>
      <w:pPr>
        <w:pStyle w:val="Compact"/>
        <w:numPr>
          <w:ilvl w:val="0"/>
          <w:numId w:val="1035"/>
        </w:numPr>
      </w:pPr>
      <w:r>
        <w:t xml:space="preserve">TOGAF</w:t>
      </w:r>
    </w:p>
    <w:p>
      <w:pPr>
        <w:pStyle w:val="Compact"/>
        <w:numPr>
          <w:ilvl w:val="0"/>
          <w:numId w:val="1035"/>
        </w:numPr>
      </w:pPr>
      <w:r>
        <w:t xml:space="preserve">enterprise risk management</w:t>
      </w:r>
    </w:p>
    <w:p>
      <w:pPr>
        <w:pStyle w:val="Compact"/>
        <w:numPr>
          <w:ilvl w:val="0"/>
          <w:numId w:val="1035"/>
        </w:numPr>
      </w:pPr>
      <w:r>
        <w:t xml:space="preserve">business continuity and operational resilience</w:t>
      </w:r>
    </w:p>
    <w:bookmarkEnd w:id="85"/>
    <w:bookmarkStart w:id="86" w:name="example-mapping-themes"/>
    <w:p>
      <w:pPr>
        <w:pStyle w:val="Heading2"/>
      </w:pPr>
      <w:r>
        <w:t xml:space="preserve">15.2 Example Mapping Themes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NIST CSF Theme</w:t>
            </w:r>
          </w:p>
        </w:tc>
        <w:tc>
          <w:tcPr/>
          <w:p>
            <w:pPr>
              <w:pStyle w:val="Compact"/>
            </w:pPr>
            <w:r>
              <w:t xml:space="preserve">Related Framework</w:t>
            </w:r>
          </w:p>
        </w:tc>
        <w:tc>
          <w:tcPr/>
          <w:p>
            <w:pPr>
              <w:pStyle w:val="Compact"/>
            </w:pPr>
            <w:r>
              <w:t xml:space="preserve">Integration Point</w:t>
            </w:r>
          </w:p>
        </w:tc>
      </w:tr>
      <w:tr>
        <w:tc>
          <w:tcPr/>
          <w:p>
            <w:pPr>
              <w:pStyle w:val="Compact"/>
            </w:pPr>
            <w:r>
              <w:t xml:space="preserve">Govern</w:t>
            </w:r>
          </w:p>
        </w:tc>
        <w:tc>
          <w:tcPr/>
          <w:p>
            <w:pPr>
              <w:pStyle w:val="Compact"/>
            </w:pPr>
            <w:r>
              <w:t xml:space="preserve">COBIT</w:t>
            </w:r>
          </w:p>
        </w:tc>
        <w:tc>
          <w:tcPr/>
          <w:p>
            <w:pPr>
              <w:pStyle w:val="Compact"/>
            </w:pPr>
            <w:r>
              <w:t xml:space="preserve">Governance objectives and accountability</w:t>
            </w:r>
          </w:p>
        </w:tc>
      </w:tr>
      <w:tr>
        <w:tc>
          <w:tcPr/>
          <w:p>
            <w:pPr>
              <w:pStyle w:val="Compact"/>
            </w:pPr>
            <w:r>
              <w:t xml:space="preserve">Risk management</w:t>
            </w:r>
          </w:p>
        </w:tc>
        <w:tc>
          <w:tcPr/>
          <w:p>
            <w:pPr>
              <w:pStyle w:val="Compact"/>
            </w:pPr>
            <w:r>
              <w:t xml:space="preserve">ISO 27001</w:t>
            </w:r>
          </w:p>
        </w:tc>
        <w:tc>
          <w:tcPr/>
          <w:p>
            <w:pPr>
              <w:pStyle w:val="Compact"/>
            </w:pPr>
            <w:r>
              <w:t xml:space="preserve">ISMS and risk treatment</w:t>
            </w:r>
          </w:p>
        </w:tc>
      </w:tr>
      <w:tr>
        <w:tc>
          <w:tcPr/>
          <w:p>
            <w:pPr>
              <w:pStyle w:val="Compact"/>
            </w:pPr>
            <w:r>
              <w:t xml:space="preserve">Detect / Respond / Recover</w:t>
            </w:r>
          </w:p>
        </w:tc>
        <w:tc>
          <w:tcPr/>
          <w:p>
            <w:pPr>
              <w:pStyle w:val="Compact"/>
            </w:pPr>
            <w:r>
              <w:t xml:space="preserve">NIS2 / DORA</w:t>
            </w:r>
          </w:p>
        </w:tc>
        <w:tc>
          <w:tcPr/>
          <w:p>
            <w:pPr>
              <w:pStyle w:val="Compact"/>
            </w:pPr>
            <w:r>
              <w:t xml:space="preserve">Incident management and resilience</w:t>
            </w:r>
          </w:p>
        </w:tc>
      </w:tr>
      <w:tr>
        <w:tc>
          <w:tcPr/>
          <w:p>
            <w:pPr>
              <w:pStyle w:val="Compact"/>
            </w:pPr>
            <w:r>
              <w:t xml:space="preserve">Service resilience</w:t>
            </w:r>
          </w:p>
        </w:tc>
        <w:tc>
          <w:tcPr/>
          <w:p>
            <w:pPr>
              <w:pStyle w:val="Compact"/>
            </w:pPr>
            <w:r>
              <w:t xml:space="preserve">ITIL</w:t>
            </w:r>
          </w:p>
        </w:tc>
        <w:tc>
          <w:tcPr/>
          <w:p>
            <w:pPr>
              <w:pStyle w:val="Compact"/>
            </w:pPr>
            <w:r>
              <w:t xml:space="preserve">Service continuity and operations</w:t>
            </w:r>
          </w:p>
        </w:tc>
      </w:tr>
      <w:tr>
        <w:tc>
          <w:tcPr/>
          <w:p>
            <w:pPr>
              <w:pStyle w:val="Compact"/>
            </w:pPr>
            <w:r>
              <w:t xml:space="preserve">Security architecture</w:t>
            </w:r>
          </w:p>
        </w:tc>
        <w:tc>
          <w:tcPr/>
          <w:p>
            <w:pPr>
              <w:pStyle w:val="Compact"/>
            </w:pPr>
            <w:r>
              <w:t xml:space="preserve">TOGAF</w:t>
            </w:r>
          </w:p>
        </w:tc>
        <w:tc>
          <w:tcPr/>
          <w:p>
            <w:pPr>
              <w:pStyle w:val="Compact"/>
            </w:pPr>
            <w:r>
              <w:t xml:space="preserve">Architecture governance and security viewpoints</w:t>
            </w:r>
          </w:p>
        </w:tc>
      </w:tr>
    </w:tbl>
    <w:bookmarkEnd w:id="86"/>
    <w:bookmarkEnd w:id="87"/>
    <w:bookmarkStart w:id="95" w:name="maturity-model"/>
    <w:p>
      <w:pPr>
        <w:pStyle w:val="Heading1"/>
      </w:pPr>
      <w:r>
        <w:t xml:space="preserve">16. Maturity Model</w:t>
      </w:r>
    </w:p>
    <w:bookmarkStart w:id="93" w:name="suggested-maturity-levels"/>
    <w:p>
      <w:pPr>
        <w:pStyle w:val="Heading2"/>
      </w:pPr>
      <w:r>
        <w:t xml:space="preserve">16.1 Suggested Maturity Levels</w:t>
      </w:r>
    </w:p>
    <w:bookmarkStart w:id="88" w:name="level-1-initial"/>
    <w:p>
      <w:pPr>
        <w:pStyle w:val="Heading3"/>
      </w:pPr>
      <w:r>
        <w:t xml:space="preserve">16.1.1 Level 1: Initial</w:t>
      </w:r>
    </w:p>
    <w:p>
      <w:pPr>
        <w:pStyle w:val="FirstParagraph"/>
      </w:pPr>
      <w:r>
        <w:t xml:space="preserve">Cybersecurity activities are reactive, fragmented, and poorly governed.</w:t>
      </w:r>
    </w:p>
    <w:bookmarkEnd w:id="88"/>
    <w:bookmarkStart w:id="89" w:name="level-2-repeatable"/>
    <w:p>
      <w:pPr>
        <w:pStyle w:val="Heading3"/>
      </w:pPr>
      <w:r>
        <w:t xml:space="preserve">16.1.2 Level 2: Repeatable</w:t>
      </w:r>
    </w:p>
    <w:p>
      <w:pPr>
        <w:pStyle w:val="FirstParagraph"/>
      </w:pPr>
      <w:r>
        <w:t xml:space="preserve">Basic practices exist but are inconsistently applied across the enterprise.</w:t>
      </w:r>
    </w:p>
    <w:bookmarkEnd w:id="89"/>
    <w:bookmarkStart w:id="90" w:name="level-3-defined"/>
    <w:p>
      <w:pPr>
        <w:pStyle w:val="Heading3"/>
      </w:pPr>
      <w:r>
        <w:t xml:space="preserve">16.1.3 Level 3: Defined</w:t>
      </w:r>
    </w:p>
    <w:p>
      <w:pPr>
        <w:pStyle w:val="FirstParagraph"/>
      </w:pPr>
      <w:r>
        <w:t xml:space="preserve">Profiles, roles, controls, and processes are documented and broadly implemented.</w:t>
      </w:r>
    </w:p>
    <w:bookmarkEnd w:id="90"/>
    <w:bookmarkStart w:id="91" w:name="level-4-managed"/>
    <w:p>
      <w:pPr>
        <w:pStyle w:val="Heading3"/>
      </w:pPr>
      <w:r>
        <w:t xml:space="preserve">16.1.4 Level 4: Managed</w:t>
      </w:r>
    </w:p>
    <w:p>
      <w:pPr>
        <w:pStyle w:val="FirstParagraph"/>
      </w:pPr>
      <w:r>
        <w:t xml:space="preserve">Cybersecurity activities are measured, risk-based, and regularly reviewed by leadership.</w:t>
      </w:r>
    </w:p>
    <w:bookmarkEnd w:id="91"/>
    <w:bookmarkStart w:id="92" w:name="level-5-optimised"/>
    <w:p>
      <w:pPr>
        <w:pStyle w:val="Heading3"/>
      </w:pPr>
      <w:r>
        <w:t xml:space="preserve">16.1.5 Level 5: Optimised</w:t>
      </w:r>
    </w:p>
    <w:p>
      <w:pPr>
        <w:pStyle w:val="FirstParagraph"/>
      </w:pPr>
      <w:r>
        <w:t xml:space="preserve">Cybersecurity is integrated into enterprise governance, architecture, operations, and resilience with continuous improvement and strong evidence.</w:t>
      </w:r>
    </w:p>
    <w:bookmarkEnd w:id="92"/>
    <w:bookmarkEnd w:id="93"/>
    <w:bookmarkStart w:id="94" w:name="assessment-dimensions"/>
    <w:p>
      <w:pPr>
        <w:pStyle w:val="Heading2"/>
      </w:pPr>
      <w:r>
        <w:t xml:space="preserve">16.2 Assessment Dimensions</w:t>
      </w:r>
    </w:p>
    <w:p>
      <w:pPr>
        <w:pStyle w:val="Compact"/>
        <w:numPr>
          <w:ilvl w:val="0"/>
          <w:numId w:val="1036"/>
        </w:numPr>
      </w:pPr>
      <w:r>
        <w:t xml:space="preserve">governance</w:t>
      </w:r>
    </w:p>
    <w:p>
      <w:pPr>
        <w:pStyle w:val="Compact"/>
        <w:numPr>
          <w:ilvl w:val="0"/>
          <w:numId w:val="1036"/>
        </w:numPr>
      </w:pPr>
      <w:r>
        <w:t xml:space="preserve">asset visibility</w:t>
      </w:r>
    </w:p>
    <w:p>
      <w:pPr>
        <w:pStyle w:val="Compact"/>
        <w:numPr>
          <w:ilvl w:val="0"/>
          <w:numId w:val="1036"/>
        </w:numPr>
      </w:pPr>
      <w:r>
        <w:t xml:space="preserve">protection capability</w:t>
      </w:r>
    </w:p>
    <w:p>
      <w:pPr>
        <w:pStyle w:val="Compact"/>
        <w:numPr>
          <w:ilvl w:val="0"/>
          <w:numId w:val="1036"/>
        </w:numPr>
      </w:pPr>
      <w:r>
        <w:t xml:space="preserve">detection capability</w:t>
      </w:r>
    </w:p>
    <w:p>
      <w:pPr>
        <w:pStyle w:val="Compact"/>
        <w:numPr>
          <w:ilvl w:val="0"/>
          <w:numId w:val="1036"/>
        </w:numPr>
      </w:pPr>
      <w:r>
        <w:t xml:space="preserve">incident response</w:t>
      </w:r>
    </w:p>
    <w:p>
      <w:pPr>
        <w:pStyle w:val="Compact"/>
        <w:numPr>
          <w:ilvl w:val="0"/>
          <w:numId w:val="1036"/>
        </w:numPr>
      </w:pPr>
      <w:r>
        <w:t xml:space="preserve">recovery readiness</w:t>
      </w:r>
    </w:p>
    <w:p>
      <w:pPr>
        <w:pStyle w:val="Compact"/>
        <w:numPr>
          <w:ilvl w:val="0"/>
          <w:numId w:val="1036"/>
        </w:numPr>
      </w:pPr>
      <w:r>
        <w:t xml:space="preserve">third-party assurance</w:t>
      </w:r>
    </w:p>
    <w:p>
      <w:pPr>
        <w:pStyle w:val="Compact"/>
        <w:numPr>
          <w:ilvl w:val="0"/>
          <w:numId w:val="1036"/>
        </w:numPr>
      </w:pPr>
      <w:r>
        <w:t xml:space="preserve">metrics and reporting</w:t>
      </w:r>
    </w:p>
    <w:p>
      <w:pPr>
        <w:pStyle w:val="Compact"/>
        <w:numPr>
          <w:ilvl w:val="0"/>
          <w:numId w:val="1036"/>
        </w:numPr>
      </w:pPr>
      <w:r>
        <w:t xml:space="preserve">control assurance</w:t>
      </w:r>
    </w:p>
    <w:p>
      <w:pPr>
        <w:pStyle w:val="Compact"/>
        <w:numPr>
          <w:ilvl w:val="0"/>
          <w:numId w:val="1036"/>
        </w:numPr>
      </w:pPr>
      <w:r>
        <w:t xml:space="preserve">improvement discipline</w:t>
      </w:r>
    </w:p>
    <w:bookmarkEnd w:id="94"/>
    <w:bookmarkEnd w:id="95"/>
    <w:bookmarkStart w:id="97" w:name="practical-templates"/>
    <w:p>
      <w:pPr>
        <w:pStyle w:val="Heading1"/>
      </w:pPr>
      <w:r>
        <w:t xml:space="preserve">17. Practical Templates</w:t>
      </w:r>
    </w:p>
    <w:bookmarkStart w:id="96" w:name="suggested-appendices"/>
    <w:p>
      <w:pPr>
        <w:pStyle w:val="Heading2"/>
      </w:pPr>
      <w:r>
        <w:t xml:space="preserve">17.1 Suggested Appendices</w:t>
      </w:r>
    </w:p>
    <w:p>
      <w:pPr>
        <w:pStyle w:val="Compact"/>
        <w:numPr>
          <w:ilvl w:val="0"/>
          <w:numId w:val="1037"/>
        </w:numPr>
      </w:pPr>
      <w:r>
        <w:t xml:space="preserve">Appendix A: Current Profile template</w:t>
      </w:r>
    </w:p>
    <w:p>
      <w:pPr>
        <w:pStyle w:val="Compact"/>
        <w:numPr>
          <w:ilvl w:val="0"/>
          <w:numId w:val="1037"/>
        </w:numPr>
      </w:pPr>
      <w:r>
        <w:t xml:space="preserve">Appendix B: Target Profile template</w:t>
      </w:r>
    </w:p>
    <w:p>
      <w:pPr>
        <w:pStyle w:val="Compact"/>
        <w:numPr>
          <w:ilvl w:val="0"/>
          <w:numId w:val="1037"/>
        </w:numPr>
      </w:pPr>
      <w:r>
        <w:t xml:space="preserve">Appendix C: Gap assessment template</w:t>
      </w:r>
    </w:p>
    <w:p>
      <w:pPr>
        <w:pStyle w:val="Compact"/>
        <w:numPr>
          <w:ilvl w:val="0"/>
          <w:numId w:val="1037"/>
        </w:numPr>
      </w:pPr>
      <w:r>
        <w:t xml:space="preserve">Appendix D: Cyber risk register</w:t>
      </w:r>
    </w:p>
    <w:p>
      <w:pPr>
        <w:pStyle w:val="Compact"/>
        <w:numPr>
          <w:ilvl w:val="0"/>
          <w:numId w:val="1037"/>
        </w:numPr>
      </w:pPr>
      <w:r>
        <w:t xml:space="preserve">Appendix E: Cybersecurity control catalogue</w:t>
      </w:r>
    </w:p>
    <w:p>
      <w:pPr>
        <w:pStyle w:val="Compact"/>
        <w:numPr>
          <w:ilvl w:val="0"/>
          <w:numId w:val="1037"/>
        </w:numPr>
      </w:pPr>
      <w:r>
        <w:t xml:space="preserve">Appendix F: Incident playbook template</w:t>
      </w:r>
    </w:p>
    <w:p>
      <w:pPr>
        <w:pStyle w:val="Compact"/>
        <w:numPr>
          <w:ilvl w:val="0"/>
          <w:numId w:val="1037"/>
        </w:numPr>
      </w:pPr>
      <w:r>
        <w:t xml:space="preserve">Appendix G: Recovery exercise template</w:t>
      </w:r>
    </w:p>
    <w:p>
      <w:pPr>
        <w:pStyle w:val="Compact"/>
        <w:numPr>
          <w:ilvl w:val="0"/>
          <w:numId w:val="1037"/>
        </w:numPr>
      </w:pPr>
      <w:r>
        <w:t xml:space="preserve">Appendix H: NIST CSF RACI matrix</w:t>
      </w:r>
    </w:p>
    <w:bookmarkEnd w:id="96"/>
    <w:bookmarkEnd w:id="97"/>
    <w:bookmarkStart w:id="98" w:name="customisation-notes"/>
    <w:p>
      <w:pPr>
        <w:pStyle w:val="Heading1"/>
      </w:pPr>
      <w:r>
        <w:t xml:space="preserve">18. Customisation Notes</w:t>
      </w:r>
    </w:p>
    <w:p>
      <w:pPr>
        <w:pStyle w:val="FirstParagraph"/>
      </w:pPr>
      <w:r>
        <w:t xml:space="preserve">This template should be tailored to reflect:</w:t>
      </w:r>
    </w:p>
    <w:p>
      <w:pPr>
        <w:pStyle w:val="Compact"/>
        <w:numPr>
          <w:ilvl w:val="0"/>
          <w:numId w:val="1038"/>
        </w:numPr>
      </w:pPr>
      <w:r>
        <w:t xml:space="preserve">organisational structure</w:t>
      </w:r>
    </w:p>
    <w:p>
      <w:pPr>
        <w:pStyle w:val="Compact"/>
        <w:numPr>
          <w:ilvl w:val="0"/>
          <w:numId w:val="1038"/>
        </w:numPr>
      </w:pPr>
      <w:r>
        <w:t xml:space="preserve">sector and regulatory environment</w:t>
      </w:r>
    </w:p>
    <w:p>
      <w:pPr>
        <w:pStyle w:val="Compact"/>
        <w:numPr>
          <w:ilvl w:val="0"/>
          <w:numId w:val="1038"/>
        </w:numPr>
      </w:pPr>
      <w:r>
        <w:t xml:space="preserve">critical business services</w:t>
      </w:r>
    </w:p>
    <w:p>
      <w:pPr>
        <w:pStyle w:val="Compact"/>
        <w:numPr>
          <w:ilvl w:val="0"/>
          <w:numId w:val="1038"/>
        </w:numPr>
      </w:pPr>
      <w:r>
        <w:t xml:space="preserve">threat landscape</w:t>
      </w:r>
    </w:p>
    <w:p>
      <w:pPr>
        <w:pStyle w:val="Compact"/>
        <w:numPr>
          <w:ilvl w:val="0"/>
          <w:numId w:val="1038"/>
        </w:numPr>
      </w:pPr>
      <w:r>
        <w:t xml:space="preserve">sourcing and third-party model</w:t>
      </w:r>
    </w:p>
    <w:p>
      <w:pPr>
        <w:pStyle w:val="Compact"/>
        <w:numPr>
          <w:ilvl w:val="0"/>
          <w:numId w:val="1038"/>
        </w:numPr>
      </w:pPr>
      <w:r>
        <w:t xml:space="preserve">cloud and technology estate</w:t>
      </w:r>
    </w:p>
    <w:p>
      <w:pPr>
        <w:pStyle w:val="Compact"/>
        <w:numPr>
          <w:ilvl w:val="0"/>
          <w:numId w:val="1038"/>
        </w:numPr>
      </w:pPr>
      <w:r>
        <w:t xml:space="preserve">maturity level</w:t>
      </w:r>
    </w:p>
    <w:p>
      <w:pPr>
        <w:pStyle w:val="Compact"/>
        <w:numPr>
          <w:ilvl w:val="0"/>
          <w:numId w:val="1038"/>
        </w:numPr>
      </w:pPr>
      <w:r>
        <w:t xml:space="preserve">assurance expectations</w:t>
      </w:r>
    </w:p>
    <w:p>
      <w:pPr>
        <w:pStyle w:val="Compact"/>
        <w:numPr>
          <w:ilvl w:val="0"/>
          <w:numId w:val="1038"/>
        </w:numPr>
      </w:pPr>
      <w:r>
        <w:t xml:space="preserve">operating model and budget constraints</w:t>
      </w:r>
    </w:p>
    <w:bookmarkEnd w:id="98"/>
    <w:bookmarkStart w:id="99" w:name="references"/>
    <w:p>
      <w:pPr>
        <w:pStyle w:val="Heading1"/>
      </w:pPr>
      <w:r>
        <w:t xml:space="preserve">19. References</w:t>
      </w:r>
    </w:p>
    <w:p>
      <w:pPr>
        <w:pStyle w:val="FirstParagraph"/>
      </w:pPr>
      <w:r>
        <w:t xml:space="preserve">Add authoritative references here, for example:</w:t>
      </w:r>
    </w:p>
    <w:p>
      <w:pPr>
        <w:pStyle w:val="Compact"/>
        <w:numPr>
          <w:ilvl w:val="0"/>
          <w:numId w:val="1039"/>
        </w:numPr>
      </w:pPr>
      <w:r>
        <w:t xml:space="preserve">NIST Cybersecurity Framework 2.0</w:t>
      </w:r>
    </w:p>
    <w:p>
      <w:pPr>
        <w:pStyle w:val="Compact"/>
        <w:numPr>
          <w:ilvl w:val="0"/>
          <w:numId w:val="1039"/>
        </w:numPr>
      </w:pPr>
      <w:r>
        <w:t xml:space="preserve">NIST SP 1299 Resource and Overview Guide</w:t>
      </w:r>
    </w:p>
    <w:p>
      <w:pPr>
        <w:pStyle w:val="Compact"/>
        <w:numPr>
          <w:ilvl w:val="0"/>
          <w:numId w:val="1039"/>
        </w:numPr>
      </w:pPr>
      <w:r>
        <w:t xml:space="preserve">NIST CSF Profiles guidance</w:t>
      </w:r>
    </w:p>
    <w:p>
      <w:pPr>
        <w:pStyle w:val="Compact"/>
        <w:numPr>
          <w:ilvl w:val="0"/>
          <w:numId w:val="1039"/>
        </w:numPr>
      </w:pPr>
      <w:r>
        <w:t xml:space="preserve">NIST CSF Tiers guidance</w:t>
      </w:r>
    </w:p>
    <w:p>
      <w:pPr>
        <w:pStyle w:val="Compact"/>
        <w:numPr>
          <w:ilvl w:val="0"/>
          <w:numId w:val="1039"/>
        </w:numPr>
      </w:pPr>
      <w:r>
        <w:t xml:space="preserve">NIST incident response guidance</w:t>
      </w:r>
    </w:p>
    <w:p>
      <w:pPr>
        <w:pStyle w:val="Compact"/>
        <w:numPr>
          <w:ilvl w:val="0"/>
          <w:numId w:val="1039"/>
        </w:numPr>
      </w:pPr>
      <w:r>
        <w:t xml:space="preserve">internal cybersecurity policies and standards</w:t>
      </w:r>
    </w:p>
    <w:p>
      <w:pPr>
        <w:pStyle w:val="Compact"/>
        <w:numPr>
          <w:ilvl w:val="0"/>
          <w:numId w:val="1039"/>
        </w:numPr>
      </w:pPr>
      <w:r>
        <w:t xml:space="preserve">enterprise risk framework</w:t>
      </w:r>
    </w:p>
    <w:p>
      <w:pPr>
        <w:pStyle w:val="Compact"/>
        <w:numPr>
          <w:ilvl w:val="0"/>
          <w:numId w:val="1039"/>
        </w:numPr>
      </w:pPr>
      <w:r>
        <w:t xml:space="preserve">architecture and resilience standards</w:t>
      </w:r>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Cybersecurity Framework</dc:title>
  <dc:creator>Joao Luiz D’Andrea</dc:creator>
  <cp:keywords/>
  <dcterms:created xsi:type="dcterms:W3CDTF">2026-03-28T23:39:26Z</dcterms:created>
  <dcterms:modified xsi:type="dcterms:W3CDTF">2026-03-28T23:39:26Z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field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subtitle">
    <vt:lpwstr>Governance, Risk, Controls, and Implementation Template</vt:lpwstr>
  </property>
  <property fmtid="{D5CDD505-2E9C-101B-9397-08002B2CF9AE}" pid="14" name="title-block-banner">
    <vt:lpwstr>True</vt:lpwstr>
  </property>
  <property fmtid="{D5CDD505-2E9C-101B-9397-08002B2CF9AE}" pid="15" name="toc-title">
    <vt:lpwstr>Table of contents</vt:lpwstr>
  </property>
</Properties>
</file>