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Default="009650B8" w:rsidP="009650B8">
      <w:pPr>
        <w:pStyle w:val="Default"/>
        <w:jc w:val="right"/>
      </w:pPr>
    </w:p>
    <w:p w14:paraId="12EF1F7A" w14:textId="0EC69AEC" w:rsidR="009650B8" w:rsidRDefault="009650B8" w:rsidP="009650B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Jean-Loup Bergeron, 20134672</w:t>
      </w:r>
    </w:p>
    <w:p w14:paraId="7580BC68" w14:textId="743210EB" w:rsidR="007A189F" w:rsidRDefault="009650B8" w:rsidP="009650B8">
      <w:pPr>
        <w:jc w:val="right"/>
      </w:pPr>
      <w:r>
        <w:t>Antoine Gauthier-Drapeau, 20162765</w:t>
      </w:r>
    </w:p>
    <w:p w14:paraId="33D73273" w14:textId="77777777" w:rsidR="009650B8" w:rsidRDefault="009650B8" w:rsidP="009650B8">
      <w:pPr>
        <w:jc w:val="center"/>
        <w:rPr>
          <w:b/>
          <w:bCs/>
          <w:sz w:val="28"/>
          <w:szCs w:val="28"/>
        </w:rPr>
      </w:pPr>
    </w:p>
    <w:p w14:paraId="3FC0089F" w14:textId="61B728E9" w:rsidR="009650B8" w:rsidRDefault="009650B8" w:rsidP="00965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TP4</w:t>
      </w:r>
    </w:p>
    <w:p w14:paraId="5C43FE1F" w14:textId="58902C31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9650B8">
        <w:rPr>
          <w:sz w:val="24"/>
          <w:szCs w:val="24"/>
          <w:u w:val="single"/>
        </w:rPr>
        <w:t>Test</w:t>
      </w:r>
      <w:r>
        <w:rPr>
          <w:sz w:val="24"/>
          <w:szCs w:val="24"/>
          <w:u w:val="single"/>
        </w:rPr>
        <w:t>s</w:t>
      </w:r>
      <w:r w:rsidRPr="009650B8">
        <w:rPr>
          <w:sz w:val="24"/>
          <w:szCs w:val="24"/>
          <w:u w:val="single"/>
        </w:rPr>
        <w:t xml:space="preserve"> boite noire</w:t>
      </w:r>
    </w:p>
    <w:p w14:paraId="2DFC43AC" w14:textId="0F250384" w:rsidR="009650B8" w:rsidRDefault="00954148" w:rsidP="009650B8">
      <w:pPr>
        <w:pStyle w:val="Paragraphedeliste"/>
      </w:pPr>
      <w:r>
        <w:t xml:space="preserve">En supposant que le code accepte seulement les devises </w:t>
      </w:r>
      <w:r w:rsidRPr="00954148">
        <w:t>USD, CAD, GBP, EUR, CHF, INR</w:t>
      </w:r>
      <w:r>
        <w:t xml:space="preserve"> et</w:t>
      </w:r>
      <w:r w:rsidRPr="00954148">
        <w:t xml:space="preserve"> AUD</w:t>
      </w:r>
      <w:r>
        <w:t xml:space="preserve"> ainsi qu’uniquement les montants entre 0 et 10 000, nous en </w:t>
      </w:r>
      <w:r w:rsidR="00B656D2">
        <w:t>déduisons</w:t>
      </w:r>
      <w:r>
        <w:t xml:space="preserve"> ces hypothèses.  </w:t>
      </w:r>
    </w:p>
    <w:p w14:paraId="1A04888A" w14:textId="77777777" w:rsidR="00B656D2" w:rsidRDefault="00B656D2" w:rsidP="009650B8">
      <w:pPr>
        <w:pStyle w:val="Paragraphedeliste"/>
      </w:pPr>
    </w:p>
    <w:p w14:paraId="04C01280" w14:textId="76EE9B23" w:rsidR="009650B8" w:rsidRDefault="00B656D2" w:rsidP="009650B8">
      <w:pPr>
        <w:pStyle w:val="Paragraphedeliste"/>
      </w:pPr>
      <w:r w:rsidRPr="00202888">
        <w:rPr>
          <w:u w:val="single"/>
        </w:rPr>
        <w:t>Hypothèse 1</w:t>
      </w:r>
      <w:r>
        <w:t> : La conversion d’un montant d’une devise x à une devise y suivit par la conversion du nouveau montant en devise y à la devise x devrait donner le montant initial.</w:t>
      </w:r>
    </w:p>
    <w:p w14:paraId="6F29CD30" w14:textId="31B1A09A" w:rsidR="00B656D2" w:rsidRDefault="00B656D2" w:rsidP="009650B8">
      <w:pPr>
        <w:pStyle w:val="Paragraphedeliste"/>
      </w:pPr>
    </w:p>
    <w:p w14:paraId="066AF8A9" w14:textId="37816391" w:rsidR="00B656D2" w:rsidRDefault="00B656D2" w:rsidP="009650B8">
      <w:pPr>
        <w:pStyle w:val="Paragraphedeliste"/>
      </w:pPr>
      <w:r w:rsidRPr="00202888">
        <w:rPr>
          <w:u w:val="single"/>
        </w:rPr>
        <w:t xml:space="preserve">Hypothèse </w:t>
      </w:r>
      <w:r w:rsidR="003106AC" w:rsidRPr="00202888">
        <w:rPr>
          <w:u w:val="single"/>
        </w:rPr>
        <w:t>2</w:t>
      </w:r>
      <w:r>
        <w:t xml:space="preserve"> : La conversion d’un montant de devise x vers une devise non connu y devrait </w:t>
      </w:r>
      <w:r w:rsidR="003106AC">
        <w:t>renvoyer un message d’écrivant l’erreur.</w:t>
      </w:r>
    </w:p>
    <w:p w14:paraId="5FE4B861" w14:textId="79D57AA7" w:rsidR="003106AC" w:rsidRDefault="003106AC" w:rsidP="009650B8">
      <w:pPr>
        <w:pStyle w:val="Paragraphedeliste"/>
      </w:pPr>
    </w:p>
    <w:p w14:paraId="0DCF55BA" w14:textId="5CF7CDF4" w:rsidR="003106AC" w:rsidRDefault="003106AC" w:rsidP="009650B8">
      <w:pPr>
        <w:pStyle w:val="Paragraphedeliste"/>
      </w:pPr>
      <w:r w:rsidRPr="00202888">
        <w:rPr>
          <w:u w:val="single"/>
        </w:rPr>
        <w:t>Hypothèse 3</w:t>
      </w:r>
      <w:r>
        <w:t xml:space="preserve"> : Les paramètres « from » et « to » de la fonction « devrait » être limité à trois charactères. Dans le cas d’une entré plus grande ou plus petite que 3, la fonction devrait renvoyer </w:t>
      </w:r>
      <w:r w:rsidR="00C74692">
        <w:t>un montant Null</w:t>
      </w:r>
      <w:r>
        <w:t>.</w:t>
      </w:r>
    </w:p>
    <w:p w14:paraId="5112C23A" w14:textId="57B1FFE3" w:rsidR="003106AC" w:rsidRDefault="003106AC" w:rsidP="009650B8">
      <w:pPr>
        <w:pStyle w:val="Paragraphedeliste"/>
      </w:pPr>
    </w:p>
    <w:p w14:paraId="62B298FB" w14:textId="31EDED46" w:rsidR="003106AC" w:rsidRDefault="003106AC" w:rsidP="009650B8">
      <w:pPr>
        <w:pStyle w:val="Paragraphedeliste"/>
      </w:pPr>
      <w:r w:rsidRPr="00202888">
        <w:rPr>
          <w:u w:val="single"/>
        </w:rPr>
        <w:t>Hypothèse 4</w:t>
      </w:r>
      <w:r>
        <w:t xml:space="preserve"> : Un montant inférieur à 0 serait supposé de renvoyer un </w:t>
      </w:r>
      <w:r w:rsidR="00897F22">
        <w:t>montant Null</w:t>
      </w:r>
      <w:r w:rsidR="00022AF1">
        <w:t>.</w:t>
      </w:r>
    </w:p>
    <w:p w14:paraId="417CB8C9" w14:textId="68C9D2CE" w:rsidR="003106AC" w:rsidRDefault="003106AC" w:rsidP="009650B8">
      <w:pPr>
        <w:pStyle w:val="Paragraphedeliste"/>
      </w:pPr>
    </w:p>
    <w:p w14:paraId="64411DFF" w14:textId="1AB52234" w:rsidR="003106AC" w:rsidRDefault="003106AC" w:rsidP="003106AC">
      <w:pPr>
        <w:pStyle w:val="Paragraphedeliste"/>
      </w:pPr>
      <w:r w:rsidRPr="00202888">
        <w:rPr>
          <w:u w:val="single"/>
        </w:rPr>
        <w:t>Hypothèse 5</w:t>
      </w:r>
      <w:r>
        <w:t xml:space="preserve"> : Un montant supérieur à 10 000 devrait renvoyer </w:t>
      </w:r>
      <w:r w:rsidR="00897F22">
        <w:t>un montant Null</w:t>
      </w:r>
      <w:r w:rsidR="00022AF1">
        <w:t>.</w:t>
      </w:r>
    </w:p>
    <w:p w14:paraId="68F57994" w14:textId="2C46145C" w:rsidR="003106AC" w:rsidRDefault="003106AC" w:rsidP="003106AC">
      <w:pPr>
        <w:pStyle w:val="Paragraphedeliste"/>
      </w:pPr>
    </w:p>
    <w:p w14:paraId="1787CEFD" w14:textId="710277F5" w:rsidR="003106AC" w:rsidRDefault="003106AC" w:rsidP="003106AC">
      <w:pPr>
        <w:pStyle w:val="Paragraphedeliste"/>
      </w:pPr>
      <w:r w:rsidRPr="00202888">
        <w:rPr>
          <w:u w:val="single"/>
        </w:rPr>
        <w:t>Hypothèse 6</w:t>
      </w:r>
      <w:r>
        <w:t> : Un montant égal à 0 ou égal à 10 000 devrait être accepté</w:t>
      </w:r>
      <w:r w:rsidR="00022AF1">
        <w:t xml:space="preserve"> et convertit</w:t>
      </w:r>
      <w:r>
        <w:t xml:space="preserve">. </w:t>
      </w:r>
    </w:p>
    <w:p w14:paraId="3029D04E" w14:textId="4F290C9D" w:rsidR="003106AC" w:rsidRDefault="003106AC" w:rsidP="003106AC">
      <w:pPr>
        <w:pStyle w:val="Paragraphedeliste"/>
      </w:pPr>
    </w:p>
    <w:p w14:paraId="74D5B96D" w14:textId="358031C8" w:rsidR="003106AC" w:rsidRDefault="003106AC" w:rsidP="003106AC">
      <w:pPr>
        <w:pStyle w:val="Paragraphedeliste"/>
      </w:pPr>
      <w:r w:rsidRPr="00202888">
        <w:rPr>
          <w:u w:val="single"/>
        </w:rPr>
        <w:t>Hypothèse 7</w:t>
      </w:r>
      <w:r>
        <w:t xml:space="preserve"> : Un montant z convertit à partir d’un montant x &lt;= 10 000 ne devrait pas être re-convertissable comme l’hypothèse 1 le décrit. </w:t>
      </w:r>
      <w:r w:rsidR="003A38F6">
        <w:t>Un montant Null devrait être retourné.</w:t>
      </w:r>
    </w:p>
    <w:p w14:paraId="363C791E" w14:textId="4CC91AD5" w:rsidR="003106AC" w:rsidRPr="003106AC" w:rsidRDefault="003106AC" w:rsidP="003106AC"/>
    <w:p w14:paraId="24C9E413" w14:textId="77777777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1C2D2509" w14:textId="78F1ED26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boite blanche</w:t>
      </w:r>
    </w:p>
    <w:p w14:paraId="7423C2E9" w14:textId="4559AC3C" w:rsidR="003E30CE" w:rsidRDefault="00420055" w:rsidP="003E30CE">
      <w:pPr>
        <w:pStyle w:val="Paragraphedeliste"/>
      </w:pPr>
      <w:r>
        <w:t>La fonction « convert() » se défini comme suit :</w:t>
      </w:r>
    </w:p>
    <w:p w14:paraId="1C3141BB" w14:textId="77777777" w:rsidR="00302F1F" w:rsidRDefault="00302F1F" w:rsidP="003E30CE">
      <w:pPr>
        <w:pStyle w:val="Paragraphedeliste"/>
      </w:pPr>
    </w:p>
    <w:p w14:paraId="61A3DE52" w14:textId="1938CD91" w:rsidR="00420055" w:rsidRPr="001D5C3A" w:rsidRDefault="001061EC" w:rsidP="001D5C3A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amout , from , to , conversion</m:t>
              </m:r>
            </m:e>
          </m:d>
        </m:oMath>
      </m:oMathPara>
    </w:p>
    <w:p w14:paraId="052EB2FD" w14:textId="77777777" w:rsidR="00302F1F" w:rsidRPr="00420055" w:rsidRDefault="00302F1F" w:rsidP="003E30CE">
      <w:pPr>
        <w:pStyle w:val="Paragraphedeliste"/>
      </w:pPr>
    </w:p>
    <w:p w14:paraId="765E8779" w14:textId="0708DDD6" w:rsidR="00420055" w:rsidRDefault="00420055" w:rsidP="003E30CE">
      <w:pPr>
        <w:pStyle w:val="Paragraphedeliste"/>
      </w:pPr>
      <w:r>
        <w:t xml:space="preserve">Et </w:t>
      </w:r>
      <w:r w:rsidR="00302F1F">
        <w:t>ce sont</w:t>
      </w:r>
      <w:r>
        <w:t xml:space="preserve"> ces termes que nous utiliserons pour la suite. </w:t>
      </w:r>
    </w:p>
    <w:p w14:paraId="7A331781" w14:textId="4A4F0D3B" w:rsidR="00BC450B" w:rsidRDefault="00BC450B" w:rsidP="003E30CE">
      <w:pPr>
        <w:pStyle w:val="Paragraphedeliste"/>
      </w:pPr>
      <w:r>
        <w:t>Nous utiliserons aussi la fonction « containsKey() » utilisé comme suit:</w:t>
      </w:r>
    </w:p>
    <w:p w14:paraId="2F2CC40B" w14:textId="77777777" w:rsidR="00BC450B" w:rsidRDefault="00BC450B" w:rsidP="003E30CE">
      <w:pPr>
        <w:pStyle w:val="Paragraphedeliste"/>
      </w:pPr>
    </w:p>
    <w:p w14:paraId="16CBEBD1" w14:textId="1A0C25CE" w:rsidR="00BC450B" w:rsidRPr="00BC450B" w:rsidRDefault="00BC450B" w:rsidP="003E30C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conversion.getRates.containsKey(value)</m:t>
          </m:r>
        </m:oMath>
      </m:oMathPara>
    </w:p>
    <w:p w14:paraId="5F130269" w14:textId="77777777" w:rsidR="00BC450B" w:rsidRPr="00BC450B" w:rsidRDefault="00BC450B" w:rsidP="003E30CE">
      <w:pPr>
        <w:pStyle w:val="Paragraphedeliste"/>
        <w:rPr>
          <w:rFonts w:eastAsiaTheme="minorEastAsia"/>
        </w:rPr>
      </w:pPr>
    </w:p>
    <w:p w14:paraId="5932D808" w14:textId="77777777" w:rsidR="00420055" w:rsidRPr="00420055" w:rsidRDefault="00420055" w:rsidP="00FE77F1"/>
    <w:p w14:paraId="6D9B9F32" w14:textId="1AA19F9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Critère de couverture des instructions :</w:t>
      </w:r>
    </w:p>
    <w:p w14:paraId="4574E994" w14:textId="57156C22" w:rsidR="00202888" w:rsidRDefault="00CB530D" w:rsidP="00202888">
      <w:pPr>
        <w:pStyle w:val="Paragraphedeliste"/>
        <w:ind w:left="1080"/>
      </w:pPr>
      <w:r>
        <w:t xml:space="preserve">Ici on veut sélectionner un jeu de test qui nous permet </w:t>
      </w:r>
      <w:r w:rsidR="00420055">
        <w:t xml:space="preserve">d’exécuter chaque instruction au moins une fois. Pour constituer les jeux de test, on regroupe dans des classes Di les éléments du domaine d’entrée D qui activent les mêmes instructions. </w:t>
      </w:r>
    </w:p>
    <w:p w14:paraId="6BE233BC" w14:textId="77777777" w:rsidR="00FE77F1" w:rsidRDefault="00FE77F1" w:rsidP="00202888">
      <w:pPr>
        <w:pStyle w:val="Paragraphedeliste"/>
        <w:ind w:left="1080"/>
      </w:pPr>
    </w:p>
    <w:p w14:paraId="25256FDC" w14:textId="52AD9BE4" w:rsidR="00420055" w:rsidRPr="00FE77F1" w:rsidRDefault="00E947D6" w:rsidP="00202888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D1: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conversion.getRates.containsKey(from)</m:t>
                  </m:r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to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4957CD3A" w14:textId="77777777" w:rsidR="00FE77F1" w:rsidRPr="00FE77F1" w:rsidRDefault="00FE77F1" w:rsidP="00202888">
      <w:pPr>
        <w:pStyle w:val="Paragraphedeliste"/>
        <w:ind w:left="1080"/>
        <w:rPr>
          <w:rFonts w:eastAsiaTheme="minorEastAsia"/>
        </w:rPr>
      </w:pPr>
    </w:p>
    <w:p w14:paraId="03D5040B" w14:textId="2CA9DB25" w:rsidR="00E947D6" w:rsidRPr="00BA4CB3" w:rsidRDefault="00FE77F1" w:rsidP="00202888">
      <w:pPr>
        <w:pStyle w:val="Paragraphedeliste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D2: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!conversion.getRates.containsKey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!conversion.getRates.containsKey(to)</m:t>
                  </m:r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677D5E8E" w14:textId="3F4353B6" w:rsidR="00BA4CB3" w:rsidRDefault="00BA4CB3" w:rsidP="00202888">
      <w:pPr>
        <w:pStyle w:val="Paragraphedeliste"/>
        <w:ind w:left="1080"/>
      </w:pPr>
    </w:p>
    <w:p w14:paraId="14EF3C9E" w14:textId="519D997A" w:rsidR="009E7A6B" w:rsidRDefault="009E7A6B" w:rsidP="00202888">
      <w:pPr>
        <w:pStyle w:val="Paragraphedeliste"/>
        <w:ind w:left="1080"/>
        <w:rPr>
          <w:rFonts w:eastAsiaTheme="minorEastAsia"/>
          <w:lang w:val="en-CA"/>
        </w:rPr>
      </w:pPr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CA"/>
          </w:rPr>
          <m:t>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from</m:t>
                </m:r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</w:rPr>
          <m:t>from</m:t>
        </m:r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</w:rPr>
          <m:t>USD</m:t>
        </m:r>
        <m:r>
          <w:rPr>
            <w:rFonts w:ascii="Cambria Math" w:eastAsiaTheme="minorEastAsia" w:hAnsi="Cambria Math"/>
            <w:lang w:val="en-CA"/>
          </w:rPr>
          <m:t>, to=CAD}</m:t>
        </m:r>
      </m:oMath>
    </w:p>
    <w:p w14:paraId="2615C7CC" w14:textId="63EBF710" w:rsidR="006E28FD" w:rsidRDefault="006E28FD" w:rsidP="00202888">
      <w:pPr>
        <w:pStyle w:val="Paragraphedeliste"/>
        <w:ind w:left="1080"/>
        <w:rPr>
          <w:rFonts w:eastAsiaTheme="minor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>D2=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from, 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from=USD, to=TTT}</m:t>
        </m:r>
      </m:oMath>
    </w:p>
    <w:p w14:paraId="6E720032" w14:textId="77777777" w:rsidR="006E28FD" w:rsidRPr="006E28FD" w:rsidRDefault="006E28FD" w:rsidP="00202888">
      <w:pPr>
        <w:pStyle w:val="Paragraphedeliste"/>
        <w:ind w:left="1080"/>
        <w:rPr>
          <w:lang w:val="en-CA"/>
        </w:rPr>
      </w:pPr>
    </w:p>
    <w:p w14:paraId="5C6C48D0" w14:textId="7FA191A5" w:rsidR="00202888" w:rsidRDefault="003E30CE" w:rsidP="00202888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arcs du graphe de flot de contrôle :</w:t>
      </w:r>
    </w:p>
    <w:p w14:paraId="3EAF63BD" w14:textId="1F5130A9" w:rsidR="00202888" w:rsidRDefault="007031BF" w:rsidP="00202888">
      <w:pPr>
        <w:pStyle w:val="Paragraphedeliste"/>
      </w:pPr>
      <w:r>
        <w:rPr>
          <w:noProof/>
        </w:rPr>
        <w:drawing>
          <wp:inline distT="0" distB="0" distL="0" distR="0" wp14:anchorId="5E26D8EC" wp14:editId="61EC2469">
            <wp:extent cx="4046220" cy="3474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24DC" w14:textId="6DA7DB37" w:rsidR="00CA5884" w:rsidRDefault="00CA5884" w:rsidP="00202888">
      <w:pPr>
        <w:pStyle w:val="Paragraphedeliste"/>
      </w:pPr>
      <w:r>
        <w:t xml:space="preserve">Ici les mêmes cas qu’en A nous permette de tester pour chaque instructions conditionnelles le cas ou elle est vraie et le cas ou elle est fausse. </w:t>
      </w:r>
    </w:p>
    <w:p w14:paraId="7A4D4337" w14:textId="77777777" w:rsidR="00CA5884" w:rsidRDefault="00CA5884" w:rsidP="00202888">
      <w:pPr>
        <w:pStyle w:val="Paragraphedeliste"/>
      </w:pPr>
    </w:p>
    <w:p w14:paraId="3C1D03D3" w14:textId="77777777" w:rsidR="00CA5884" w:rsidRDefault="00CA5884" w:rsidP="00CA5884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CA"/>
            </w:rPr>
            <m:t>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40288800" w14:textId="6DF63360" w:rsidR="00CA5884" w:rsidRDefault="00CA5884" w:rsidP="00CA5884">
      <w:pPr>
        <w:pStyle w:val="Paragraphedeliste"/>
        <w:ind w:left="1080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D2=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from=USD, to=TTT}</m:t>
          </m:r>
        </m:oMath>
      </m:oMathPara>
    </w:p>
    <w:p w14:paraId="763F10E5" w14:textId="77777777" w:rsidR="00CA5884" w:rsidRPr="00E83BF0" w:rsidRDefault="00CA5884" w:rsidP="00202888">
      <w:pPr>
        <w:pStyle w:val="Paragraphedeliste"/>
      </w:pPr>
    </w:p>
    <w:p w14:paraId="745D69C3" w14:textId="476687BA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4371C409" w14:textId="7E7A6276" w:rsidR="007031BF" w:rsidRDefault="007031BF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382036DD" w14:textId="77777777" w:rsidR="007031BF" w:rsidRPr="00202888" w:rsidRDefault="007031BF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1EE56784" w14:textId="53F31CCD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Critère de couverture des chemins indépendants du graphe de flot de control :</w:t>
      </w:r>
    </w:p>
    <w:p w14:paraId="30A4CD86" w14:textId="46E588A3" w:rsidR="007031BF" w:rsidRDefault="007031BF" w:rsidP="007031BF">
      <w:pPr>
        <w:pStyle w:val="Paragraphedeliste"/>
        <w:ind w:left="108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35017E" wp14:editId="37870C53">
            <wp:extent cx="4046220" cy="3474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B293" w14:textId="77777777" w:rsidR="007031BF" w:rsidRDefault="007031BF" w:rsidP="007031BF">
      <w:pPr>
        <w:pStyle w:val="Paragraphedeliste"/>
        <w:ind w:left="1080"/>
        <w:rPr>
          <w:sz w:val="24"/>
          <w:szCs w:val="24"/>
          <w:u w:val="single"/>
        </w:rPr>
      </w:pPr>
    </w:p>
    <w:p w14:paraId="58FC7323" w14:textId="2F205706" w:rsidR="00202888" w:rsidRDefault="007031BF" w:rsidP="00202888">
      <w:pPr>
        <w:pStyle w:val="Paragraphedeliste"/>
        <w:ind w:left="1080"/>
      </w:pPr>
      <w:r>
        <w:t xml:space="preserve">Complexité cyclomatique V(G) = 3 </w:t>
      </w:r>
    </w:p>
    <w:p w14:paraId="06B73CD4" w14:textId="184A97AF" w:rsidR="007031BF" w:rsidRDefault="007031BF" w:rsidP="00202888">
      <w:pPr>
        <w:pStyle w:val="Paragraphedeliste"/>
        <w:ind w:left="1080"/>
      </w:pPr>
      <w:r>
        <w:t xml:space="preserve">Les chemins indépendants sont : </w:t>
      </w:r>
    </w:p>
    <w:p w14:paraId="00A9C5CE" w14:textId="1F57792A" w:rsid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1: </w:t>
      </w:r>
      <w:r w:rsidR="007031BF" w:rsidRPr="007031BF">
        <w:rPr>
          <w:lang w:val="en-CA"/>
        </w:rPr>
        <w:t>Start -&gt; if -&gt; or -&gt; !containsKeyA -&gt; t</w:t>
      </w:r>
      <w:r w:rsidR="007031BF">
        <w:rPr>
          <w:lang w:val="en-CA"/>
        </w:rPr>
        <w:t>hrow -&gt; end</w:t>
      </w:r>
    </w:p>
    <w:p w14:paraId="1511138A" w14:textId="1C2613EE" w:rsid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2: </w:t>
      </w:r>
      <w:r w:rsidR="007031BF" w:rsidRPr="007031BF">
        <w:rPr>
          <w:lang w:val="en-CA"/>
        </w:rPr>
        <w:t>Start -&gt; if -&gt; or -&gt; !containsKey</w:t>
      </w:r>
      <w:r w:rsidR="007031BF">
        <w:rPr>
          <w:lang w:val="en-CA"/>
        </w:rPr>
        <w:t>B</w:t>
      </w:r>
      <w:r w:rsidR="007031BF" w:rsidRPr="007031BF">
        <w:rPr>
          <w:lang w:val="en-CA"/>
        </w:rPr>
        <w:t xml:space="preserve"> -&gt; t</w:t>
      </w:r>
      <w:r w:rsidR="007031BF">
        <w:rPr>
          <w:lang w:val="en-CA"/>
        </w:rPr>
        <w:t>hrow -&gt; end</w:t>
      </w:r>
    </w:p>
    <w:p w14:paraId="1BA78BD8" w14:textId="13C4C18C" w:rsidR="007031BF" w:rsidRP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3: </w:t>
      </w:r>
      <w:r w:rsidR="007031BF">
        <w:rPr>
          <w:lang w:val="en-CA"/>
        </w:rPr>
        <w:t>Start -&gt; if -&gt; else -&gt; returnNewAmount -&gt; end</w:t>
      </w:r>
    </w:p>
    <w:p w14:paraId="61F33247" w14:textId="0B6A2488" w:rsidR="00C55526" w:rsidRPr="00E55995" w:rsidRDefault="00C55526" w:rsidP="00C55526">
      <w:pPr>
        <w:pStyle w:val="Paragraphedeliste"/>
        <w:ind w:left="1080"/>
        <w:rPr>
          <w:rFonts w:ascii="Cambria Math" w:eastAsiaTheme="minorEastAsia" w:hAnsi="Cambria Math"/>
          <w:i/>
        </w:rPr>
      </w:pPr>
      <w:r w:rsidRPr="00C55526">
        <w:t>Les jeux de test s</w:t>
      </w:r>
      <w:r>
        <w:t>ont :</w:t>
      </w:r>
      <w:r w:rsidRPr="00C5552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Chemin 1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US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CA"/>
            </w:rPr>
            <m:t>to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CAD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0EFB2D6E" w14:textId="731E7700" w:rsidR="00C55526" w:rsidRDefault="00C55526" w:rsidP="00C55526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2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to=CD}</m:t>
          </m:r>
        </m:oMath>
      </m:oMathPara>
    </w:p>
    <w:p w14:paraId="43E6C477" w14:textId="6371A8B3" w:rsidR="007031BF" w:rsidRPr="00157407" w:rsidRDefault="00C55526" w:rsidP="00157407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3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1A61D9A9" w14:textId="77777777" w:rsidR="00157407" w:rsidRPr="00157407" w:rsidRDefault="00157407" w:rsidP="00157407">
      <w:pPr>
        <w:pStyle w:val="Paragraphedeliste"/>
        <w:ind w:left="1080"/>
        <w:rPr>
          <w:rFonts w:eastAsiaTheme="minorEastAsia"/>
          <w:lang w:val="en-CA"/>
        </w:rPr>
      </w:pPr>
    </w:p>
    <w:p w14:paraId="3465C7FA" w14:textId="67D9E4C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conditions :</w:t>
      </w:r>
    </w:p>
    <w:p w14:paraId="7223DDB6" w14:textId="44BCA769" w:rsidR="00202888" w:rsidRPr="00E55995" w:rsidRDefault="00E55995" w:rsidP="00E55995">
      <w:pPr>
        <w:pStyle w:val="Paragraphedeliste"/>
        <w:ind w:left="1080"/>
      </w:pPr>
      <w:r>
        <w:t xml:space="preserve">Il ne fait pas de sens de tester ce critère car </w:t>
      </w:r>
      <w:r>
        <w:t xml:space="preserve">la fonction « convert() » </w:t>
      </w:r>
      <w:r>
        <w:t xml:space="preserve">ne contient pas de condition composée. </w:t>
      </w:r>
    </w:p>
    <w:p w14:paraId="2D2B5335" w14:textId="77777777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707BD370" w14:textId="10438519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i-chemins :</w:t>
      </w:r>
    </w:p>
    <w:p w14:paraId="0955DC83" w14:textId="4C079AC9" w:rsidR="00202888" w:rsidRPr="00E55995" w:rsidRDefault="00E55995" w:rsidP="00202888">
      <w:pPr>
        <w:pStyle w:val="Paragraphedeliste"/>
        <w:ind w:left="1080"/>
      </w:pPr>
      <w:r>
        <w:t xml:space="preserve">Il ne fait pas de sens de tester ce critère car la fonction « convert() » ne contient pas de boucle. </w:t>
      </w:r>
    </w:p>
    <w:p w14:paraId="6E0EEEB3" w14:textId="77777777" w:rsidR="003E30CE" w:rsidRPr="009650B8" w:rsidRDefault="003E30CE" w:rsidP="003E30CE">
      <w:pPr>
        <w:pStyle w:val="Paragraphedeliste"/>
        <w:rPr>
          <w:sz w:val="24"/>
          <w:szCs w:val="24"/>
          <w:u w:val="single"/>
        </w:rPr>
      </w:pPr>
    </w:p>
    <w:sectPr w:rsidR="003E30CE" w:rsidRPr="0096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36A99"/>
    <w:multiLevelType w:val="hybridMultilevel"/>
    <w:tmpl w:val="EA10084C"/>
    <w:lvl w:ilvl="0" w:tplc="A680282C">
      <w:start w:val="1"/>
      <w:numFmt w:val="upperLetter"/>
      <w:lvlText w:val="%1."/>
      <w:lvlJc w:val="left"/>
      <w:pPr>
        <w:ind w:left="108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  <w:num w:numId="4" w16cid:durableId="69547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022AF1"/>
    <w:rsid w:val="000D467E"/>
    <w:rsid w:val="001061EC"/>
    <w:rsid w:val="00157407"/>
    <w:rsid w:val="001D5C3A"/>
    <w:rsid w:val="00202888"/>
    <w:rsid w:val="002F7080"/>
    <w:rsid w:val="00302F1F"/>
    <w:rsid w:val="003106AC"/>
    <w:rsid w:val="003A38F6"/>
    <w:rsid w:val="003E30CE"/>
    <w:rsid w:val="00420055"/>
    <w:rsid w:val="004B5AD6"/>
    <w:rsid w:val="006D7037"/>
    <w:rsid w:val="006E28FD"/>
    <w:rsid w:val="007031BF"/>
    <w:rsid w:val="00897F22"/>
    <w:rsid w:val="00954148"/>
    <w:rsid w:val="009650B8"/>
    <w:rsid w:val="009E7A6B"/>
    <w:rsid w:val="00B656D2"/>
    <w:rsid w:val="00BA4CB3"/>
    <w:rsid w:val="00BC450B"/>
    <w:rsid w:val="00C55526"/>
    <w:rsid w:val="00C74692"/>
    <w:rsid w:val="00CA5884"/>
    <w:rsid w:val="00CB530D"/>
    <w:rsid w:val="00E55995"/>
    <w:rsid w:val="00E83BF0"/>
    <w:rsid w:val="00E947D6"/>
    <w:rsid w:val="00F06C4D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27</cp:revision>
  <dcterms:created xsi:type="dcterms:W3CDTF">2022-12-05T13:22:00Z</dcterms:created>
  <dcterms:modified xsi:type="dcterms:W3CDTF">2022-12-09T18:50:00Z</dcterms:modified>
</cp:coreProperties>
</file>