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Multilevel Truncated Negative Binomial Model Results</w:t>
      </w:r>
    </w:p>
    <w:p>
      <w:pPr>
        <w:pStyle w:val="Titre2"/>
      </w:pPr>
      <w:r>
        <w:t xml:space="preserve">Fixed Effects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352"/>
        <w:gridCol w:w="1206"/>
        <w:gridCol w:w="1157"/>
        <w:gridCol w:w="3162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-2.6715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-1.0219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state_unemployment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</w:tr>
      <w:tr>
        <w:trPr>
          <w:trHeight w:val="5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climate_distance</w:t>
            </w:r>
          </w:p>
        </w:tc>
      </w:tr>
      <w:tr>
        <w:trPr>
          <w:trHeight w:val="59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</w:tr>
      <w:tr>
        <w:trPr>
          <w:trHeight w:val="616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</w:tr>
    </w:tbl>
    <w:p>
      <w:pPr>
        <w:pStyle w:val="Titre2"/>
      </w:pPr>
      <w:r>
        <w:t xml:space="preserve">Incident Rate Ratios (IRR) for Fixed Effects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Incident Rate Ratios for 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2"/>
        <w:gridCol w:w="1022"/>
        <w:gridCol w:w="1211"/>
        <w:gridCol w:w="1211"/>
        <w:gridCol w:w="1089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11.6155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0.3068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0.5805</w:t>
            </w:r>
          </w:p>
        </w:tc>
      </w:tr>
      <w:tr>
        <w:trPr>
          <w:trHeight w:val="56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state_unemployment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0.4658</w:t>
            </w:r>
          </w:p>
        </w:tc>
      </w:tr>
      <w:tr>
        <w:trPr>
          <w:trHeight w:val="5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0.0722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0.1033</w:t>
            </w:r>
          </w:p>
        </w:tc>
      </w:tr>
      <w:tr>
        <w:trPr>
          <w:trHeight w:val="58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climate_distance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0.6891</w:t>
            </w:r>
          </w:p>
        </w:tc>
      </w:tr>
      <w:tr>
        <w:trPr>
          <w:trHeight w:val="57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0.0032</w:t>
            </w:r>
          </w:p>
        </w:tc>
      </w:tr>
      <w:tr>
        <w:trPr>
          <w:trHeight w:val="5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0.7416</w:t>
            </w:r>
          </w:p>
        </w:tc>
      </w:tr>
      <w:tr>
        <w:trPr>
          <w:trHeight w:val="5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0.3473</w:t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0.0991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0.6175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Random Effects Variance Components</w:t>
      </w:r>
    </w:p>
    <w:p>
      <w:pPr>
        <w:pStyle w:val="Normal"/>
      </w:pPr>
      <w:r>
        <w:t xml:space="preserve">No random effect variance estimated for us_state_enc.</w:t>
      </w:r>
    </w:p>
    <w:p>
      <w:pPr>
        <w:pStyle w:val="Titre2"/>
      </w:pPr>
      <w:r>
        <w:t xml:space="preserve">Variance Inflation Factor (VIF)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VIF Values (Note: VIF &gt; 5 may indicate multicollinearity)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839"/>
      </w:tblGrid>
      <w:tr>
        <w:trPr>
          <w:trHeight w:val="57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</w:tbl>
    <w:p>
      <w:pPr>
        <w:pStyle w:val="Titre2"/>
      </w:pPr>
      <w:r>
        <w:t xml:space="preserve">Model Comparison (Truncated vs Non-truncated)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Model Comparison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389"/>
        <w:gridCol w:w="1389"/>
        <w:gridCol w:w="1463"/>
        <w:gridCol w:w="1389"/>
        <w:gridCol w:w="973"/>
        <w:gridCol w:w="1022"/>
        <w:gridCol w:w="146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Pr(&gt;Chisq)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745,991.1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746,188.0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-372,975.6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745,951.1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751,673.5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751,870.4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-375,816.8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751,633.5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745,991.1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746,188.0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-372,975.6</w:t>
            </w:r>
          </w:p>
        </w:tc>
      </w:tr>
    </w:tbl>
    <w:p>
      <w:pPr>
        <w:pStyle w:val="Titre2"/>
      </w:pPr>
      <w:r>
        <w:t xml:space="preserve">Predicted vs Observed Length of Stay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Diagnostic Plots</w:t>
      </w:r>
    </w:p>
    <w:p>
      <w:pPr>
        <w:pStyle w:val="Titre3"/>
      </w:pPr>
      <w:r>
        <w:t xml:space="preserve">DHARMa Residuals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Residuals by State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9287ed73e46478431762b4ebb2c836a181d273a.png"/>
<Relationship Id="rId8" Type="http://schemas.openxmlformats.org/officeDocument/2006/relationships/image" Target="media/37decb77dddf0911b7bca28f019fe2c23cbf4851.png"/>
<Relationship Id="rId9" Type="http://schemas.openxmlformats.org/officeDocument/2006/relationships/image" Target="media/358c7f3374bf7601791ba513718585d48b6c87a0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janai</cp:lastModifiedBy>
  <cp:revision>9</cp:revision>
  <dcterms:created xsi:type="dcterms:W3CDTF">2017-02-28T11:18:00Z</dcterms:created>
  <dcterms:modified xsi:type="dcterms:W3CDTF">2026-01-29T14:24:02Z</dcterms:modified>
  <cp:category/>
</cp:coreProperties>
</file>