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7AD" w:rsidRDefault="00D267AD" w:rsidP="00D267AD">
      <w:pPr>
        <w:pStyle w:val="NormalWeb"/>
        <w:spacing w:before="0" w:beforeAutospacing="0" w:after="0" w:afterAutospacing="0"/>
      </w:pPr>
      <w:r>
        <w:rPr>
          <w:rFonts w:ascii="Arial" w:hAnsi="Arial" w:cs="Arial"/>
          <w:b/>
          <w:bCs/>
          <w:color w:val="000000"/>
          <w:sz w:val="22"/>
          <w:szCs w:val="22"/>
        </w:rPr>
        <w:t>Title</w:t>
      </w:r>
    </w:p>
    <w:p w:rsidR="00D267AD" w:rsidRDefault="00D267AD" w:rsidP="00D267AD">
      <w:pPr>
        <w:pStyle w:val="NormalWeb"/>
        <w:spacing w:before="0" w:beforeAutospacing="0" w:after="0" w:afterAutospacing="0"/>
      </w:pPr>
      <w:r>
        <w:rPr>
          <w:rFonts w:ascii="Arial" w:hAnsi="Arial" w:cs="Arial"/>
          <w:b/>
          <w:bCs/>
          <w:color w:val="000000"/>
          <w:sz w:val="22"/>
          <w:szCs w:val="22"/>
        </w:rPr>
        <w:t>Abstract</w:t>
      </w:r>
    </w:p>
    <w:p w:rsidR="00D267AD" w:rsidRDefault="00D267AD" w:rsidP="00D267AD">
      <w:pPr>
        <w:pStyle w:val="NormalWeb"/>
        <w:spacing w:before="0" w:beforeAutospacing="0" w:after="0" w:afterAutospacing="0"/>
      </w:pPr>
      <w:r>
        <w:rPr>
          <w:rFonts w:ascii="Arial" w:hAnsi="Arial" w:cs="Arial"/>
          <w:b/>
          <w:bCs/>
          <w:color w:val="000000"/>
          <w:sz w:val="22"/>
          <w:szCs w:val="22"/>
        </w:rPr>
        <w:t>Introduction</w:t>
      </w:r>
    </w:p>
    <w:p w:rsidR="00D267AD" w:rsidRDefault="00D267AD" w:rsidP="00D267AD">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Methods</w:t>
      </w:r>
    </w:p>
    <w:p w:rsidR="00E44E39" w:rsidRDefault="002E74DD" w:rsidP="00D267AD">
      <w:pPr>
        <w:pStyle w:val="NormalWeb"/>
        <w:spacing w:before="0" w:beforeAutospacing="0" w:after="0" w:afterAutospacing="0"/>
      </w:pPr>
      <w:r w:rsidRPr="002E74DD">
        <w:drawing>
          <wp:inline distT="0" distB="0" distL="0" distR="0" wp14:anchorId="2971BF54" wp14:editId="0BC5B9BC">
            <wp:extent cx="5715000" cy="7254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307" t="1533" r="1538" b="1184"/>
                    <a:stretch/>
                  </pic:blipFill>
                  <pic:spPr bwMode="auto">
                    <a:xfrm>
                      <a:off x="0" y="0"/>
                      <a:ext cx="5715000" cy="7254240"/>
                    </a:xfrm>
                    <a:prstGeom prst="rect">
                      <a:avLst/>
                    </a:prstGeom>
                    <a:ln>
                      <a:noFill/>
                    </a:ln>
                    <a:extLst>
                      <a:ext uri="{53640926-AAD7-44D8-BBD7-CCE9431645EC}">
                        <a14:shadowObscured xmlns:a14="http://schemas.microsoft.com/office/drawing/2010/main"/>
                      </a:ext>
                    </a:extLst>
                  </pic:spPr>
                </pic:pic>
              </a:graphicData>
            </a:graphic>
          </wp:inline>
        </w:drawing>
      </w:r>
    </w:p>
    <w:p w:rsidR="002E74DD" w:rsidRPr="002E74DD" w:rsidRDefault="002E74DD" w:rsidP="00D267AD">
      <w:pPr>
        <w:pStyle w:val="NormalWeb"/>
        <w:spacing w:before="0" w:beforeAutospacing="0" w:after="0" w:afterAutospacing="0"/>
        <w:rPr>
          <w:rFonts w:ascii="Arial" w:hAnsi="Arial" w:cs="Arial"/>
          <w:sz w:val="22"/>
          <w:szCs w:val="22"/>
        </w:rPr>
      </w:pPr>
      <w:proofErr w:type="gramStart"/>
      <w:r w:rsidRPr="002E74DD">
        <w:rPr>
          <w:rFonts w:ascii="Arial" w:hAnsi="Arial" w:cs="Arial"/>
          <w:b/>
          <w:sz w:val="22"/>
          <w:szCs w:val="22"/>
        </w:rPr>
        <w:t>Figure 1.</w:t>
      </w:r>
      <w:proofErr w:type="gramEnd"/>
      <w:r w:rsidRPr="002E74DD">
        <w:rPr>
          <w:rFonts w:ascii="Arial" w:hAnsi="Arial" w:cs="Arial"/>
          <w:sz w:val="22"/>
          <w:szCs w:val="22"/>
        </w:rPr>
        <w:t xml:space="preserve"> Location of field study area and monitoring locations</w:t>
      </w:r>
    </w:p>
    <w:p w:rsidR="002E74DD" w:rsidRDefault="002E74DD" w:rsidP="00D267AD">
      <w:pPr>
        <w:pStyle w:val="NormalWeb"/>
        <w:spacing w:before="0" w:beforeAutospacing="0" w:after="0" w:afterAutospacing="0"/>
      </w:pPr>
    </w:p>
    <w:p w:rsidR="00D267AD" w:rsidRDefault="00D267AD" w:rsidP="00D267AD">
      <w:pPr>
        <w:pStyle w:val="NormalWeb"/>
        <w:spacing w:before="0" w:beforeAutospacing="0" w:after="0" w:afterAutospacing="0"/>
      </w:pPr>
      <w:r>
        <w:rPr>
          <w:rFonts w:ascii="Arial" w:hAnsi="Arial" w:cs="Arial"/>
          <w:i/>
          <w:iCs/>
          <w:color w:val="000000"/>
          <w:sz w:val="22"/>
          <w:szCs w:val="22"/>
        </w:rPr>
        <w:t>Site Description</w:t>
      </w:r>
    </w:p>
    <w:p w:rsidR="00C449C6" w:rsidRDefault="009C7977" w:rsidP="00D267AD">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Surface w</w:t>
      </w:r>
      <w:r w:rsidR="00D267AD">
        <w:rPr>
          <w:rFonts w:ascii="Arial" w:hAnsi="Arial" w:cs="Arial"/>
          <w:color w:val="000000"/>
          <w:sz w:val="22"/>
          <w:szCs w:val="22"/>
        </w:rPr>
        <w:t xml:space="preserve">ater samples were collected at five locations near General Mitchell International Airport (GMIA) </w:t>
      </w:r>
      <w:r>
        <w:rPr>
          <w:rFonts w:ascii="Arial" w:hAnsi="Arial" w:cs="Arial"/>
          <w:color w:val="000000"/>
          <w:sz w:val="22"/>
          <w:szCs w:val="22"/>
        </w:rPr>
        <w:t xml:space="preserve">over two winter seasons </w:t>
      </w:r>
      <w:r w:rsidR="00D267AD">
        <w:rPr>
          <w:rFonts w:ascii="Arial" w:hAnsi="Arial" w:cs="Arial"/>
          <w:color w:val="000000"/>
          <w:sz w:val="22"/>
          <w:szCs w:val="22"/>
        </w:rPr>
        <w:t xml:space="preserve">from </w:t>
      </w:r>
      <w:r>
        <w:rPr>
          <w:rFonts w:ascii="Arial" w:hAnsi="Arial" w:cs="Arial"/>
          <w:color w:val="000000"/>
          <w:sz w:val="22"/>
          <w:szCs w:val="22"/>
        </w:rPr>
        <w:t xml:space="preserve">December </w:t>
      </w:r>
      <w:r w:rsidR="00D267AD">
        <w:rPr>
          <w:rFonts w:ascii="Arial" w:hAnsi="Arial" w:cs="Arial"/>
          <w:color w:val="000000"/>
          <w:sz w:val="22"/>
          <w:szCs w:val="22"/>
        </w:rPr>
        <w:t>201</w:t>
      </w:r>
      <w:r>
        <w:rPr>
          <w:rFonts w:ascii="Arial" w:hAnsi="Arial" w:cs="Arial"/>
          <w:color w:val="000000"/>
          <w:sz w:val="22"/>
          <w:szCs w:val="22"/>
        </w:rPr>
        <w:t>3</w:t>
      </w:r>
      <w:r w:rsidR="00D267AD">
        <w:rPr>
          <w:rFonts w:ascii="Arial" w:hAnsi="Arial" w:cs="Arial"/>
          <w:color w:val="000000"/>
          <w:sz w:val="22"/>
          <w:szCs w:val="22"/>
        </w:rPr>
        <w:t xml:space="preserve"> </w:t>
      </w:r>
      <w:r>
        <w:rPr>
          <w:rFonts w:ascii="Arial" w:hAnsi="Arial" w:cs="Arial"/>
          <w:color w:val="000000"/>
          <w:sz w:val="22"/>
          <w:szCs w:val="22"/>
        </w:rPr>
        <w:t xml:space="preserve">– March </w:t>
      </w:r>
      <w:commentRangeStart w:id="0"/>
      <w:r w:rsidR="00D267AD">
        <w:rPr>
          <w:rFonts w:ascii="Arial" w:hAnsi="Arial" w:cs="Arial"/>
          <w:color w:val="000000"/>
          <w:sz w:val="22"/>
          <w:szCs w:val="22"/>
        </w:rPr>
        <w:t>2015</w:t>
      </w:r>
      <w:commentRangeEnd w:id="0"/>
      <w:r w:rsidR="00B73E3B">
        <w:rPr>
          <w:rStyle w:val="CommentReference"/>
          <w:rFonts w:asciiTheme="minorHAnsi" w:eastAsiaTheme="minorHAnsi" w:hAnsiTheme="minorHAnsi" w:cstheme="minorBidi"/>
        </w:rPr>
        <w:commentReference w:id="0"/>
      </w:r>
      <w:r w:rsidR="00D267AD">
        <w:rPr>
          <w:rFonts w:ascii="Arial" w:hAnsi="Arial" w:cs="Arial"/>
          <w:color w:val="000000"/>
          <w:sz w:val="22"/>
          <w:szCs w:val="22"/>
        </w:rPr>
        <w:t>; an upstream reference, t</w:t>
      </w:r>
      <w:r>
        <w:rPr>
          <w:rFonts w:ascii="Arial" w:hAnsi="Arial" w:cs="Arial"/>
          <w:color w:val="000000"/>
          <w:sz w:val="22"/>
          <w:szCs w:val="22"/>
        </w:rPr>
        <w:t>hree</w:t>
      </w:r>
      <w:r w:rsidR="00D267AD">
        <w:rPr>
          <w:rFonts w:ascii="Arial" w:hAnsi="Arial" w:cs="Arial"/>
          <w:color w:val="000000"/>
          <w:sz w:val="22"/>
          <w:szCs w:val="22"/>
        </w:rPr>
        <w:t xml:space="preserve"> airport outfalls (a primary</w:t>
      </w:r>
      <w:r>
        <w:rPr>
          <w:rFonts w:ascii="Arial" w:hAnsi="Arial" w:cs="Arial"/>
          <w:color w:val="000000"/>
          <w:sz w:val="22"/>
          <w:szCs w:val="22"/>
        </w:rPr>
        <w:t>,</w:t>
      </w:r>
      <w:r w:rsidR="00D267AD">
        <w:rPr>
          <w:rFonts w:ascii="Arial" w:hAnsi="Arial" w:cs="Arial"/>
          <w:color w:val="000000"/>
          <w:sz w:val="22"/>
          <w:szCs w:val="22"/>
        </w:rPr>
        <w:t xml:space="preserve"> secondary</w:t>
      </w:r>
      <w:r>
        <w:rPr>
          <w:rFonts w:ascii="Arial" w:hAnsi="Arial" w:cs="Arial"/>
          <w:color w:val="000000"/>
          <w:sz w:val="22"/>
          <w:szCs w:val="22"/>
        </w:rPr>
        <w:t xml:space="preserve"> and tertiary</w:t>
      </w:r>
      <w:r w:rsidR="00D267AD">
        <w:rPr>
          <w:rFonts w:ascii="Arial" w:hAnsi="Arial" w:cs="Arial"/>
          <w:color w:val="000000"/>
          <w:sz w:val="22"/>
          <w:szCs w:val="22"/>
        </w:rPr>
        <w:t xml:space="preserve">), </w:t>
      </w:r>
      <w:r>
        <w:rPr>
          <w:rFonts w:ascii="Arial" w:hAnsi="Arial" w:cs="Arial"/>
          <w:color w:val="000000"/>
          <w:sz w:val="22"/>
          <w:szCs w:val="22"/>
        </w:rPr>
        <w:t xml:space="preserve">and </w:t>
      </w:r>
      <w:r w:rsidR="00D267AD">
        <w:rPr>
          <w:rFonts w:ascii="Arial" w:hAnsi="Arial" w:cs="Arial"/>
          <w:color w:val="000000"/>
          <w:sz w:val="22"/>
          <w:szCs w:val="22"/>
        </w:rPr>
        <w:t>a receiving stream location</w:t>
      </w:r>
      <w:r>
        <w:rPr>
          <w:rFonts w:ascii="Arial" w:hAnsi="Arial" w:cs="Arial"/>
          <w:color w:val="000000"/>
          <w:sz w:val="22"/>
          <w:szCs w:val="22"/>
        </w:rPr>
        <w:t xml:space="preserve"> (Fig. 1</w:t>
      </w:r>
      <w:r w:rsidR="002E74DD">
        <w:rPr>
          <w:rFonts w:ascii="Arial" w:hAnsi="Arial" w:cs="Arial"/>
          <w:color w:val="000000"/>
          <w:sz w:val="22"/>
          <w:szCs w:val="22"/>
        </w:rPr>
        <w:t>)</w:t>
      </w:r>
      <w:r w:rsidR="00D267AD">
        <w:rPr>
          <w:rFonts w:ascii="Arial" w:hAnsi="Arial" w:cs="Arial"/>
          <w:color w:val="000000"/>
          <w:sz w:val="22"/>
          <w:szCs w:val="22"/>
        </w:rPr>
        <w:t xml:space="preserve">. </w:t>
      </w:r>
      <w:r>
        <w:rPr>
          <w:rFonts w:ascii="Arial" w:hAnsi="Arial" w:cs="Arial"/>
          <w:color w:val="000000"/>
          <w:sz w:val="22"/>
          <w:szCs w:val="22"/>
        </w:rPr>
        <w:t xml:space="preserve">In total, </w:t>
      </w:r>
      <w:r w:rsidR="002E74DD">
        <w:rPr>
          <w:rFonts w:ascii="Arial" w:hAnsi="Arial" w:cs="Arial"/>
          <w:color w:val="000000"/>
          <w:sz w:val="22"/>
          <w:szCs w:val="22"/>
        </w:rPr>
        <w:t xml:space="preserve">144 precipitation runoff event samples were collected from the five sampling locations with some sites having greater collection frequencies than others (Table 1). </w:t>
      </w:r>
      <w:r w:rsidR="00D267AD">
        <w:rPr>
          <w:rFonts w:ascii="Arial" w:hAnsi="Arial" w:cs="Arial"/>
          <w:color w:val="000000"/>
          <w:sz w:val="22"/>
          <w:szCs w:val="22"/>
        </w:rPr>
        <w:t>The upstream reference location consists of a 2.31 km</w:t>
      </w:r>
      <w:r w:rsidR="00D036CF" w:rsidRPr="00D036CF">
        <w:rPr>
          <w:rFonts w:ascii="Arial" w:hAnsi="Arial" w:cs="Arial"/>
          <w:color w:val="000000"/>
          <w:sz w:val="22"/>
          <w:szCs w:val="22"/>
          <w:vertAlign w:val="superscript"/>
        </w:rPr>
        <w:t>2</w:t>
      </w:r>
      <w:r w:rsidR="00D267AD">
        <w:rPr>
          <w:rFonts w:ascii="Arial" w:hAnsi="Arial" w:cs="Arial"/>
          <w:color w:val="000000"/>
          <w:sz w:val="22"/>
          <w:szCs w:val="22"/>
        </w:rPr>
        <w:t xml:space="preserve"> headwater region of Wilson Park Creek (WPC) which primarily drains an urban area in addition to a small portion of runway before airport runoff enters the system (Figure #, GMIA and sample location figure). There is potential for a small amount of airport and deicer runoff to reach the upstream location from the deicing activities of the Wisconsin Air National Guard which is located within close proximity to the upstream reference site. Two airport outfall locations were sampled and drain to WPC. The primary outfall location includes flow from the upstream </w:t>
      </w:r>
      <w:r w:rsidR="00EC1776">
        <w:rPr>
          <w:rFonts w:ascii="Arial" w:hAnsi="Arial" w:cs="Arial"/>
          <w:color w:val="000000"/>
          <w:sz w:val="22"/>
          <w:szCs w:val="22"/>
        </w:rPr>
        <w:t xml:space="preserve">reference </w:t>
      </w:r>
      <w:r w:rsidR="00D267AD">
        <w:rPr>
          <w:rFonts w:ascii="Arial" w:hAnsi="Arial" w:cs="Arial"/>
          <w:color w:val="000000"/>
          <w:sz w:val="22"/>
          <w:szCs w:val="22"/>
        </w:rPr>
        <w:t xml:space="preserve">location in addition to flow from the storm sewers draining the terminal area as well as some taxiways and runways. The </w:t>
      </w:r>
      <w:bookmarkStart w:id="1" w:name="_GoBack"/>
      <w:bookmarkEnd w:id="1"/>
      <w:r w:rsidR="00D267AD">
        <w:rPr>
          <w:rFonts w:ascii="Arial" w:hAnsi="Arial" w:cs="Arial"/>
          <w:color w:val="000000"/>
          <w:sz w:val="22"/>
          <w:szCs w:val="22"/>
        </w:rPr>
        <w:t>secondary outfall drains a small area of the airport where most air cargo activities take place. The secondary outfall discharges into Holmes Ave. Creek, a small tributary of WPC, which at the confluence is ~ 0.8 km downstream from the primary outfall. Drainage area of the primary outfall is 5.83 km</w:t>
      </w:r>
      <w:r w:rsidR="00D267AD" w:rsidRPr="00D036CF">
        <w:rPr>
          <w:rFonts w:ascii="Arial" w:hAnsi="Arial" w:cs="Arial"/>
          <w:color w:val="000000"/>
          <w:sz w:val="22"/>
          <w:szCs w:val="22"/>
          <w:vertAlign w:val="superscript"/>
        </w:rPr>
        <w:t>2</w:t>
      </w:r>
      <w:r w:rsidR="00D267AD">
        <w:rPr>
          <w:rFonts w:ascii="Arial" w:hAnsi="Arial" w:cs="Arial"/>
          <w:color w:val="000000"/>
          <w:sz w:val="22"/>
          <w:szCs w:val="22"/>
        </w:rPr>
        <w:t xml:space="preserve"> (3.52 km</w:t>
      </w:r>
      <w:r w:rsidR="00D267AD" w:rsidRPr="00D036CF">
        <w:rPr>
          <w:rFonts w:ascii="Arial" w:hAnsi="Arial" w:cs="Arial"/>
          <w:color w:val="000000"/>
          <w:sz w:val="22"/>
          <w:szCs w:val="22"/>
          <w:vertAlign w:val="superscript"/>
        </w:rPr>
        <w:t>2</w:t>
      </w:r>
      <w:r w:rsidR="00D267AD">
        <w:rPr>
          <w:rFonts w:ascii="Arial" w:hAnsi="Arial" w:cs="Arial"/>
          <w:color w:val="000000"/>
          <w:sz w:val="22"/>
          <w:szCs w:val="22"/>
        </w:rPr>
        <w:t xml:space="preserve"> representing the airport facility) while the drainage area of the secondary outfall is 0.08 km</w:t>
      </w:r>
      <w:r w:rsidR="00D267AD" w:rsidRPr="00D036CF">
        <w:rPr>
          <w:rFonts w:ascii="Arial" w:hAnsi="Arial" w:cs="Arial"/>
          <w:color w:val="000000"/>
          <w:sz w:val="22"/>
          <w:szCs w:val="22"/>
          <w:vertAlign w:val="superscript"/>
        </w:rPr>
        <w:t>2</w:t>
      </w:r>
      <w:r w:rsidR="00D267AD">
        <w:rPr>
          <w:rFonts w:ascii="Arial" w:hAnsi="Arial" w:cs="Arial"/>
          <w:color w:val="000000"/>
          <w:sz w:val="22"/>
          <w:szCs w:val="22"/>
        </w:rPr>
        <w:t>. The fourth location is situated 5.54 km downstream from the airport. This site was chosen in order to characterize water quality effects on the receiving stream. The stream between the airport and the receiving stream location alternates between concrete-lined and earthen channel bottom. The drainage area of the receiving stream location (i.e. WPC) is 14 km</w:t>
      </w:r>
      <w:r w:rsidR="00D267AD" w:rsidRPr="00D036CF">
        <w:rPr>
          <w:rFonts w:ascii="Arial" w:hAnsi="Arial" w:cs="Arial"/>
          <w:color w:val="000000"/>
          <w:sz w:val="22"/>
          <w:szCs w:val="22"/>
          <w:vertAlign w:val="superscript"/>
        </w:rPr>
        <w:t>2</w:t>
      </w:r>
      <w:r w:rsidR="00D267AD">
        <w:rPr>
          <w:rFonts w:ascii="Arial" w:hAnsi="Arial" w:cs="Arial"/>
          <w:color w:val="000000"/>
          <w:sz w:val="22"/>
          <w:szCs w:val="22"/>
        </w:rPr>
        <w:t xml:space="preserve">. Immediately beyond the receiving stream location, the stream confluences with the Kinnickinnic River, which flows for 4.33 km to the Kinnickinnic River estuary and eventually into Milwaukee Harbor. The fifth location, </w:t>
      </w:r>
      <w:r w:rsidR="002E74DD">
        <w:rPr>
          <w:rFonts w:ascii="Arial" w:hAnsi="Arial" w:cs="Arial"/>
          <w:color w:val="000000"/>
          <w:sz w:val="22"/>
          <w:szCs w:val="22"/>
        </w:rPr>
        <w:t>tertiary outfall</w:t>
      </w:r>
      <w:r w:rsidR="00D267AD">
        <w:rPr>
          <w:rFonts w:ascii="Arial" w:hAnsi="Arial" w:cs="Arial"/>
          <w:color w:val="000000"/>
          <w:sz w:val="22"/>
          <w:szCs w:val="22"/>
        </w:rPr>
        <w:t xml:space="preserve">, flows </w:t>
      </w:r>
      <w:r w:rsidR="002E74DD">
        <w:rPr>
          <w:rFonts w:ascii="Arial" w:hAnsi="Arial" w:cs="Arial"/>
          <w:color w:val="000000"/>
          <w:sz w:val="22"/>
          <w:szCs w:val="22"/>
        </w:rPr>
        <w:t>south</w:t>
      </w:r>
      <w:r w:rsidR="00D267AD">
        <w:rPr>
          <w:rFonts w:ascii="Arial" w:hAnsi="Arial" w:cs="Arial"/>
          <w:color w:val="000000"/>
          <w:sz w:val="22"/>
          <w:szCs w:val="22"/>
        </w:rPr>
        <w:t xml:space="preserve"> out of GMIA and was used to collect grab samples only. As GMIA has grown over the years, airport operations (i.e. runways, taxiways, </w:t>
      </w:r>
      <w:proofErr w:type="spellStart"/>
      <w:r w:rsidR="00D267AD">
        <w:rPr>
          <w:rFonts w:ascii="Arial" w:hAnsi="Arial" w:cs="Arial"/>
          <w:color w:val="000000"/>
          <w:sz w:val="22"/>
          <w:szCs w:val="22"/>
        </w:rPr>
        <w:t>etc</w:t>
      </w:r>
      <w:proofErr w:type="spellEnd"/>
      <w:r w:rsidR="00D267AD">
        <w:rPr>
          <w:rFonts w:ascii="Arial" w:hAnsi="Arial" w:cs="Arial"/>
          <w:color w:val="000000"/>
          <w:sz w:val="22"/>
          <w:szCs w:val="22"/>
        </w:rPr>
        <w:t xml:space="preserve">) have moved into the </w:t>
      </w:r>
      <w:r w:rsidR="002E74DD">
        <w:rPr>
          <w:rFonts w:ascii="Arial" w:hAnsi="Arial" w:cs="Arial"/>
          <w:color w:val="000000"/>
          <w:sz w:val="22"/>
          <w:szCs w:val="22"/>
        </w:rPr>
        <w:t>tertiary outfall</w:t>
      </w:r>
      <w:r w:rsidR="00D267AD">
        <w:rPr>
          <w:rFonts w:ascii="Arial" w:hAnsi="Arial" w:cs="Arial"/>
          <w:color w:val="000000"/>
          <w:sz w:val="22"/>
          <w:szCs w:val="22"/>
        </w:rPr>
        <w:t xml:space="preserve"> watershed and samples were collected to determine the influence of aircraft deice</w:t>
      </w:r>
      <w:r w:rsidR="002E74DD">
        <w:rPr>
          <w:rFonts w:ascii="Arial" w:hAnsi="Arial" w:cs="Arial"/>
          <w:color w:val="000000"/>
          <w:sz w:val="22"/>
          <w:szCs w:val="22"/>
        </w:rPr>
        <w:t>r materials leaving airport property via this outfall</w:t>
      </w:r>
      <w:r w:rsidR="00D267AD">
        <w:rPr>
          <w:rFonts w:ascii="Arial" w:hAnsi="Arial" w:cs="Arial"/>
          <w:color w:val="000000"/>
          <w:sz w:val="22"/>
          <w:szCs w:val="22"/>
        </w:rPr>
        <w:t xml:space="preserve">. Samples </w:t>
      </w:r>
      <w:r w:rsidR="002E74DD">
        <w:rPr>
          <w:rFonts w:ascii="Arial" w:hAnsi="Arial" w:cs="Arial"/>
          <w:color w:val="000000"/>
          <w:sz w:val="22"/>
          <w:szCs w:val="22"/>
        </w:rPr>
        <w:t xml:space="preserve">collected </w:t>
      </w:r>
      <w:r w:rsidR="00D267AD">
        <w:rPr>
          <w:rFonts w:ascii="Arial" w:hAnsi="Arial" w:cs="Arial"/>
          <w:color w:val="000000"/>
          <w:sz w:val="22"/>
          <w:szCs w:val="22"/>
        </w:rPr>
        <w:t xml:space="preserve">from the </w:t>
      </w:r>
      <w:r w:rsidR="002E74DD">
        <w:rPr>
          <w:rFonts w:ascii="Arial" w:hAnsi="Arial" w:cs="Arial"/>
          <w:color w:val="000000"/>
          <w:sz w:val="22"/>
          <w:szCs w:val="22"/>
        </w:rPr>
        <w:t>tertiary outfall</w:t>
      </w:r>
      <w:r w:rsidR="00D267AD">
        <w:rPr>
          <w:rFonts w:ascii="Arial" w:hAnsi="Arial" w:cs="Arial"/>
          <w:color w:val="000000"/>
          <w:sz w:val="22"/>
          <w:szCs w:val="22"/>
        </w:rPr>
        <w:t xml:space="preserve"> were </w:t>
      </w:r>
      <w:r w:rsidR="002E74DD">
        <w:rPr>
          <w:rFonts w:ascii="Arial" w:hAnsi="Arial" w:cs="Arial"/>
          <w:color w:val="000000"/>
          <w:sz w:val="22"/>
          <w:szCs w:val="22"/>
        </w:rPr>
        <w:t>grabbed</w:t>
      </w:r>
      <w:r w:rsidR="00D267AD">
        <w:rPr>
          <w:rFonts w:ascii="Arial" w:hAnsi="Arial" w:cs="Arial"/>
          <w:color w:val="000000"/>
          <w:sz w:val="22"/>
          <w:szCs w:val="22"/>
        </w:rPr>
        <w:t xml:space="preserve"> at roughly the same </w:t>
      </w:r>
      <w:r w:rsidR="00935D53">
        <w:rPr>
          <w:rFonts w:ascii="Arial" w:hAnsi="Arial" w:cs="Arial"/>
          <w:color w:val="000000"/>
          <w:sz w:val="22"/>
          <w:szCs w:val="22"/>
        </w:rPr>
        <w:t>location;</w:t>
      </w:r>
      <w:r w:rsidR="00D267AD">
        <w:rPr>
          <w:rFonts w:ascii="Arial" w:hAnsi="Arial" w:cs="Arial"/>
          <w:color w:val="000000"/>
          <w:sz w:val="22"/>
          <w:szCs w:val="22"/>
        </w:rPr>
        <w:t xml:space="preserve"> where the stream intersects with W. College Ave</w:t>
      </w:r>
      <w:r w:rsidR="00D036CF">
        <w:rPr>
          <w:rFonts w:ascii="Arial" w:hAnsi="Arial" w:cs="Arial"/>
          <w:color w:val="000000"/>
          <w:sz w:val="22"/>
          <w:szCs w:val="22"/>
        </w:rPr>
        <w:t>, prior to any confluence with additional water sources</w:t>
      </w:r>
      <w:r w:rsidR="00D267AD">
        <w:rPr>
          <w:rFonts w:ascii="Arial" w:hAnsi="Arial" w:cs="Arial"/>
          <w:color w:val="000000"/>
          <w:sz w:val="22"/>
          <w:szCs w:val="22"/>
        </w:rPr>
        <w:t xml:space="preserve">. </w:t>
      </w:r>
      <w:r w:rsidR="00935D53">
        <w:rPr>
          <w:rFonts w:ascii="Arial" w:hAnsi="Arial" w:cs="Arial"/>
          <w:color w:val="000000"/>
          <w:sz w:val="22"/>
          <w:szCs w:val="22"/>
        </w:rPr>
        <w:t>The tertiary outfall</w:t>
      </w:r>
      <w:r w:rsidR="00D267AD">
        <w:rPr>
          <w:rFonts w:ascii="Arial" w:hAnsi="Arial" w:cs="Arial"/>
          <w:color w:val="000000"/>
          <w:sz w:val="22"/>
          <w:szCs w:val="22"/>
        </w:rPr>
        <w:t xml:space="preserve"> eventually drains to Oak Creek which discharges directly into Lake Michigan.</w:t>
      </w:r>
    </w:p>
    <w:p w:rsidR="00EC1776" w:rsidRDefault="00EC1776" w:rsidP="00D267AD">
      <w:pPr>
        <w:pStyle w:val="NormalWeb"/>
        <w:spacing w:before="0" w:beforeAutospacing="0" w:after="0" w:afterAutospacing="0"/>
        <w:ind w:firstLine="720"/>
        <w:rPr>
          <w:rFonts w:ascii="Arial" w:hAnsi="Arial" w:cs="Arial"/>
          <w:color w:val="000000"/>
          <w:sz w:val="22"/>
          <w:szCs w:val="22"/>
        </w:rPr>
      </w:pPr>
    </w:p>
    <w:p w:rsidR="00D267AD" w:rsidRDefault="00C449C6" w:rsidP="00C449C6">
      <w:pPr>
        <w:pStyle w:val="NormalWeb"/>
        <w:spacing w:before="0" w:beforeAutospacing="0" w:after="0" w:afterAutospacing="0"/>
      </w:pPr>
      <w:r>
        <w:rPr>
          <w:rFonts w:ascii="Arial" w:hAnsi="Arial" w:cs="Arial"/>
          <w:i/>
          <w:color w:val="000000"/>
          <w:sz w:val="22"/>
          <w:szCs w:val="22"/>
        </w:rPr>
        <w:t>Surface-Water Sampling</w:t>
      </w:r>
      <w:r w:rsidR="00D267AD">
        <w:rPr>
          <w:rFonts w:ascii="Arial" w:hAnsi="Arial" w:cs="Arial"/>
          <w:color w:val="000000"/>
          <w:sz w:val="22"/>
          <w:szCs w:val="22"/>
        </w:rPr>
        <w:t xml:space="preserve"> </w:t>
      </w:r>
    </w:p>
    <w:p w:rsidR="00204359" w:rsidRDefault="00D267AD" w:rsidP="00D267AD">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Flow-weighted water quality samples were collected using refrigerated automatic samplers with Teflon-lined polyethylene sample tubing and 10L glass collection bottles (model 3700R, </w:t>
      </w:r>
      <w:proofErr w:type="spellStart"/>
      <w:r>
        <w:rPr>
          <w:rFonts w:ascii="Arial" w:hAnsi="Arial" w:cs="Arial"/>
          <w:color w:val="000000"/>
          <w:sz w:val="22"/>
          <w:szCs w:val="22"/>
        </w:rPr>
        <w:t>Isco</w:t>
      </w:r>
      <w:proofErr w:type="spellEnd"/>
      <w:r>
        <w:rPr>
          <w:rFonts w:ascii="Arial" w:hAnsi="Arial" w:cs="Arial"/>
          <w:color w:val="000000"/>
          <w:sz w:val="22"/>
          <w:szCs w:val="22"/>
        </w:rPr>
        <w:t xml:space="preserve"> Industries, Lincoln, NE). </w:t>
      </w:r>
      <w:r w:rsidR="00D036CF">
        <w:rPr>
          <w:rFonts w:ascii="Arial" w:hAnsi="Arial" w:cs="Arial"/>
          <w:color w:val="000000"/>
          <w:sz w:val="22"/>
          <w:szCs w:val="22"/>
        </w:rPr>
        <w:t>In addition to the 10L glass collection bottle above, the primary outfall location collected flow-weighted water quality samples into 350 ml glass collection bottles</w:t>
      </w:r>
      <w:r w:rsidR="00EC1776">
        <w:rPr>
          <w:rFonts w:ascii="Arial" w:hAnsi="Arial" w:cs="Arial"/>
          <w:color w:val="000000"/>
          <w:sz w:val="22"/>
          <w:szCs w:val="22"/>
        </w:rPr>
        <w:t xml:space="preserve"> (model 3700R, </w:t>
      </w:r>
      <w:proofErr w:type="spellStart"/>
      <w:r w:rsidR="00EC1776">
        <w:rPr>
          <w:rFonts w:ascii="Arial" w:hAnsi="Arial" w:cs="Arial"/>
          <w:color w:val="000000"/>
          <w:sz w:val="22"/>
          <w:szCs w:val="22"/>
        </w:rPr>
        <w:t>Isco</w:t>
      </w:r>
      <w:proofErr w:type="spellEnd"/>
      <w:r w:rsidR="00EC1776">
        <w:rPr>
          <w:rFonts w:ascii="Arial" w:hAnsi="Arial" w:cs="Arial"/>
          <w:color w:val="000000"/>
          <w:sz w:val="22"/>
          <w:szCs w:val="22"/>
        </w:rPr>
        <w:t xml:space="preserve"> Industries, Lincoln, NE)</w:t>
      </w:r>
      <w:r w:rsidR="00D036CF">
        <w:rPr>
          <w:rFonts w:ascii="Arial" w:hAnsi="Arial" w:cs="Arial"/>
          <w:color w:val="000000"/>
          <w:sz w:val="22"/>
          <w:szCs w:val="22"/>
        </w:rPr>
        <w:t xml:space="preserve">. </w:t>
      </w:r>
      <w:r>
        <w:rPr>
          <w:rFonts w:ascii="Arial" w:hAnsi="Arial" w:cs="Arial"/>
          <w:color w:val="000000"/>
          <w:sz w:val="22"/>
          <w:szCs w:val="22"/>
        </w:rPr>
        <w:t>Additional specific details regarding the sampling protocol have been previously described</w:t>
      </w:r>
      <w:r w:rsidR="0039142F">
        <w:rPr>
          <w:rFonts w:ascii="Arial" w:hAnsi="Arial" w:cs="Arial"/>
          <w:color w:val="000000"/>
          <w:sz w:val="22"/>
          <w:szCs w:val="22"/>
        </w:rPr>
        <w:t xml:space="preserve"> </w:t>
      </w:r>
      <w:r>
        <w:rPr>
          <w:rFonts w:ascii="Arial" w:hAnsi="Arial" w:cs="Arial"/>
          <w:color w:val="000000"/>
          <w:sz w:val="22"/>
          <w:szCs w:val="22"/>
        </w:rPr>
        <w:fldChar w:fldCharType="begin"/>
      </w:r>
      <w:r>
        <w:rPr>
          <w:rFonts w:ascii="Arial" w:hAnsi="Arial" w:cs="Arial"/>
          <w:color w:val="000000"/>
          <w:sz w:val="22"/>
          <w:szCs w:val="22"/>
        </w:rPr>
        <w:instrText xml:space="preserve"> ADDIN ZOTERO_ITEM CSL_CITATION {"citationID":"2e2opd68cq","properties":{"formattedCitation":"{\\rtf \\super 1\\nosupersub{}}","plainCitation":"1"},"citationItems":[{"id":1483,"uris":["http://zotero.org/groups/26731/items/55DETST7"],"uri":["http://zotero.org/groups/26731/items/55DETST7"],"itemData":{"id":1483,"type":"article-journal","title":"Aircraft and runway deicers at General Mitchell International Airport, Milwaukee, Wisconsin, USA. 2. Toxicity of aircraft and runway deicers","container-title":"Environmental toxicology and chemistry / SETAC","page":"1483-1490","volume":"20","issue":"7","ISSN":"0730-7268","note":"Journal Article","journalAbbreviation":"Environ.Toxicol.Chem.","author":[{"family":"Corsi","given":"S. R."},{"family":"Hall","given":"D. W."},{"family":"Geis","given":"S. W."}],"issued":{"date-parts":[["2001",7]]}}}],"schema":"https://github.com/citation-style-language/schema/raw/master/csl-citation.json"} </w:instrText>
      </w:r>
      <w:r>
        <w:rPr>
          <w:rFonts w:ascii="Arial" w:hAnsi="Arial" w:cs="Arial"/>
          <w:color w:val="000000"/>
          <w:sz w:val="22"/>
          <w:szCs w:val="22"/>
        </w:rPr>
        <w:fldChar w:fldCharType="separate"/>
      </w:r>
      <w:r w:rsidR="00CE34EC" w:rsidRPr="00CE34EC">
        <w:rPr>
          <w:rFonts w:ascii="Arial" w:hAnsi="Arial" w:cs="Arial"/>
          <w:sz w:val="22"/>
          <w:vertAlign w:val="superscript"/>
        </w:rPr>
        <w:t>1</w:t>
      </w:r>
      <w:r>
        <w:rPr>
          <w:rFonts w:ascii="Arial" w:hAnsi="Arial" w:cs="Arial"/>
          <w:color w:val="000000"/>
          <w:sz w:val="22"/>
          <w:szCs w:val="22"/>
        </w:rPr>
        <w:fldChar w:fldCharType="end"/>
      </w:r>
      <w:r w:rsidR="0039142F">
        <w:rPr>
          <w:rFonts w:ascii="Arial" w:hAnsi="Arial" w:cs="Arial"/>
          <w:color w:val="000000"/>
          <w:sz w:val="22"/>
          <w:szCs w:val="22"/>
        </w:rPr>
        <w:t>.</w:t>
      </w:r>
      <w:r>
        <w:rPr>
          <w:rFonts w:ascii="Arial" w:hAnsi="Arial" w:cs="Arial"/>
          <w:color w:val="000000"/>
          <w:sz w:val="22"/>
          <w:szCs w:val="22"/>
        </w:rPr>
        <w:t xml:space="preserve"> Various </w:t>
      </w:r>
      <w:r w:rsidR="00D036CF">
        <w:rPr>
          <w:rFonts w:ascii="Arial" w:hAnsi="Arial" w:cs="Arial"/>
          <w:color w:val="000000"/>
          <w:sz w:val="22"/>
          <w:szCs w:val="22"/>
        </w:rPr>
        <w:t xml:space="preserve">bottle collection </w:t>
      </w:r>
      <w:r>
        <w:rPr>
          <w:rFonts w:ascii="Arial" w:hAnsi="Arial" w:cs="Arial"/>
          <w:color w:val="000000"/>
          <w:sz w:val="22"/>
          <w:szCs w:val="22"/>
        </w:rPr>
        <w:t xml:space="preserve">types and numbers of samples were collected from the five monitoring locations (Table </w:t>
      </w:r>
      <w:r w:rsidR="00935D53">
        <w:rPr>
          <w:rFonts w:ascii="Arial" w:hAnsi="Arial" w:cs="Arial"/>
          <w:color w:val="000000"/>
          <w:sz w:val="22"/>
          <w:szCs w:val="22"/>
        </w:rPr>
        <w:t>2</w:t>
      </w:r>
      <w:r>
        <w:rPr>
          <w:rFonts w:ascii="Arial" w:hAnsi="Arial" w:cs="Arial"/>
          <w:color w:val="000000"/>
          <w:sz w:val="22"/>
          <w:szCs w:val="22"/>
        </w:rPr>
        <w:t xml:space="preserve">). </w:t>
      </w:r>
      <w:r w:rsidR="00E813C3">
        <w:rPr>
          <w:rFonts w:ascii="Arial" w:hAnsi="Arial" w:cs="Arial"/>
          <w:color w:val="000000"/>
          <w:sz w:val="22"/>
          <w:szCs w:val="22"/>
        </w:rPr>
        <w:t xml:space="preserve">After each runoff period, or sampling period, samples were collected, iced and then transported to the Middleton, WI U.S. Geological Survey field office for processing. </w:t>
      </w:r>
      <w:r>
        <w:rPr>
          <w:rFonts w:ascii="Arial" w:hAnsi="Arial" w:cs="Arial"/>
          <w:color w:val="000000"/>
          <w:sz w:val="22"/>
          <w:szCs w:val="22"/>
        </w:rPr>
        <w:t>Samples were subsequently split for separate chemical and optical analysis, filtered</w:t>
      </w:r>
      <w:r w:rsidR="00D036CF">
        <w:rPr>
          <w:rFonts w:ascii="Arial" w:hAnsi="Arial" w:cs="Arial"/>
          <w:color w:val="000000"/>
          <w:sz w:val="22"/>
          <w:szCs w:val="22"/>
        </w:rPr>
        <w:t xml:space="preserve"> (if required)</w:t>
      </w:r>
      <w:r>
        <w:rPr>
          <w:rFonts w:ascii="Arial" w:hAnsi="Arial" w:cs="Arial"/>
          <w:color w:val="000000"/>
          <w:sz w:val="22"/>
          <w:szCs w:val="22"/>
        </w:rPr>
        <w:t xml:space="preserve">, </w:t>
      </w:r>
      <w:r w:rsidR="00E813C3">
        <w:rPr>
          <w:rFonts w:ascii="Arial" w:hAnsi="Arial" w:cs="Arial"/>
          <w:color w:val="000000"/>
          <w:sz w:val="22"/>
          <w:szCs w:val="22"/>
        </w:rPr>
        <w:t xml:space="preserve">preserved (if required), </w:t>
      </w:r>
      <w:r>
        <w:rPr>
          <w:rFonts w:ascii="Arial" w:hAnsi="Arial" w:cs="Arial"/>
          <w:color w:val="000000"/>
          <w:sz w:val="22"/>
          <w:szCs w:val="22"/>
        </w:rPr>
        <w:t>iced and delivered to the laboratory within 24 h. Constituents</w:t>
      </w:r>
      <w:r w:rsidR="00D036CF">
        <w:rPr>
          <w:rFonts w:ascii="Arial" w:hAnsi="Arial" w:cs="Arial"/>
          <w:color w:val="000000"/>
          <w:sz w:val="22"/>
          <w:szCs w:val="22"/>
        </w:rPr>
        <w:t xml:space="preserve"> reported in this paper include propylene gl</w:t>
      </w:r>
      <w:r w:rsidR="00204359">
        <w:rPr>
          <w:rFonts w:ascii="Arial" w:hAnsi="Arial" w:cs="Arial"/>
          <w:color w:val="000000"/>
          <w:sz w:val="22"/>
          <w:szCs w:val="22"/>
        </w:rPr>
        <w:t xml:space="preserve">ycol, ethylene glycol, acetate, </w:t>
      </w:r>
      <w:r w:rsidR="00D036CF">
        <w:rPr>
          <w:rFonts w:ascii="Arial" w:hAnsi="Arial" w:cs="Arial"/>
          <w:color w:val="000000"/>
          <w:sz w:val="22"/>
          <w:szCs w:val="22"/>
        </w:rPr>
        <w:t>chemical oxygen demand (COD), absorbance and dissolved organic carbon (DOC).</w:t>
      </w:r>
      <w:r w:rsidR="00F50E53">
        <w:rPr>
          <w:rFonts w:ascii="Arial" w:hAnsi="Arial" w:cs="Arial"/>
          <w:color w:val="000000"/>
          <w:sz w:val="22"/>
          <w:szCs w:val="22"/>
        </w:rPr>
        <w:t xml:space="preserve"> Field blanks were collected at each of the five locations and samples were submitted for all constituents listed above.</w:t>
      </w:r>
    </w:p>
    <w:p w:rsidR="00EC1776" w:rsidRDefault="00EC1776" w:rsidP="00D267AD">
      <w:pPr>
        <w:pStyle w:val="NormalWeb"/>
        <w:spacing w:before="0" w:beforeAutospacing="0" w:after="0" w:afterAutospacing="0"/>
        <w:ind w:firstLine="720"/>
        <w:rPr>
          <w:rFonts w:ascii="Arial" w:hAnsi="Arial" w:cs="Arial"/>
          <w:color w:val="000000"/>
          <w:sz w:val="22"/>
          <w:szCs w:val="22"/>
        </w:rPr>
      </w:pPr>
    </w:p>
    <w:p w:rsidR="00204359" w:rsidRDefault="00204359" w:rsidP="00204359">
      <w:pPr>
        <w:pStyle w:val="NormalWeb"/>
        <w:spacing w:before="0" w:beforeAutospacing="0" w:after="0" w:afterAutospacing="0"/>
        <w:rPr>
          <w:rFonts w:ascii="Arial" w:hAnsi="Arial" w:cs="Arial"/>
          <w:i/>
          <w:color w:val="000000"/>
          <w:sz w:val="22"/>
          <w:szCs w:val="22"/>
        </w:rPr>
      </w:pPr>
      <w:r>
        <w:rPr>
          <w:rFonts w:ascii="Arial" w:hAnsi="Arial" w:cs="Arial"/>
          <w:i/>
          <w:color w:val="000000"/>
          <w:sz w:val="22"/>
          <w:szCs w:val="22"/>
        </w:rPr>
        <w:t>Chemical Analysis</w:t>
      </w:r>
    </w:p>
    <w:p w:rsidR="00E63B00" w:rsidRDefault="00204359" w:rsidP="00E813C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ab/>
      </w:r>
      <w:r w:rsidR="00D93CE0">
        <w:rPr>
          <w:rFonts w:ascii="Arial" w:hAnsi="Arial" w:cs="Arial"/>
          <w:color w:val="000000"/>
          <w:sz w:val="22"/>
          <w:szCs w:val="22"/>
        </w:rPr>
        <w:t>All chemical analyses, except DOC and absorbance, were conducted at the Wisconsin State Laboratory of Hygiene</w:t>
      </w:r>
      <w:r w:rsidR="000D4DFB">
        <w:rPr>
          <w:rFonts w:ascii="Arial" w:hAnsi="Arial" w:cs="Arial"/>
          <w:color w:val="000000"/>
          <w:sz w:val="22"/>
          <w:szCs w:val="22"/>
        </w:rPr>
        <w:t xml:space="preserve"> (WSLH)</w:t>
      </w:r>
      <w:r w:rsidR="00D93CE0">
        <w:rPr>
          <w:rFonts w:ascii="Arial" w:hAnsi="Arial" w:cs="Arial"/>
          <w:color w:val="000000"/>
          <w:sz w:val="22"/>
          <w:szCs w:val="22"/>
        </w:rPr>
        <w:t xml:space="preserve">. </w:t>
      </w:r>
      <w:r w:rsidR="000D4DFB">
        <w:rPr>
          <w:rFonts w:ascii="Arial" w:hAnsi="Arial" w:cs="Arial"/>
          <w:color w:val="000000"/>
          <w:sz w:val="22"/>
          <w:szCs w:val="22"/>
        </w:rPr>
        <w:t>Acetate was</w:t>
      </w:r>
      <w:r w:rsidR="00D93CE0">
        <w:rPr>
          <w:rFonts w:ascii="Arial" w:hAnsi="Arial" w:cs="Arial"/>
          <w:color w:val="000000"/>
          <w:sz w:val="22"/>
          <w:szCs w:val="22"/>
        </w:rPr>
        <w:t xml:space="preserve"> analyzed using methods as defined in the manual for the DIONEX AS15 separator column (DIONEX, Sunnyvale, CA). </w:t>
      </w:r>
      <w:r w:rsidR="000D4DFB">
        <w:rPr>
          <w:rFonts w:ascii="Arial" w:hAnsi="Arial" w:cs="Arial"/>
          <w:color w:val="000000"/>
          <w:sz w:val="22"/>
          <w:szCs w:val="22"/>
        </w:rPr>
        <w:t>Additional details regarding DIONEX i</w:t>
      </w:r>
      <w:r w:rsidR="00D93CE0">
        <w:rPr>
          <w:rFonts w:ascii="Arial" w:hAnsi="Arial" w:cs="Arial"/>
          <w:color w:val="000000"/>
          <w:sz w:val="22"/>
          <w:szCs w:val="22"/>
        </w:rPr>
        <w:t>nstrument conditions w</w:t>
      </w:r>
      <w:r w:rsidR="000D4DFB">
        <w:rPr>
          <w:rFonts w:ascii="Arial" w:hAnsi="Arial" w:cs="Arial"/>
          <w:color w:val="000000"/>
          <w:sz w:val="22"/>
          <w:szCs w:val="22"/>
        </w:rPr>
        <w:t xml:space="preserve">as previously described </w:t>
      </w:r>
      <w:r w:rsidR="000D4DFB">
        <w:rPr>
          <w:rFonts w:ascii="Arial" w:hAnsi="Arial" w:cs="Arial"/>
          <w:color w:val="000000"/>
          <w:sz w:val="22"/>
          <w:szCs w:val="22"/>
        </w:rPr>
        <w:fldChar w:fldCharType="begin"/>
      </w:r>
      <w:r w:rsidR="000D4DFB">
        <w:rPr>
          <w:rFonts w:ascii="Arial" w:hAnsi="Arial" w:cs="Arial"/>
          <w:color w:val="000000"/>
          <w:sz w:val="22"/>
          <w:szCs w:val="22"/>
        </w:rPr>
        <w:instrText xml:space="preserve"> ADDIN ZOTERO_ITEM CSL_CITATION {"citationID":"1hktv10acj","properties":{"formattedCitation":"{\\rtf \\super 2\\nosupersub{}}","plainCitation":"2"},"citationItems":[{"id":1512,"uris":["http://zotero.org/groups/26731/items/679KJZIK"],"uri":["http://zotero.org/groups/26731/items/679KJZIK"],"itemData":{"id":1512,"type":"article-journal","title":"Aquatic toxicity of airfield-pavement deicer materials and implications for airport runoff","container-title":"Environmental science &amp; technology","page":"40-46","volume":"43","issue":"1","ISSN":"0013-936X","note":"Journal Article","journalAbbreviation":"Environ.Sci.Technol.","author":[{"family":"Corsi","given":"S. R."},{"family":"Geis","given":"S. W."},{"family":"Bowman","given":"G."},{"family":"Failey","given":"G. G."},{"family":"Rutter","given":"T. D."}],"issued":{"date-parts":[["2009",1,1]]}}}],"schema":"https://github.com/citation-style-language/schema/raw/master/csl-citation.json"} </w:instrText>
      </w:r>
      <w:r w:rsidR="000D4DFB">
        <w:rPr>
          <w:rFonts w:ascii="Arial" w:hAnsi="Arial" w:cs="Arial"/>
          <w:color w:val="000000"/>
          <w:sz w:val="22"/>
          <w:szCs w:val="22"/>
        </w:rPr>
        <w:fldChar w:fldCharType="separate"/>
      </w:r>
      <w:r w:rsidR="00CE34EC" w:rsidRPr="00CE34EC">
        <w:rPr>
          <w:rFonts w:ascii="Arial" w:hAnsi="Arial" w:cs="Arial"/>
          <w:sz w:val="22"/>
          <w:vertAlign w:val="superscript"/>
        </w:rPr>
        <w:t>2</w:t>
      </w:r>
      <w:r w:rsidR="000D4DFB">
        <w:rPr>
          <w:rFonts w:ascii="Arial" w:hAnsi="Arial" w:cs="Arial"/>
          <w:color w:val="000000"/>
          <w:sz w:val="22"/>
          <w:szCs w:val="22"/>
        </w:rPr>
        <w:fldChar w:fldCharType="end"/>
      </w:r>
      <w:r w:rsidR="000D4DFB">
        <w:rPr>
          <w:rFonts w:ascii="Arial" w:hAnsi="Arial" w:cs="Arial"/>
          <w:color w:val="000000"/>
          <w:sz w:val="22"/>
          <w:szCs w:val="22"/>
        </w:rPr>
        <w:t xml:space="preserve">. </w:t>
      </w:r>
      <w:r w:rsidR="00D93CE0">
        <w:rPr>
          <w:rFonts w:ascii="Arial" w:hAnsi="Arial" w:cs="Arial"/>
          <w:color w:val="000000"/>
          <w:sz w:val="22"/>
          <w:szCs w:val="22"/>
        </w:rPr>
        <w:t>Reporting levels were determined as the concentrations below which spike recoveries exceed</w:t>
      </w:r>
      <w:r w:rsidR="000D4DFB">
        <w:rPr>
          <w:rFonts w:ascii="Arial" w:hAnsi="Arial" w:cs="Arial"/>
          <w:color w:val="000000"/>
          <w:sz w:val="22"/>
          <w:szCs w:val="22"/>
        </w:rPr>
        <w:t>ed</w:t>
      </w:r>
      <w:r w:rsidR="00D93CE0">
        <w:rPr>
          <w:rFonts w:ascii="Arial" w:hAnsi="Arial" w:cs="Arial"/>
          <w:color w:val="000000"/>
          <w:sz w:val="22"/>
          <w:szCs w:val="22"/>
        </w:rPr>
        <w:t xml:space="preserve"> 25% uncertainty (5 mg/L for acetate</w:t>
      </w:r>
      <w:r w:rsidR="000D4DFB">
        <w:rPr>
          <w:rFonts w:ascii="Arial" w:hAnsi="Arial" w:cs="Arial"/>
          <w:color w:val="000000"/>
          <w:sz w:val="22"/>
          <w:szCs w:val="22"/>
        </w:rPr>
        <w:t xml:space="preserve">). </w:t>
      </w:r>
      <w:r w:rsidR="008070FC">
        <w:rPr>
          <w:rFonts w:ascii="Arial" w:hAnsi="Arial" w:cs="Arial"/>
          <w:color w:val="000000"/>
          <w:sz w:val="22"/>
          <w:szCs w:val="22"/>
        </w:rPr>
        <w:t xml:space="preserve">Samples for acetate were filtered (PALL, </w:t>
      </w:r>
      <w:proofErr w:type="spellStart"/>
      <w:r w:rsidR="008070FC">
        <w:rPr>
          <w:rFonts w:ascii="Arial" w:hAnsi="Arial" w:cs="Arial"/>
          <w:color w:val="000000"/>
          <w:sz w:val="22"/>
          <w:szCs w:val="22"/>
        </w:rPr>
        <w:t>Acrodisc</w:t>
      </w:r>
      <w:proofErr w:type="spellEnd"/>
      <w:r w:rsidR="008070FC">
        <w:rPr>
          <w:rFonts w:ascii="Arial" w:hAnsi="Arial" w:cs="Arial"/>
          <w:color w:val="000000"/>
          <w:sz w:val="22"/>
          <w:szCs w:val="22"/>
        </w:rPr>
        <w:t xml:space="preserve"> </w:t>
      </w:r>
      <w:r w:rsidR="00062654">
        <w:rPr>
          <w:rFonts w:ascii="Arial" w:hAnsi="Arial" w:cs="Arial"/>
          <w:color w:val="000000"/>
          <w:sz w:val="22"/>
          <w:szCs w:val="22"/>
          <w:vertAlign w:val="superscript"/>
        </w:rPr>
        <w:t xml:space="preserve">® </w:t>
      </w:r>
      <w:r w:rsidR="00062654" w:rsidRPr="00062654">
        <w:rPr>
          <w:rFonts w:ascii="Arial" w:hAnsi="Arial" w:cs="Arial"/>
          <w:color w:val="000000"/>
          <w:sz w:val="22"/>
          <w:szCs w:val="22"/>
        </w:rPr>
        <w:t>0.2</w:t>
      </w:r>
      <w:r w:rsidR="008070FC">
        <w:rPr>
          <w:rFonts w:ascii="Arial" w:hAnsi="Arial" w:cs="Arial"/>
          <w:color w:val="000000"/>
          <w:sz w:val="22"/>
          <w:szCs w:val="22"/>
        </w:rPr>
        <w:t xml:space="preserve"> </w:t>
      </w:r>
      <w:r w:rsidR="008070FC" w:rsidRPr="00E813C3">
        <w:rPr>
          <w:rFonts w:ascii="Arial" w:hAnsi="Arial" w:cs="Arial"/>
          <w:color w:val="000000"/>
          <w:sz w:val="22"/>
          <w:szCs w:val="22"/>
        </w:rPr>
        <w:t>µ</w:t>
      </w:r>
      <w:r w:rsidR="008070FC">
        <w:rPr>
          <w:rFonts w:ascii="Arial" w:hAnsi="Arial" w:cs="Arial"/>
          <w:color w:val="000000"/>
          <w:sz w:val="22"/>
          <w:szCs w:val="22"/>
        </w:rPr>
        <w:t xml:space="preserve">m nylon membrane, 25 mm </w:t>
      </w:r>
      <w:r w:rsidR="00F6249E">
        <w:rPr>
          <w:rFonts w:ascii="Arial" w:hAnsi="Arial" w:cs="Arial"/>
          <w:color w:val="000000"/>
          <w:sz w:val="22"/>
          <w:szCs w:val="22"/>
        </w:rPr>
        <w:t xml:space="preserve">capsule </w:t>
      </w:r>
      <w:r w:rsidR="00062654">
        <w:rPr>
          <w:rFonts w:ascii="Arial" w:hAnsi="Arial" w:cs="Arial"/>
          <w:color w:val="000000"/>
          <w:sz w:val="22"/>
          <w:szCs w:val="22"/>
        </w:rPr>
        <w:t>syringe filter) into one 40 ml plastic bottle.</w:t>
      </w:r>
      <w:r w:rsidR="00D93CE0">
        <w:rPr>
          <w:rFonts w:ascii="Arial" w:hAnsi="Arial" w:cs="Arial"/>
          <w:color w:val="000000"/>
          <w:sz w:val="22"/>
          <w:szCs w:val="22"/>
        </w:rPr>
        <w:t xml:space="preserve"> Samples collected for glycol were filtered (</w:t>
      </w:r>
      <w:proofErr w:type="spellStart"/>
      <w:r w:rsidR="00D93CE0">
        <w:rPr>
          <w:rFonts w:ascii="Arial" w:hAnsi="Arial" w:cs="Arial"/>
          <w:color w:val="000000"/>
          <w:sz w:val="22"/>
          <w:szCs w:val="22"/>
        </w:rPr>
        <w:t>Whatman</w:t>
      </w:r>
      <w:proofErr w:type="spellEnd"/>
      <w:r w:rsidR="00D93CE0">
        <w:rPr>
          <w:rFonts w:ascii="Arial" w:hAnsi="Arial" w:cs="Arial"/>
          <w:color w:val="000000"/>
          <w:sz w:val="22"/>
          <w:szCs w:val="22"/>
        </w:rPr>
        <w:t xml:space="preserve">, 0.2 </w:t>
      </w:r>
      <w:r w:rsidR="00D93CE0" w:rsidRPr="00E813C3">
        <w:rPr>
          <w:rFonts w:ascii="Arial" w:hAnsi="Arial" w:cs="Arial"/>
          <w:color w:val="000000"/>
          <w:sz w:val="22"/>
          <w:szCs w:val="22"/>
        </w:rPr>
        <w:t>µ</w:t>
      </w:r>
      <w:r w:rsidR="00D93CE0">
        <w:rPr>
          <w:rFonts w:ascii="Arial" w:hAnsi="Arial" w:cs="Arial"/>
          <w:color w:val="000000"/>
          <w:sz w:val="22"/>
          <w:szCs w:val="22"/>
        </w:rPr>
        <w:t xml:space="preserve">m CA filter media, 25mm polypropylene capsule syringe filter) into two individual 40 ml plastic bottles. </w:t>
      </w:r>
      <w:r w:rsidR="00062654">
        <w:rPr>
          <w:rFonts w:ascii="Arial" w:hAnsi="Arial" w:cs="Arial"/>
          <w:color w:val="000000"/>
          <w:sz w:val="22"/>
          <w:szCs w:val="22"/>
        </w:rPr>
        <w:t xml:space="preserve">Raw surface water for </w:t>
      </w:r>
      <w:r w:rsidR="00D91138">
        <w:rPr>
          <w:rFonts w:ascii="Arial" w:hAnsi="Arial" w:cs="Arial"/>
          <w:color w:val="000000"/>
          <w:sz w:val="22"/>
          <w:szCs w:val="22"/>
        </w:rPr>
        <w:t>COD samples w</w:t>
      </w:r>
      <w:r w:rsidR="00891424">
        <w:rPr>
          <w:rFonts w:ascii="Arial" w:hAnsi="Arial" w:cs="Arial"/>
          <w:color w:val="000000"/>
          <w:sz w:val="22"/>
          <w:szCs w:val="22"/>
        </w:rPr>
        <w:t>as</w:t>
      </w:r>
      <w:r w:rsidR="00D91138">
        <w:rPr>
          <w:rFonts w:ascii="Arial" w:hAnsi="Arial" w:cs="Arial"/>
          <w:color w:val="000000"/>
          <w:sz w:val="22"/>
          <w:szCs w:val="22"/>
        </w:rPr>
        <w:t xml:space="preserve"> </w:t>
      </w:r>
      <w:r w:rsidR="00062654">
        <w:rPr>
          <w:rFonts w:ascii="Arial" w:hAnsi="Arial" w:cs="Arial"/>
          <w:color w:val="000000"/>
          <w:sz w:val="22"/>
          <w:szCs w:val="22"/>
        </w:rPr>
        <w:t xml:space="preserve">preserved with </w:t>
      </w:r>
      <w:r w:rsidR="00891424">
        <w:rPr>
          <w:rFonts w:ascii="Arial" w:hAnsi="Arial" w:cs="Arial"/>
          <w:color w:val="000000"/>
          <w:sz w:val="22"/>
          <w:szCs w:val="22"/>
        </w:rPr>
        <w:t>1.0 ml of a</w:t>
      </w:r>
      <w:r w:rsidR="00062654">
        <w:rPr>
          <w:rFonts w:ascii="Arial" w:hAnsi="Arial" w:cs="Arial"/>
          <w:color w:val="000000"/>
          <w:sz w:val="22"/>
          <w:szCs w:val="22"/>
        </w:rPr>
        <w:t xml:space="preserve"> 1 to 3 sulfuric acid solution in a 250 ml plastic bottle prior to </w:t>
      </w:r>
      <w:r w:rsidR="00D91138">
        <w:rPr>
          <w:rFonts w:ascii="Arial" w:hAnsi="Arial" w:cs="Arial"/>
          <w:color w:val="000000"/>
          <w:sz w:val="22"/>
          <w:szCs w:val="22"/>
        </w:rPr>
        <w:t>deliver</w:t>
      </w:r>
      <w:r w:rsidR="00062654">
        <w:rPr>
          <w:rFonts w:ascii="Arial" w:hAnsi="Arial" w:cs="Arial"/>
          <w:color w:val="000000"/>
          <w:sz w:val="22"/>
          <w:szCs w:val="22"/>
        </w:rPr>
        <w:t>y</w:t>
      </w:r>
      <w:r w:rsidR="00D91138">
        <w:rPr>
          <w:rFonts w:ascii="Arial" w:hAnsi="Arial" w:cs="Arial"/>
          <w:color w:val="000000"/>
          <w:sz w:val="22"/>
          <w:szCs w:val="22"/>
        </w:rPr>
        <w:t xml:space="preserve"> to </w:t>
      </w:r>
      <w:r w:rsidR="007C1F44">
        <w:rPr>
          <w:rFonts w:ascii="Arial" w:hAnsi="Arial" w:cs="Arial"/>
          <w:color w:val="000000"/>
          <w:sz w:val="22"/>
          <w:szCs w:val="22"/>
        </w:rPr>
        <w:t>W</w:t>
      </w:r>
      <w:r w:rsidR="00062654">
        <w:rPr>
          <w:rFonts w:ascii="Arial" w:hAnsi="Arial" w:cs="Arial"/>
          <w:color w:val="000000"/>
          <w:sz w:val="22"/>
          <w:szCs w:val="22"/>
        </w:rPr>
        <w:t>SLH</w:t>
      </w:r>
      <w:r w:rsidR="00D91138">
        <w:rPr>
          <w:rFonts w:ascii="Arial" w:hAnsi="Arial" w:cs="Arial"/>
          <w:color w:val="000000"/>
          <w:sz w:val="22"/>
          <w:szCs w:val="22"/>
        </w:rPr>
        <w:t xml:space="preserve">. </w:t>
      </w:r>
      <w:r w:rsidR="00E16A75">
        <w:rPr>
          <w:rFonts w:ascii="Arial" w:hAnsi="Arial" w:cs="Arial"/>
          <w:color w:val="000000"/>
          <w:sz w:val="22"/>
          <w:szCs w:val="22"/>
        </w:rPr>
        <w:t>M</w:t>
      </w:r>
      <w:r>
        <w:rPr>
          <w:rFonts w:ascii="Arial" w:hAnsi="Arial" w:cs="Arial"/>
          <w:color w:val="000000"/>
          <w:sz w:val="22"/>
          <w:szCs w:val="22"/>
        </w:rPr>
        <w:t>ethods</w:t>
      </w:r>
      <w:r w:rsidR="00E16A75">
        <w:rPr>
          <w:rFonts w:ascii="Arial" w:hAnsi="Arial" w:cs="Arial"/>
          <w:color w:val="000000"/>
          <w:sz w:val="22"/>
          <w:szCs w:val="22"/>
        </w:rPr>
        <w:t xml:space="preserve"> for</w:t>
      </w:r>
      <w:r>
        <w:rPr>
          <w:rFonts w:ascii="Arial" w:hAnsi="Arial" w:cs="Arial"/>
          <w:color w:val="000000"/>
          <w:sz w:val="22"/>
          <w:szCs w:val="22"/>
        </w:rPr>
        <w:t xml:space="preserve"> the analysis of propylene</w:t>
      </w:r>
      <w:r w:rsidR="00E16A75">
        <w:rPr>
          <w:rFonts w:ascii="Arial" w:hAnsi="Arial" w:cs="Arial"/>
          <w:color w:val="000000"/>
          <w:sz w:val="22"/>
          <w:szCs w:val="22"/>
        </w:rPr>
        <w:t xml:space="preserve"> and ethylene glycol</w:t>
      </w:r>
      <w:r>
        <w:rPr>
          <w:rFonts w:ascii="Arial" w:hAnsi="Arial" w:cs="Arial"/>
          <w:color w:val="000000"/>
          <w:sz w:val="22"/>
          <w:szCs w:val="22"/>
        </w:rPr>
        <w:t xml:space="preserve"> and COD</w:t>
      </w:r>
      <w:r w:rsidR="00E16A75">
        <w:rPr>
          <w:rFonts w:ascii="Arial" w:hAnsi="Arial" w:cs="Arial"/>
          <w:color w:val="000000"/>
          <w:sz w:val="22"/>
          <w:szCs w:val="22"/>
        </w:rPr>
        <w:t xml:space="preserve"> have been previously published</w:t>
      </w:r>
      <w:r w:rsidR="00143226">
        <w:rPr>
          <w:rFonts w:ascii="Arial" w:hAnsi="Arial" w:cs="Arial"/>
          <w:color w:val="000000"/>
          <w:sz w:val="22"/>
          <w:szCs w:val="22"/>
        </w:rPr>
        <w:t xml:space="preserve"> </w:t>
      </w:r>
      <w:r w:rsidR="00143226">
        <w:rPr>
          <w:rFonts w:ascii="Arial" w:hAnsi="Arial" w:cs="Arial"/>
          <w:color w:val="000000"/>
          <w:sz w:val="22"/>
          <w:szCs w:val="22"/>
        </w:rPr>
        <w:fldChar w:fldCharType="begin"/>
      </w:r>
      <w:r w:rsidR="00CE34EC">
        <w:rPr>
          <w:rFonts w:ascii="Arial" w:hAnsi="Arial" w:cs="Arial"/>
          <w:color w:val="000000"/>
          <w:sz w:val="22"/>
          <w:szCs w:val="22"/>
        </w:rPr>
        <w:instrText xml:space="preserve"> ADDIN ZOTERO_ITEM CSL_CITATION {"citationID":"pkMmi77M","properties":{"formattedCitation":"{\\rtf \\super 3,4\\nosupersub{}}","plainCitation":"3,4"},"citationItems":[{"id":3710,"uris":["http://zotero.org/users/1936352/items/RVVV4PCV"],"uri":["http://zotero.org/users/1936352/items/RVVV4PCV"],"itemData":{"id":3710,"type":"book","title":"Standard Methods for Examination of Water and Wastewater","publisher":"American Public Health Association","publisher-place":"Washington D.C.","edition":"20th","event-place":"Washington D.C.","editor":[{"literal":"Clesceri, L. S., Greenberg, A. E., Eaton, A. D.,"}],"issued":{"date-parts":[["1998"]]}}},{"id":3712,"uris":["http://zotero.org/users/1936352/items/VX94WWT8"],"uri":["http://zotero.org/users/1936352/items/VX94WWT8"],"itemData":{"id":3712,"type":"chapter","title":"Standard test methods for chemical oxygen demand (dichromate oxygen demand) of water","container-title":"The Annual Book of ASTM Standards 2000","publisher":"ASTM","publisher-place":"West Conshohochen, PA","page":"1-11","volume":"11.02","number-of-volumes":"11","event-place":"West Conshohochen, PA","author":[{"literal":"American Society for Testing and Materials International"}],"issued":{"date-parts":[["2000"]]}}}],"schema":"https://github.com/citation-style-language/schema/raw/master/csl-citation.json"} </w:instrText>
      </w:r>
      <w:r w:rsidR="00143226">
        <w:rPr>
          <w:rFonts w:ascii="Arial" w:hAnsi="Arial" w:cs="Arial"/>
          <w:color w:val="000000"/>
          <w:sz w:val="22"/>
          <w:szCs w:val="22"/>
        </w:rPr>
        <w:fldChar w:fldCharType="separate"/>
      </w:r>
      <w:r w:rsidR="00CE34EC" w:rsidRPr="00CE34EC">
        <w:rPr>
          <w:rFonts w:ascii="Arial" w:hAnsi="Arial" w:cs="Arial"/>
          <w:sz w:val="22"/>
          <w:vertAlign w:val="superscript"/>
        </w:rPr>
        <w:t>3,4</w:t>
      </w:r>
      <w:r w:rsidR="00143226">
        <w:rPr>
          <w:rFonts w:ascii="Arial" w:hAnsi="Arial" w:cs="Arial"/>
          <w:color w:val="000000"/>
          <w:sz w:val="22"/>
          <w:szCs w:val="22"/>
        </w:rPr>
        <w:fldChar w:fldCharType="end"/>
      </w:r>
      <w:r>
        <w:rPr>
          <w:rFonts w:ascii="Arial" w:hAnsi="Arial" w:cs="Arial"/>
          <w:color w:val="000000"/>
          <w:sz w:val="22"/>
          <w:szCs w:val="22"/>
        </w:rPr>
        <w:t>.</w:t>
      </w:r>
      <w:r w:rsidR="00E813C3">
        <w:rPr>
          <w:rFonts w:ascii="Arial" w:hAnsi="Arial" w:cs="Arial"/>
          <w:color w:val="000000"/>
          <w:sz w:val="22"/>
          <w:szCs w:val="22"/>
        </w:rPr>
        <w:t xml:space="preserve"> </w:t>
      </w:r>
      <w:r>
        <w:rPr>
          <w:rFonts w:ascii="Arial" w:hAnsi="Arial" w:cs="Arial"/>
          <w:color w:val="000000"/>
          <w:sz w:val="22"/>
          <w:szCs w:val="22"/>
        </w:rPr>
        <w:t xml:space="preserve">  </w:t>
      </w:r>
      <w:r w:rsidR="00D267AD">
        <w:rPr>
          <w:rFonts w:ascii="Arial" w:hAnsi="Arial" w:cs="Arial"/>
          <w:color w:val="000000"/>
          <w:sz w:val="22"/>
          <w:szCs w:val="22"/>
        </w:rPr>
        <w:t xml:space="preserve"> </w:t>
      </w:r>
    </w:p>
    <w:p w:rsidR="007C1F44" w:rsidRDefault="007C1F44" w:rsidP="00E813C3">
      <w:pPr>
        <w:pStyle w:val="NormalWeb"/>
        <w:spacing w:before="0" w:beforeAutospacing="0" w:after="0" w:afterAutospacing="0"/>
        <w:rPr>
          <w:rFonts w:ascii="Arial" w:hAnsi="Arial" w:cs="Arial"/>
          <w:color w:val="000000"/>
          <w:sz w:val="22"/>
          <w:szCs w:val="22"/>
        </w:rPr>
      </w:pPr>
    </w:p>
    <w:p w:rsidR="007C1F44" w:rsidRDefault="007C1F44" w:rsidP="00E813C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Troy to gather blank and replicate data for WSLH field QA/QC. (</w:t>
      </w:r>
      <w:proofErr w:type="gramStart"/>
      <w:r>
        <w:rPr>
          <w:rFonts w:ascii="Arial" w:hAnsi="Arial" w:cs="Arial"/>
          <w:color w:val="000000"/>
          <w:sz w:val="22"/>
          <w:szCs w:val="22"/>
        </w:rPr>
        <w:t>possibly</w:t>
      </w:r>
      <w:proofErr w:type="gramEnd"/>
      <w:r>
        <w:rPr>
          <w:rFonts w:ascii="Arial" w:hAnsi="Arial" w:cs="Arial"/>
          <w:color w:val="000000"/>
          <w:sz w:val="22"/>
          <w:szCs w:val="22"/>
        </w:rPr>
        <w:t xml:space="preserve"> have Troy gather MSDS sheets).</w:t>
      </w:r>
    </w:p>
    <w:p w:rsidR="00891424" w:rsidRDefault="00891424" w:rsidP="00E813C3">
      <w:pPr>
        <w:pStyle w:val="NormalWeb"/>
        <w:spacing w:before="0" w:beforeAutospacing="0" w:after="0" w:afterAutospacing="0"/>
        <w:rPr>
          <w:rFonts w:ascii="Arial" w:hAnsi="Arial" w:cs="Arial"/>
          <w:color w:val="000000"/>
          <w:sz w:val="22"/>
          <w:szCs w:val="22"/>
        </w:rPr>
      </w:pPr>
    </w:p>
    <w:p w:rsidR="00E813C3" w:rsidRDefault="00E813C3" w:rsidP="00E813C3">
      <w:pPr>
        <w:pStyle w:val="NormalWeb"/>
        <w:spacing w:before="0" w:beforeAutospacing="0" w:after="0" w:afterAutospacing="0"/>
        <w:rPr>
          <w:rFonts w:ascii="Arial" w:hAnsi="Arial" w:cs="Arial"/>
          <w:i/>
          <w:color w:val="000000"/>
          <w:sz w:val="22"/>
          <w:szCs w:val="22"/>
        </w:rPr>
      </w:pPr>
      <w:r>
        <w:rPr>
          <w:rFonts w:ascii="Arial" w:hAnsi="Arial" w:cs="Arial"/>
          <w:i/>
          <w:color w:val="000000"/>
          <w:sz w:val="22"/>
          <w:szCs w:val="22"/>
        </w:rPr>
        <w:t>Dissolved Organic Carbon</w:t>
      </w:r>
      <w:r w:rsidR="00F6249E">
        <w:rPr>
          <w:rFonts w:ascii="Arial" w:hAnsi="Arial" w:cs="Arial"/>
          <w:i/>
          <w:color w:val="000000"/>
          <w:sz w:val="22"/>
          <w:szCs w:val="22"/>
        </w:rPr>
        <w:t xml:space="preserve"> (DOC)</w:t>
      </w:r>
      <w:r w:rsidR="00295209">
        <w:rPr>
          <w:rFonts w:ascii="Arial" w:hAnsi="Arial" w:cs="Arial"/>
          <w:i/>
          <w:color w:val="000000"/>
          <w:sz w:val="22"/>
          <w:szCs w:val="22"/>
        </w:rPr>
        <w:t xml:space="preserve"> </w:t>
      </w:r>
      <w:r w:rsidR="00F75466">
        <w:rPr>
          <w:rFonts w:ascii="Arial" w:hAnsi="Arial" w:cs="Arial"/>
          <w:i/>
          <w:color w:val="000000"/>
          <w:sz w:val="22"/>
          <w:szCs w:val="22"/>
        </w:rPr>
        <w:t xml:space="preserve">and Optical </w:t>
      </w:r>
      <w:r w:rsidR="00295209">
        <w:rPr>
          <w:rFonts w:ascii="Arial" w:hAnsi="Arial" w:cs="Arial"/>
          <w:i/>
          <w:color w:val="000000"/>
          <w:sz w:val="22"/>
          <w:szCs w:val="22"/>
        </w:rPr>
        <w:t>Analysis</w:t>
      </w:r>
    </w:p>
    <w:p w:rsidR="007C588D" w:rsidRDefault="00F6249E" w:rsidP="00E813C3">
      <w:pPr>
        <w:pStyle w:val="NormalWeb"/>
        <w:spacing w:before="0" w:beforeAutospacing="0" w:after="0" w:afterAutospacing="0"/>
        <w:rPr>
          <w:rFonts w:ascii="Arial" w:hAnsi="Arial" w:cs="Arial"/>
          <w:color w:val="000000"/>
          <w:sz w:val="22"/>
          <w:szCs w:val="22"/>
        </w:rPr>
      </w:pPr>
      <w:r>
        <w:rPr>
          <w:rFonts w:ascii="Arial" w:hAnsi="Arial" w:cs="Arial"/>
          <w:i/>
          <w:color w:val="000000"/>
          <w:sz w:val="22"/>
          <w:szCs w:val="22"/>
        </w:rPr>
        <w:tab/>
      </w:r>
      <w:r w:rsidR="00891424">
        <w:rPr>
          <w:rFonts w:ascii="Arial" w:hAnsi="Arial" w:cs="Arial"/>
          <w:color w:val="000000"/>
          <w:sz w:val="22"/>
          <w:szCs w:val="22"/>
        </w:rPr>
        <w:t>Environmental s</w:t>
      </w:r>
      <w:r>
        <w:rPr>
          <w:rFonts w:ascii="Arial" w:hAnsi="Arial" w:cs="Arial"/>
          <w:color w:val="000000"/>
          <w:sz w:val="22"/>
          <w:szCs w:val="22"/>
        </w:rPr>
        <w:t>amples for DOC and optical analyses were filtered (</w:t>
      </w:r>
      <w:proofErr w:type="spellStart"/>
      <w:r>
        <w:rPr>
          <w:rFonts w:ascii="Arial" w:hAnsi="Arial" w:cs="Arial"/>
          <w:color w:val="000000"/>
          <w:sz w:val="22"/>
          <w:szCs w:val="22"/>
        </w:rPr>
        <w:t>Whatman</w:t>
      </w:r>
      <w:proofErr w:type="spellEnd"/>
      <w:r w:rsidR="007C588D">
        <w:rPr>
          <w:rFonts w:ascii="Arial" w:hAnsi="Arial" w:cs="Arial"/>
          <w:color w:val="000000"/>
          <w:sz w:val="22"/>
          <w:szCs w:val="22"/>
        </w:rPr>
        <w:t>®</w:t>
      </w:r>
      <w:r>
        <w:rPr>
          <w:rFonts w:ascii="Arial" w:hAnsi="Arial" w:cs="Arial"/>
          <w:color w:val="000000"/>
          <w:sz w:val="22"/>
          <w:szCs w:val="22"/>
        </w:rPr>
        <w:t xml:space="preserve"> glass microfiber </w:t>
      </w:r>
      <w:r w:rsidR="007C588D">
        <w:rPr>
          <w:rFonts w:ascii="Arial" w:hAnsi="Arial" w:cs="Arial"/>
          <w:color w:val="000000"/>
          <w:sz w:val="22"/>
          <w:szCs w:val="22"/>
        </w:rPr>
        <w:t xml:space="preserve">syringe </w:t>
      </w:r>
      <w:r>
        <w:rPr>
          <w:rFonts w:ascii="Arial" w:hAnsi="Arial" w:cs="Arial"/>
          <w:color w:val="000000"/>
          <w:sz w:val="22"/>
          <w:szCs w:val="22"/>
        </w:rPr>
        <w:t>filter</w:t>
      </w:r>
      <w:r w:rsidR="007C588D">
        <w:rPr>
          <w:rFonts w:ascii="Arial" w:hAnsi="Arial" w:cs="Arial"/>
          <w:color w:val="000000"/>
          <w:sz w:val="22"/>
          <w:szCs w:val="22"/>
        </w:rPr>
        <w:t>s</w:t>
      </w:r>
      <w:r>
        <w:rPr>
          <w:rFonts w:ascii="Arial" w:hAnsi="Arial" w:cs="Arial"/>
          <w:color w:val="000000"/>
          <w:sz w:val="22"/>
          <w:szCs w:val="22"/>
        </w:rPr>
        <w:t>,</w:t>
      </w:r>
      <w:r w:rsidR="007C588D">
        <w:rPr>
          <w:rFonts w:ascii="Arial" w:hAnsi="Arial" w:cs="Arial"/>
          <w:color w:val="000000"/>
          <w:sz w:val="22"/>
          <w:szCs w:val="22"/>
        </w:rPr>
        <w:t xml:space="preserve"> pore size 0.45 </w:t>
      </w:r>
      <w:r w:rsidR="007C588D" w:rsidRPr="007C588D">
        <w:rPr>
          <w:rFonts w:ascii="Arial" w:hAnsi="Arial" w:cs="Arial"/>
          <w:color w:val="000000"/>
          <w:sz w:val="22"/>
          <w:szCs w:val="22"/>
        </w:rPr>
        <w:t>µ</w:t>
      </w:r>
      <w:r w:rsidR="007C588D">
        <w:rPr>
          <w:rFonts w:ascii="Calibri" w:hAnsi="Calibri" w:cs="Arial"/>
          <w:color w:val="000000"/>
          <w:sz w:val="22"/>
          <w:szCs w:val="22"/>
        </w:rPr>
        <w:t>M</w:t>
      </w:r>
      <w:r>
        <w:rPr>
          <w:rFonts w:ascii="Arial" w:hAnsi="Arial" w:cs="Arial"/>
          <w:color w:val="000000"/>
          <w:sz w:val="22"/>
          <w:szCs w:val="22"/>
        </w:rPr>
        <w:t xml:space="preserve">) into two pre-combusted 40 ml amber glass vials. </w:t>
      </w:r>
      <w:r w:rsidR="004E1141">
        <w:rPr>
          <w:rFonts w:ascii="Arial" w:hAnsi="Arial" w:cs="Arial"/>
          <w:color w:val="000000"/>
          <w:sz w:val="22"/>
          <w:szCs w:val="22"/>
        </w:rPr>
        <w:t>Deicer and anti-</w:t>
      </w:r>
      <w:proofErr w:type="spellStart"/>
      <w:r w:rsidR="004E1141">
        <w:rPr>
          <w:rFonts w:ascii="Arial" w:hAnsi="Arial" w:cs="Arial"/>
          <w:color w:val="000000"/>
          <w:sz w:val="22"/>
          <w:szCs w:val="22"/>
        </w:rPr>
        <w:t>icer</w:t>
      </w:r>
      <w:proofErr w:type="spellEnd"/>
      <w:r w:rsidR="004E1141">
        <w:rPr>
          <w:rFonts w:ascii="Arial" w:hAnsi="Arial" w:cs="Arial"/>
          <w:color w:val="000000"/>
          <w:sz w:val="22"/>
          <w:szCs w:val="22"/>
        </w:rPr>
        <w:t xml:space="preserve"> products (Table ##) were unfiltered and analyzed for DOC and optical analysis. For both DOC and optical analysis of the deicer and anti-</w:t>
      </w:r>
      <w:proofErr w:type="spellStart"/>
      <w:r w:rsidR="004E1141">
        <w:rPr>
          <w:rFonts w:ascii="Arial" w:hAnsi="Arial" w:cs="Arial"/>
          <w:color w:val="000000"/>
          <w:sz w:val="22"/>
          <w:szCs w:val="22"/>
        </w:rPr>
        <w:t>icer</w:t>
      </w:r>
      <w:proofErr w:type="spellEnd"/>
      <w:r w:rsidR="004E1141">
        <w:rPr>
          <w:rFonts w:ascii="Arial" w:hAnsi="Arial" w:cs="Arial"/>
          <w:color w:val="000000"/>
          <w:sz w:val="22"/>
          <w:szCs w:val="22"/>
        </w:rPr>
        <w:t xml:space="preserve"> products, serial dilutions were performed to get the samples in range for both analytical instruments. </w:t>
      </w:r>
      <w:r>
        <w:rPr>
          <w:rFonts w:ascii="Arial" w:hAnsi="Arial" w:cs="Arial"/>
          <w:color w:val="000000"/>
          <w:sz w:val="22"/>
          <w:szCs w:val="22"/>
        </w:rPr>
        <w:t xml:space="preserve">Both sample vials were stored in the dark at 4 </w:t>
      </w:r>
      <w:r w:rsidRPr="00F6249E">
        <w:rPr>
          <w:rFonts w:ascii="Arial" w:hAnsi="Arial" w:cs="Arial"/>
          <w:color w:val="000000"/>
          <w:sz w:val="22"/>
          <w:szCs w:val="22"/>
        </w:rPr>
        <w:t>°</w:t>
      </w:r>
      <w:r>
        <w:rPr>
          <w:rFonts w:ascii="Arial" w:hAnsi="Arial" w:cs="Arial"/>
          <w:color w:val="000000"/>
          <w:sz w:val="22"/>
          <w:szCs w:val="22"/>
        </w:rPr>
        <w:t>C until sample analysis. All samples for DOC and optical analysis were analyz</w:t>
      </w:r>
      <w:r w:rsidR="0030155C">
        <w:rPr>
          <w:rFonts w:ascii="Arial" w:hAnsi="Arial" w:cs="Arial"/>
          <w:color w:val="000000"/>
          <w:sz w:val="22"/>
          <w:szCs w:val="22"/>
        </w:rPr>
        <w:t xml:space="preserve">ed within 5 days of collection. </w:t>
      </w:r>
    </w:p>
    <w:p w:rsidR="00295209" w:rsidRPr="00F75466" w:rsidRDefault="0030155C" w:rsidP="007C588D">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D</w:t>
      </w:r>
      <w:r w:rsidR="00D91138">
        <w:rPr>
          <w:rFonts w:ascii="Arial" w:hAnsi="Arial" w:cs="Arial"/>
          <w:color w:val="000000"/>
          <w:sz w:val="22"/>
          <w:szCs w:val="22"/>
        </w:rPr>
        <w:t>OC samples were analyzed using a Shimadzu TOC-V</w:t>
      </w:r>
      <w:r w:rsidR="007C588D" w:rsidRPr="007C588D">
        <w:rPr>
          <w:rFonts w:ascii="Arial" w:hAnsi="Arial" w:cs="Arial"/>
          <w:color w:val="000000"/>
          <w:sz w:val="22"/>
          <w:szCs w:val="22"/>
          <w:vertAlign w:val="subscript"/>
        </w:rPr>
        <w:t>CSH</w:t>
      </w:r>
      <w:r w:rsidR="00D91138">
        <w:rPr>
          <w:rFonts w:ascii="Arial" w:hAnsi="Arial" w:cs="Arial"/>
          <w:color w:val="000000"/>
          <w:sz w:val="22"/>
          <w:szCs w:val="22"/>
        </w:rPr>
        <w:t xml:space="preserve"> analyzer</w:t>
      </w:r>
      <w:r w:rsidR="007C588D">
        <w:rPr>
          <w:rFonts w:ascii="Arial" w:hAnsi="Arial" w:cs="Arial"/>
          <w:color w:val="000000"/>
          <w:sz w:val="22"/>
          <w:szCs w:val="22"/>
        </w:rPr>
        <w:t>,</w:t>
      </w:r>
      <w:r w:rsidR="00D91138">
        <w:rPr>
          <w:rFonts w:ascii="Arial" w:hAnsi="Arial" w:cs="Arial"/>
          <w:color w:val="000000"/>
          <w:sz w:val="22"/>
          <w:szCs w:val="22"/>
        </w:rPr>
        <w:t xml:space="preserve"> </w:t>
      </w:r>
      <w:r w:rsidR="001706DD">
        <w:rPr>
          <w:rFonts w:ascii="Arial" w:hAnsi="Arial" w:cs="Arial"/>
          <w:color w:val="000000"/>
          <w:sz w:val="22"/>
          <w:szCs w:val="22"/>
        </w:rPr>
        <w:t xml:space="preserve">which employs a catalyst-aided platinum 680 </w:t>
      </w:r>
      <w:r w:rsidR="001706DD" w:rsidRPr="00F6249E">
        <w:rPr>
          <w:rFonts w:ascii="Arial" w:hAnsi="Arial" w:cs="Arial"/>
          <w:color w:val="000000"/>
          <w:sz w:val="22"/>
          <w:szCs w:val="22"/>
        </w:rPr>
        <w:t>°</w:t>
      </w:r>
      <w:r w:rsidR="001706DD">
        <w:rPr>
          <w:rFonts w:ascii="Arial" w:hAnsi="Arial" w:cs="Arial"/>
          <w:color w:val="000000"/>
          <w:sz w:val="22"/>
          <w:szCs w:val="22"/>
        </w:rPr>
        <w:t>C combustion technique</w:t>
      </w:r>
      <w:r w:rsidR="007C588D">
        <w:rPr>
          <w:rFonts w:ascii="Arial" w:hAnsi="Arial" w:cs="Arial"/>
          <w:color w:val="000000"/>
          <w:sz w:val="22"/>
          <w:szCs w:val="22"/>
        </w:rPr>
        <w:t>,</w:t>
      </w:r>
      <w:r w:rsidR="001706DD">
        <w:rPr>
          <w:rFonts w:ascii="Arial" w:hAnsi="Arial" w:cs="Arial"/>
          <w:color w:val="000000"/>
          <w:sz w:val="22"/>
          <w:szCs w:val="22"/>
        </w:rPr>
        <w:t xml:space="preserve"> coupled </w:t>
      </w:r>
      <w:r w:rsidR="00D91138">
        <w:rPr>
          <w:rFonts w:ascii="Arial" w:hAnsi="Arial" w:cs="Arial"/>
          <w:color w:val="000000"/>
          <w:sz w:val="22"/>
          <w:szCs w:val="22"/>
        </w:rPr>
        <w:t xml:space="preserve">with </w:t>
      </w:r>
      <w:r w:rsidR="007C588D">
        <w:rPr>
          <w:rFonts w:ascii="Arial" w:hAnsi="Arial" w:cs="Arial"/>
          <w:color w:val="000000"/>
          <w:sz w:val="22"/>
          <w:szCs w:val="22"/>
        </w:rPr>
        <w:t>the Shimadzu</w:t>
      </w:r>
      <w:r w:rsidR="00D91138">
        <w:rPr>
          <w:rFonts w:ascii="Arial" w:hAnsi="Arial" w:cs="Arial"/>
          <w:color w:val="000000"/>
          <w:sz w:val="22"/>
          <w:szCs w:val="22"/>
        </w:rPr>
        <w:t xml:space="preserve"> ASI-V </w:t>
      </w:r>
      <w:r w:rsidR="007C588D">
        <w:rPr>
          <w:rFonts w:ascii="Arial" w:hAnsi="Arial" w:cs="Arial"/>
          <w:color w:val="000000"/>
          <w:sz w:val="22"/>
          <w:szCs w:val="22"/>
        </w:rPr>
        <w:t>A</w:t>
      </w:r>
      <w:r w:rsidR="00D91138">
        <w:rPr>
          <w:rFonts w:ascii="Arial" w:hAnsi="Arial" w:cs="Arial"/>
          <w:color w:val="000000"/>
          <w:sz w:val="22"/>
          <w:szCs w:val="22"/>
        </w:rPr>
        <w:t>uto sampler</w:t>
      </w:r>
      <w:r w:rsidR="001706DD">
        <w:rPr>
          <w:rFonts w:ascii="Arial" w:hAnsi="Arial" w:cs="Arial"/>
          <w:color w:val="000000"/>
          <w:sz w:val="22"/>
          <w:szCs w:val="22"/>
        </w:rPr>
        <w:t>. The non-</w:t>
      </w:r>
      <w:proofErr w:type="spellStart"/>
      <w:r w:rsidR="001706DD">
        <w:rPr>
          <w:rFonts w:ascii="Arial" w:hAnsi="Arial" w:cs="Arial"/>
          <w:color w:val="000000"/>
          <w:sz w:val="22"/>
          <w:szCs w:val="22"/>
        </w:rPr>
        <w:t>purgeable</w:t>
      </w:r>
      <w:proofErr w:type="spellEnd"/>
      <w:r w:rsidR="001706DD">
        <w:rPr>
          <w:rFonts w:ascii="Arial" w:hAnsi="Arial" w:cs="Arial"/>
          <w:color w:val="000000"/>
          <w:sz w:val="22"/>
          <w:szCs w:val="22"/>
        </w:rPr>
        <w:t xml:space="preserve"> organic carbon (NPOC) analysis method was employed, </w:t>
      </w:r>
      <w:r w:rsidR="007C588D">
        <w:rPr>
          <w:rFonts w:ascii="Arial" w:hAnsi="Arial" w:cs="Arial"/>
          <w:color w:val="000000"/>
          <w:sz w:val="22"/>
          <w:szCs w:val="22"/>
        </w:rPr>
        <w:t xml:space="preserve">in which </w:t>
      </w:r>
      <w:r w:rsidR="001706DD">
        <w:rPr>
          <w:rFonts w:ascii="Arial" w:hAnsi="Arial" w:cs="Arial"/>
          <w:color w:val="000000"/>
          <w:sz w:val="22"/>
          <w:szCs w:val="22"/>
        </w:rPr>
        <w:t xml:space="preserve">samples were </w:t>
      </w:r>
      <w:proofErr w:type="spellStart"/>
      <w:r w:rsidR="001706DD">
        <w:rPr>
          <w:rFonts w:ascii="Arial" w:hAnsi="Arial" w:cs="Arial"/>
          <w:color w:val="000000"/>
          <w:sz w:val="22"/>
          <w:szCs w:val="22"/>
        </w:rPr>
        <w:t>sparged</w:t>
      </w:r>
      <w:proofErr w:type="spellEnd"/>
      <w:r w:rsidR="001706DD">
        <w:rPr>
          <w:rFonts w:ascii="Arial" w:hAnsi="Arial" w:cs="Arial"/>
          <w:color w:val="000000"/>
          <w:sz w:val="22"/>
          <w:szCs w:val="22"/>
        </w:rPr>
        <w:t xml:space="preserve"> with 2 M HCL to remove all inorganic carbon prior to combustion</w:t>
      </w:r>
      <w:r w:rsidR="007C588D">
        <w:rPr>
          <w:rFonts w:ascii="Arial" w:hAnsi="Arial" w:cs="Arial"/>
          <w:color w:val="000000"/>
          <w:sz w:val="22"/>
          <w:szCs w:val="22"/>
        </w:rPr>
        <w:t>.</w:t>
      </w:r>
      <w:r w:rsidR="001706DD">
        <w:rPr>
          <w:rFonts w:ascii="Arial" w:hAnsi="Arial" w:cs="Arial"/>
          <w:color w:val="000000"/>
          <w:sz w:val="22"/>
          <w:szCs w:val="22"/>
        </w:rPr>
        <w:t xml:space="preserve"> </w:t>
      </w:r>
      <w:r w:rsidR="007C588D">
        <w:rPr>
          <w:rFonts w:ascii="Arial" w:hAnsi="Arial" w:cs="Arial"/>
          <w:color w:val="000000"/>
          <w:sz w:val="22"/>
          <w:szCs w:val="22"/>
        </w:rPr>
        <w:t>The</w:t>
      </w:r>
      <w:r w:rsidR="001706DD">
        <w:rPr>
          <w:rFonts w:ascii="Arial" w:hAnsi="Arial" w:cs="Arial"/>
          <w:color w:val="000000"/>
          <w:sz w:val="22"/>
          <w:szCs w:val="22"/>
        </w:rPr>
        <w:t xml:space="preserve"> resultant NPOC </w:t>
      </w:r>
      <w:r w:rsidR="007C588D">
        <w:rPr>
          <w:rFonts w:ascii="Arial" w:hAnsi="Arial" w:cs="Arial"/>
          <w:color w:val="000000"/>
          <w:sz w:val="22"/>
          <w:szCs w:val="22"/>
        </w:rPr>
        <w:t xml:space="preserve">concentrations, given in units of mg/L, were </w:t>
      </w:r>
      <w:r w:rsidR="001706DD">
        <w:rPr>
          <w:rFonts w:ascii="Arial" w:hAnsi="Arial" w:cs="Arial"/>
          <w:color w:val="000000"/>
          <w:sz w:val="22"/>
          <w:szCs w:val="22"/>
        </w:rPr>
        <w:t>calculated as a mean of three valid measurements</w:t>
      </w:r>
      <w:r w:rsidR="007C588D">
        <w:rPr>
          <w:rFonts w:ascii="Arial" w:hAnsi="Arial" w:cs="Arial"/>
          <w:color w:val="000000"/>
          <w:sz w:val="22"/>
          <w:szCs w:val="22"/>
        </w:rPr>
        <w:t xml:space="preserve"> with a maximum standard deviation of 0.1 mg/L. Based on long-term monitoring of blank concentrations from ultra-pure 18.2 </w:t>
      </w:r>
      <w:proofErr w:type="spellStart"/>
      <w:r w:rsidR="007C588D">
        <w:rPr>
          <w:rFonts w:ascii="Arial" w:hAnsi="Arial" w:cs="Arial"/>
          <w:color w:val="000000"/>
          <w:sz w:val="22"/>
          <w:szCs w:val="22"/>
        </w:rPr>
        <w:t>megohm</w:t>
      </w:r>
      <w:proofErr w:type="spellEnd"/>
      <w:r w:rsidR="007C588D">
        <w:rPr>
          <w:rFonts w:ascii="Arial" w:hAnsi="Arial" w:cs="Arial"/>
          <w:color w:val="000000"/>
          <w:sz w:val="22"/>
          <w:szCs w:val="22"/>
        </w:rPr>
        <w:t xml:space="preserve"> water, method detection limit (MDL) for the Shimadzu system is 0.2 mg/L.  </w:t>
      </w:r>
      <w:r w:rsidR="0073610D">
        <w:rPr>
          <w:rFonts w:ascii="Arial" w:hAnsi="Arial" w:cs="Arial"/>
          <w:color w:val="000000"/>
          <w:sz w:val="22"/>
          <w:szCs w:val="22"/>
        </w:rPr>
        <w:t xml:space="preserve"> </w:t>
      </w:r>
    </w:p>
    <w:p w:rsidR="00295209" w:rsidRDefault="0073610D" w:rsidP="00295209">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 xml:space="preserve">A fluorescence excitation-emission matrix (EEM) and absorbance scan measurements were </w:t>
      </w:r>
      <w:r w:rsidR="00743129">
        <w:rPr>
          <w:rFonts w:ascii="Arial" w:hAnsi="Arial" w:cs="Arial"/>
          <w:color w:val="000000"/>
          <w:sz w:val="22"/>
          <w:szCs w:val="22"/>
        </w:rPr>
        <w:t>performed</w:t>
      </w:r>
      <w:r>
        <w:rPr>
          <w:rFonts w:ascii="Arial" w:hAnsi="Arial" w:cs="Arial"/>
          <w:color w:val="000000"/>
          <w:sz w:val="22"/>
          <w:szCs w:val="22"/>
        </w:rPr>
        <w:t xml:space="preserve"> using a </w:t>
      </w:r>
      <w:proofErr w:type="spellStart"/>
      <w:r>
        <w:rPr>
          <w:rFonts w:ascii="Arial" w:hAnsi="Arial" w:cs="Arial"/>
          <w:color w:val="000000"/>
          <w:sz w:val="22"/>
          <w:szCs w:val="22"/>
        </w:rPr>
        <w:t>Jobin</w:t>
      </w:r>
      <w:proofErr w:type="spellEnd"/>
      <w:r>
        <w:rPr>
          <w:rFonts w:ascii="Arial" w:hAnsi="Arial" w:cs="Arial"/>
          <w:color w:val="000000"/>
          <w:sz w:val="22"/>
          <w:szCs w:val="22"/>
        </w:rPr>
        <w:t xml:space="preserve"> </w:t>
      </w:r>
      <w:proofErr w:type="spellStart"/>
      <w:r>
        <w:rPr>
          <w:rFonts w:ascii="Arial" w:hAnsi="Arial" w:cs="Arial"/>
          <w:color w:val="000000"/>
          <w:sz w:val="22"/>
          <w:szCs w:val="22"/>
        </w:rPr>
        <w:t>Yvon</w:t>
      </w:r>
      <w:proofErr w:type="spellEnd"/>
      <w:r>
        <w:rPr>
          <w:rFonts w:ascii="Arial" w:hAnsi="Arial" w:cs="Arial"/>
          <w:color w:val="000000"/>
          <w:sz w:val="22"/>
          <w:szCs w:val="22"/>
        </w:rPr>
        <w:t xml:space="preserve"> Aqualog benchtop </w:t>
      </w:r>
      <w:proofErr w:type="spellStart"/>
      <w:r>
        <w:rPr>
          <w:rFonts w:ascii="Arial" w:hAnsi="Arial" w:cs="Arial"/>
          <w:color w:val="000000"/>
          <w:sz w:val="22"/>
          <w:szCs w:val="22"/>
        </w:rPr>
        <w:t>spectrofluorometer</w:t>
      </w:r>
      <w:proofErr w:type="spellEnd"/>
      <w:r>
        <w:rPr>
          <w:rFonts w:ascii="Arial" w:hAnsi="Arial" w:cs="Arial"/>
          <w:color w:val="000000"/>
          <w:sz w:val="22"/>
          <w:szCs w:val="22"/>
        </w:rPr>
        <w:t>.</w:t>
      </w:r>
      <w:r w:rsidR="00686C34">
        <w:rPr>
          <w:rFonts w:ascii="Arial" w:hAnsi="Arial" w:cs="Arial"/>
          <w:color w:val="000000"/>
          <w:sz w:val="22"/>
          <w:szCs w:val="22"/>
        </w:rPr>
        <w:t xml:space="preserve"> EEMs were generated using excitation (ex) wavelengths of 240 – 800 nm at intervals of 3 nm and emission (</w:t>
      </w:r>
      <w:proofErr w:type="spellStart"/>
      <w:r w:rsidR="00686C34">
        <w:rPr>
          <w:rFonts w:ascii="Arial" w:hAnsi="Arial" w:cs="Arial"/>
          <w:color w:val="000000"/>
          <w:sz w:val="22"/>
          <w:szCs w:val="22"/>
        </w:rPr>
        <w:t>em</w:t>
      </w:r>
      <w:proofErr w:type="spellEnd"/>
      <w:r w:rsidR="00686C34">
        <w:rPr>
          <w:rFonts w:ascii="Arial" w:hAnsi="Arial" w:cs="Arial"/>
          <w:color w:val="000000"/>
          <w:sz w:val="22"/>
          <w:szCs w:val="22"/>
        </w:rPr>
        <w:t>) wavelengths of 247 – 827 nm</w:t>
      </w:r>
      <w:r w:rsidR="001706DD">
        <w:rPr>
          <w:rFonts w:ascii="Arial" w:hAnsi="Arial" w:cs="Arial"/>
          <w:color w:val="000000"/>
          <w:sz w:val="22"/>
          <w:szCs w:val="22"/>
        </w:rPr>
        <w:t xml:space="preserve"> </w:t>
      </w:r>
      <w:r w:rsidR="00295209">
        <w:rPr>
          <w:rFonts w:ascii="Arial" w:hAnsi="Arial" w:cs="Arial"/>
          <w:color w:val="000000"/>
          <w:sz w:val="22"/>
          <w:szCs w:val="22"/>
        </w:rPr>
        <w:t xml:space="preserve">at intervals of 2.33 nm with an integration time of 1 s and a CCD gain set at medium. </w:t>
      </w:r>
      <w:r w:rsidR="00F75466">
        <w:rPr>
          <w:rFonts w:ascii="Arial" w:hAnsi="Arial" w:cs="Arial"/>
          <w:color w:val="000000"/>
          <w:sz w:val="22"/>
          <w:szCs w:val="22"/>
        </w:rPr>
        <w:t>Absorbance</w:t>
      </w:r>
      <w:r w:rsidR="00DF6F00">
        <w:rPr>
          <w:rFonts w:ascii="Arial" w:hAnsi="Arial" w:cs="Arial"/>
          <w:color w:val="000000"/>
          <w:sz w:val="22"/>
          <w:szCs w:val="22"/>
        </w:rPr>
        <w:t xml:space="preserve"> and fluorescence</w:t>
      </w:r>
      <w:r w:rsidR="00F75466">
        <w:rPr>
          <w:rFonts w:ascii="Arial" w:hAnsi="Arial" w:cs="Arial"/>
          <w:color w:val="000000"/>
          <w:sz w:val="22"/>
          <w:szCs w:val="22"/>
        </w:rPr>
        <w:t xml:space="preserve"> analysis were performed </w:t>
      </w:r>
      <w:r w:rsidR="00DF6F00">
        <w:rPr>
          <w:rFonts w:ascii="Arial" w:hAnsi="Arial" w:cs="Arial"/>
          <w:color w:val="000000"/>
          <w:sz w:val="22"/>
          <w:szCs w:val="22"/>
        </w:rPr>
        <w:t>in a 1-cm path-length quartz cuvette. Samples were diluted</w:t>
      </w:r>
      <w:r w:rsidR="00A865FB">
        <w:rPr>
          <w:rFonts w:ascii="Arial" w:hAnsi="Arial" w:cs="Arial"/>
          <w:color w:val="000000"/>
          <w:sz w:val="22"/>
          <w:szCs w:val="22"/>
        </w:rPr>
        <w:t xml:space="preserve"> with ultra-pure</w:t>
      </w:r>
      <w:r w:rsidR="007C588D">
        <w:rPr>
          <w:rFonts w:ascii="Arial" w:hAnsi="Arial" w:cs="Arial"/>
          <w:color w:val="000000"/>
          <w:sz w:val="22"/>
          <w:szCs w:val="22"/>
        </w:rPr>
        <w:t xml:space="preserve"> 18.2 </w:t>
      </w:r>
      <w:proofErr w:type="spellStart"/>
      <w:r w:rsidR="007C588D">
        <w:rPr>
          <w:rFonts w:ascii="Arial" w:hAnsi="Arial" w:cs="Arial"/>
          <w:color w:val="000000"/>
          <w:sz w:val="22"/>
          <w:szCs w:val="22"/>
        </w:rPr>
        <w:t>megohm</w:t>
      </w:r>
      <w:proofErr w:type="spellEnd"/>
      <w:r w:rsidR="00A865FB">
        <w:rPr>
          <w:rFonts w:ascii="Arial" w:hAnsi="Arial" w:cs="Arial"/>
          <w:color w:val="000000"/>
          <w:sz w:val="22"/>
          <w:szCs w:val="22"/>
        </w:rPr>
        <w:t xml:space="preserve"> water</w:t>
      </w:r>
      <w:r w:rsidR="00DF6F00">
        <w:rPr>
          <w:rFonts w:ascii="Arial" w:hAnsi="Arial" w:cs="Arial"/>
          <w:color w:val="000000"/>
          <w:sz w:val="22"/>
          <w:szCs w:val="22"/>
        </w:rPr>
        <w:t xml:space="preserve"> and re-run if UV-Visible absorption data at 254 nm (A</w:t>
      </w:r>
      <w:r w:rsidR="00DF6F00" w:rsidRPr="00DF6F00">
        <w:rPr>
          <w:rFonts w:ascii="Arial" w:hAnsi="Arial" w:cs="Arial"/>
          <w:color w:val="000000"/>
          <w:sz w:val="22"/>
          <w:szCs w:val="22"/>
          <w:vertAlign w:val="subscript"/>
        </w:rPr>
        <w:t>254</w:t>
      </w:r>
      <w:r w:rsidR="00DF6F00">
        <w:rPr>
          <w:rFonts w:ascii="Arial" w:hAnsi="Arial" w:cs="Arial"/>
          <w:color w:val="000000"/>
          <w:sz w:val="22"/>
          <w:szCs w:val="22"/>
        </w:rPr>
        <w:t>) exceeded 0.3 absorbance units to limit inner filter effect problems</w:t>
      </w:r>
      <w:r w:rsidR="0039142F">
        <w:rPr>
          <w:rFonts w:ascii="Arial" w:hAnsi="Arial" w:cs="Arial"/>
          <w:color w:val="000000"/>
          <w:sz w:val="22"/>
          <w:szCs w:val="22"/>
        </w:rPr>
        <w:t xml:space="preserve"> </w:t>
      </w:r>
      <w:r w:rsidR="00A865FB">
        <w:rPr>
          <w:rFonts w:ascii="Arial" w:hAnsi="Arial" w:cs="Arial"/>
          <w:color w:val="000000"/>
          <w:sz w:val="22"/>
          <w:szCs w:val="22"/>
        </w:rPr>
        <w:fldChar w:fldCharType="begin"/>
      </w:r>
      <w:r w:rsidR="00117286">
        <w:rPr>
          <w:rFonts w:ascii="Arial" w:hAnsi="Arial" w:cs="Arial"/>
          <w:color w:val="000000"/>
          <w:sz w:val="22"/>
          <w:szCs w:val="22"/>
        </w:rPr>
        <w:instrText xml:space="preserve"> ADDIN ZOTERO_ITEM CSL_CITATION {"citationID":"m9cp0pdjo","properties":{"formattedCitation":"{\\rtf \\super 5\\nosupersub{}}","plainCitation":"5"},"citationItems":[{"id":1219,"uris":["http://zotero.org/users/1936352/items/M8RTRV2D"],"uri":["http://zotero.org/users/1936352/items/M8RTRV2D"],"itemData":{"id":1219,"type":"article-journal","title":"Fluorescence Inner-Filtering Correction for Determining the Humification Index of Dissolved Organic Matter","container-title":"Environmental Science &amp; Technology","page":"742-746","volume":"36","issue":"4","source":"ACS Publications","abstract":"The use of fluorescence spectrometry has been suggested as a simple method to determine the extent of natural organic matter humification by quantifying the red-shifting of fluorescence emission that occurs with increasing humification. Humification indices are calculated by dividing fluorescence intensity at longer wavelengths by intensity at shorter wavelengths. These indices calculated without any specific efforts to standardize dissolved organic matter (DOM) concentration will result in index values that vary with DOM concentration due to fluorescence inner-filtering effects. This study critically evaluated the effect of DOM concentration on humification index determination using organic matter isolated from field corn extract, soil:water extract, and soil fulvic acid. The results show that humification index values are sensitive to DOM concentration of the solution and are linear with respect to transmittance of the solution at the 254 nm used as the excitation wavelength. An approximate correction for DOM is to exploit the linear nature of the regression fit and to determine index values at the extrapolated 100% transmittance value. An exact correction using explicit correction factors for both primary and secondary inner-filtration effects was shown to give humification index values that are concentration invariant when absorbance of the solution at 254 nm was less than approximately 0.3 unit. Defining the humification index as the fluorescence intensity in the 300?345 nm region divided by the sum of intensity in the 300?345 nm and 435?480 nm regions was statistically advantageous. This study suggests that for quantitative results which can be used to compare humification of natural organic matter across different studies, correction of the fluorescence emission spectra for inner-filtration effects is needed.","DOI":"10.1021/es0155276","ISSN":"0013-936X","journalAbbreviation":"Environ. Sci. Technol.","author":[{"family":"Ohno","given":"Tsutomu"}],"issued":{"date-parts":[["2002",2,1]]}}}],"schema":"https://github.com/citation-style-language/schema/raw/master/csl-citation.json"} </w:instrText>
      </w:r>
      <w:r w:rsidR="00A865FB">
        <w:rPr>
          <w:rFonts w:ascii="Arial" w:hAnsi="Arial" w:cs="Arial"/>
          <w:color w:val="000000"/>
          <w:sz w:val="22"/>
          <w:szCs w:val="22"/>
        </w:rPr>
        <w:fldChar w:fldCharType="separate"/>
      </w:r>
      <w:r w:rsidR="00CE34EC" w:rsidRPr="00CE34EC">
        <w:rPr>
          <w:rFonts w:ascii="Arial" w:hAnsi="Arial" w:cs="Arial"/>
          <w:sz w:val="22"/>
          <w:vertAlign w:val="superscript"/>
        </w:rPr>
        <w:t>5</w:t>
      </w:r>
      <w:r w:rsidR="00A865FB">
        <w:rPr>
          <w:rFonts w:ascii="Arial" w:hAnsi="Arial" w:cs="Arial"/>
          <w:color w:val="000000"/>
          <w:sz w:val="22"/>
          <w:szCs w:val="22"/>
        </w:rPr>
        <w:fldChar w:fldCharType="end"/>
      </w:r>
      <w:r w:rsidR="0039142F">
        <w:rPr>
          <w:rFonts w:ascii="Arial" w:hAnsi="Arial" w:cs="Arial"/>
          <w:color w:val="000000"/>
          <w:sz w:val="22"/>
          <w:szCs w:val="22"/>
        </w:rPr>
        <w:t>.</w:t>
      </w:r>
      <w:r w:rsidR="00A865FB">
        <w:rPr>
          <w:rFonts w:ascii="Arial" w:hAnsi="Arial" w:cs="Arial"/>
          <w:color w:val="000000"/>
          <w:sz w:val="22"/>
          <w:szCs w:val="22"/>
        </w:rPr>
        <w:t xml:space="preserve"> Spectra were corrected for inner filtering effects, Rayleigh 1</w:t>
      </w:r>
      <w:r w:rsidR="00A865FB" w:rsidRPr="00A865FB">
        <w:rPr>
          <w:rFonts w:ascii="Arial" w:hAnsi="Arial" w:cs="Arial"/>
          <w:color w:val="000000"/>
          <w:sz w:val="22"/>
          <w:szCs w:val="22"/>
          <w:vertAlign w:val="superscript"/>
        </w:rPr>
        <w:t>st</w:t>
      </w:r>
      <w:r w:rsidR="00A865FB">
        <w:rPr>
          <w:rFonts w:ascii="Arial" w:hAnsi="Arial" w:cs="Arial"/>
          <w:color w:val="000000"/>
          <w:sz w:val="22"/>
          <w:szCs w:val="22"/>
        </w:rPr>
        <w:t xml:space="preserve"> and 2</w:t>
      </w:r>
      <w:r w:rsidR="00A865FB" w:rsidRPr="00A865FB">
        <w:rPr>
          <w:rFonts w:ascii="Arial" w:hAnsi="Arial" w:cs="Arial"/>
          <w:color w:val="000000"/>
          <w:sz w:val="22"/>
          <w:szCs w:val="22"/>
          <w:vertAlign w:val="superscript"/>
        </w:rPr>
        <w:t>nd</w:t>
      </w:r>
      <w:r w:rsidR="00A865FB">
        <w:rPr>
          <w:rFonts w:ascii="Arial" w:hAnsi="Arial" w:cs="Arial"/>
          <w:color w:val="000000"/>
          <w:sz w:val="22"/>
          <w:szCs w:val="22"/>
        </w:rPr>
        <w:t xml:space="preserve"> o</w:t>
      </w:r>
      <w:r w:rsidR="007C588D">
        <w:rPr>
          <w:rFonts w:ascii="Arial" w:hAnsi="Arial" w:cs="Arial"/>
          <w:color w:val="000000"/>
          <w:sz w:val="22"/>
          <w:szCs w:val="22"/>
        </w:rPr>
        <w:t>rder masking using automated al</w:t>
      </w:r>
      <w:r w:rsidR="00A865FB">
        <w:rPr>
          <w:rFonts w:ascii="Arial" w:hAnsi="Arial" w:cs="Arial"/>
          <w:color w:val="000000"/>
          <w:sz w:val="22"/>
          <w:szCs w:val="22"/>
        </w:rPr>
        <w:t>g</w:t>
      </w:r>
      <w:r w:rsidR="007C588D">
        <w:rPr>
          <w:rFonts w:ascii="Arial" w:hAnsi="Arial" w:cs="Arial"/>
          <w:color w:val="000000"/>
          <w:sz w:val="22"/>
          <w:szCs w:val="22"/>
        </w:rPr>
        <w:t>o</w:t>
      </w:r>
      <w:r w:rsidR="00A865FB">
        <w:rPr>
          <w:rFonts w:ascii="Arial" w:hAnsi="Arial" w:cs="Arial"/>
          <w:color w:val="000000"/>
          <w:sz w:val="22"/>
          <w:szCs w:val="22"/>
        </w:rPr>
        <w:t xml:space="preserve">rithms supplied with the Aqualog software. Fluorescence intensity was normalized to a Starna </w:t>
      </w:r>
      <w:r w:rsidR="00EC1776">
        <w:rPr>
          <w:rFonts w:ascii="Arial" w:hAnsi="Arial" w:cs="Arial"/>
          <w:color w:val="000000"/>
          <w:sz w:val="22"/>
          <w:szCs w:val="22"/>
        </w:rPr>
        <w:t xml:space="preserve">(Starna Cells, </w:t>
      </w:r>
      <w:r w:rsidR="00743129">
        <w:rPr>
          <w:rFonts w:ascii="Arial" w:hAnsi="Arial" w:cs="Arial"/>
          <w:color w:val="000000"/>
          <w:sz w:val="22"/>
          <w:szCs w:val="22"/>
        </w:rPr>
        <w:t>RM-QS00</w:t>
      </w:r>
      <w:r w:rsidR="00EC1776">
        <w:rPr>
          <w:rFonts w:ascii="Arial" w:hAnsi="Arial" w:cs="Arial"/>
          <w:color w:val="000000"/>
          <w:sz w:val="22"/>
          <w:szCs w:val="22"/>
        </w:rPr>
        <w:t>) certified</w:t>
      </w:r>
      <w:r w:rsidR="00743129">
        <w:rPr>
          <w:rFonts w:ascii="Arial" w:hAnsi="Arial" w:cs="Arial"/>
          <w:color w:val="000000"/>
          <w:sz w:val="22"/>
          <w:szCs w:val="22"/>
        </w:rPr>
        <w:t xml:space="preserve"> </w:t>
      </w:r>
      <w:r w:rsidR="00A865FB">
        <w:rPr>
          <w:rFonts w:ascii="Arial" w:hAnsi="Arial" w:cs="Arial"/>
          <w:color w:val="000000"/>
          <w:sz w:val="22"/>
          <w:szCs w:val="22"/>
        </w:rPr>
        <w:t>quinine sulfate standard</w:t>
      </w:r>
      <w:r w:rsidR="00743129">
        <w:rPr>
          <w:rFonts w:ascii="Arial" w:hAnsi="Arial" w:cs="Arial"/>
          <w:color w:val="000000"/>
          <w:sz w:val="22"/>
          <w:szCs w:val="22"/>
        </w:rPr>
        <w:t xml:space="preserve">. All samples were blank corrected against a Starna </w:t>
      </w:r>
      <w:r w:rsidR="00EC1776">
        <w:rPr>
          <w:rFonts w:ascii="Arial" w:hAnsi="Arial" w:cs="Arial"/>
          <w:color w:val="000000"/>
          <w:sz w:val="22"/>
          <w:szCs w:val="22"/>
        </w:rPr>
        <w:t xml:space="preserve">(Starna Cells, 3Q-10) certified </w:t>
      </w:r>
      <w:r w:rsidR="00743129">
        <w:rPr>
          <w:rFonts w:ascii="Arial" w:hAnsi="Arial" w:cs="Arial"/>
          <w:color w:val="000000"/>
          <w:sz w:val="22"/>
          <w:szCs w:val="22"/>
        </w:rPr>
        <w:t>Raman calibration standard</w:t>
      </w:r>
      <w:r w:rsidR="00891424">
        <w:rPr>
          <w:rFonts w:ascii="Arial" w:hAnsi="Arial" w:cs="Arial"/>
          <w:color w:val="000000"/>
          <w:sz w:val="22"/>
          <w:szCs w:val="22"/>
        </w:rPr>
        <w:t>.</w:t>
      </w:r>
      <w:r w:rsidR="00A865FB">
        <w:rPr>
          <w:rFonts w:ascii="Arial" w:hAnsi="Arial" w:cs="Arial"/>
          <w:color w:val="000000"/>
          <w:sz w:val="22"/>
          <w:szCs w:val="22"/>
        </w:rPr>
        <w:t xml:space="preserve">  </w:t>
      </w:r>
    </w:p>
    <w:p w:rsidR="00F6249E" w:rsidRPr="00F6249E" w:rsidRDefault="00D91138" w:rsidP="00E813C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00295209">
        <w:rPr>
          <w:rFonts w:ascii="Arial" w:hAnsi="Arial" w:cs="Arial"/>
          <w:color w:val="000000"/>
          <w:sz w:val="22"/>
          <w:szCs w:val="22"/>
        </w:rPr>
        <w:tab/>
      </w:r>
    </w:p>
    <w:sectPr w:rsidR="00F6249E" w:rsidRPr="00F6249E" w:rsidSect="007771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enaker, Peter L." w:date="2015-09-29T10:56:00Z" w:initials="LPL">
    <w:p w:rsidR="00B73E3B" w:rsidRDefault="00B73E3B">
      <w:pPr>
        <w:pStyle w:val="CommentText"/>
      </w:pPr>
      <w:r>
        <w:rPr>
          <w:rStyle w:val="CommentReference"/>
        </w:rPr>
        <w:annotationRef/>
      </w:r>
      <w:r>
        <w:t>Are we including all samples (i.e. samples collected during non-winter conditions)?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4DD" w:rsidRDefault="002E74DD" w:rsidP="002E74DD">
      <w:pPr>
        <w:spacing w:after="0" w:line="240" w:lineRule="auto"/>
      </w:pPr>
      <w:r>
        <w:separator/>
      </w:r>
    </w:p>
  </w:endnote>
  <w:endnote w:type="continuationSeparator" w:id="0">
    <w:p w:rsidR="002E74DD" w:rsidRDefault="002E74DD" w:rsidP="002E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4DD" w:rsidRDefault="002E74DD" w:rsidP="002E74DD">
      <w:pPr>
        <w:spacing w:after="0" w:line="240" w:lineRule="auto"/>
      </w:pPr>
      <w:r>
        <w:separator/>
      </w:r>
    </w:p>
  </w:footnote>
  <w:footnote w:type="continuationSeparator" w:id="0">
    <w:p w:rsidR="002E74DD" w:rsidRDefault="002E74DD" w:rsidP="002E74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AD"/>
    <w:rsid w:val="000516EB"/>
    <w:rsid w:val="00062654"/>
    <w:rsid w:val="000A7DED"/>
    <w:rsid w:val="000D4DFB"/>
    <w:rsid w:val="00117286"/>
    <w:rsid w:val="00143226"/>
    <w:rsid w:val="001438A6"/>
    <w:rsid w:val="001706DD"/>
    <w:rsid w:val="001F4A32"/>
    <w:rsid w:val="00204359"/>
    <w:rsid w:val="00293782"/>
    <w:rsid w:val="00295209"/>
    <w:rsid w:val="002E74DD"/>
    <w:rsid w:val="0030155C"/>
    <w:rsid w:val="0039142F"/>
    <w:rsid w:val="004E1141"/>
    <w:rsid w:val="005C41DC"/>
    <w:rsid w:val="00646797"/>
    <w:rsid w:val="00686C34"/>
    <w:rsid w:val="006B447A"/>
    <w:rsid w:val="0073610D"/>
    <w:rsid w:val="00743129"/>
    <w:rsid w:val="00777169"/>
    <w:rsid w:val="00796A7E"/>
    <w:rsid w:val="007C1F44"/>
    <w:rsid w:val="007C588D"/>
    <w:rsid w:val="008070FC"/>
    <w:rsid w:val="0084102D"/>
    <w:rsid w:val="00891424"/>
    <w:rsid w:val="00935D53"/>
    <w:rsid w:val="009C7977"/>
    <w:rsid w:val="00A704AA"/>
    <w:rsid w:val="00A865FB"/>
    <w:rsid w:val="00B73E3B"/>
    <w:rsid w:val="00C449C6"/>
    <w:rsid w:val="00CE34EC"/>
    <w:rsid w:val="00D036CF"/>
    <w:rsid w:val="00D267AD"/>
    <w:rsid w:val="00D91138"/>
    <w:rsid w:val="00D93CE0"/>
    <w:rsid w:val="00DF6F00"/>
    <w:rsid w:val="00E16A75"/>
    <w:rsid w:val="00E172BE"/>
    <w:rsid w:val="00E44E39"/>
    <w:rsid w:val="00E813C3"/>
    <w:rsid w:val="00EA2197"/>
    <w:rsid w:val="00EC1776"/>
    <w:rsid w:val="00F50E53"/>
    <w:rsid w:val="00F6249E"/>
    <w:rsid w:val="00F67CB4"/>
    <w:rsid w:val="00F754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7A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813C3"/>
    <w:rPr>
      <w:sz w:val="16"/>
      <w:szCs w:val="16"/>
    </w:rPr>
  </w:style>
  <w:style w:type="paragraph" w:styleId="CommentText">
    <w:name w:val="annotation text"/>
    <w:basedOn w:val="Normal"/>
    <w:link w:val="CommentTextChar"/>
    <w:uiPriority w:val="99"/>
    <w:semiHidden/>
    <w:unhideWhenUsed/>
    <w:rsid w:val="00E813C3"/>
    <w:pPr>
      <w:spacing w:line="240" w:lineRule="auto"/>
    </w:pPr>
    <w:rPr>
      <w:sz w:val="20"/>
      <w:szCs w:val="20"/>
    </w:rPr>
  </w:style>
  <w:style w:type="character" w:customStyle="1" w:styleId="CommentTextChar">
    <w:name w:val="Comment Text Char"/>
    <w:basedOn w:val="DefaultParagraphFont"/>
    <w:link w:val="CommentText"/>
    <w:uiPriority w:val="99"/>
    <w:semiHidden/>
    <w:rsid w:val="00E813C3"/>
    <w:rPr>
      <w:sz w:val="20"/>
      <w:szCs w:val="20"/>
    </w:rPr>
  </w:style>
  <w:style w:type="paragraph" w:styleId="CommentSubject">
    <w:name w:val="annotation subject"/>
    <w:basedOn w:val="CommentText"/>
    <w:next w:val="CommentText"/>
    <w:link w:val="CommentSubjectChar"/>
    <w:uiPriority w:val="99"/>
    <w:semiHidden/>
    <w:unhideWhenUsed/>
    <w:rsid w:val="00E813C3"/>
    <w:rPr>
      <w:b/>
      <w:bCs/>
    </w:rPr>
  </w:style>
  <w:style w:type="character" w:customStyle="1" w:styleId="CommentSubjectChar">
    <w:name w:val="Comment Subject Char"/>
    <w:basedOn w:val="CommentTextChar"/>
    <w:link w:val="CommentSubject"/>
    <w:uiPriority w:val="99"/>
    <w:semiHidden/>
    <w:rsid w:val="00E813C3"/>
    <w:rPr>
      <w:b/>
      <w:bCs/>
      <w:sz w:val="20"/>
      <w:szCs w:val="20"/>
    </w:rPr>
  </w:style>
  <w:style w:type="paragraph" w:styleId="BalloonText">
    <w:name w:val="Balloon Text"/>
    <w:basedOn w:val="Normal"/>
    <w:link w:val="BalloonTextChar"/>
    <w:uiPriority w:val="99"/>
    <w:semiHidden/>
    <w:unhideWhenUsed/>
    <w:rsid w:val="00E81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C3"/>
    <w:rPr>
      <w:rFonts w:ascii="Tahoma" w:hAnsi="Tahoma" w:cs="Tahoma"/>
      <w:sz w:val="16"/>
      <w:szCs w:val="16"/>
    </w:rPr>
  </w:style>
  <w:style w:type="paragraph" w:styleId="Bibliography">
    <w:name w:val="Bibliography"/>
    <w:basedOn w:val="Normal"/>
    <w:next w:val="Normal"/>
    <w:uiPriority w:val="37"/>
    <w:unhideWhenUsed/>
    <w:rsid w:val="00E16A75"/>
  </w:style>
  <w:style w:type="paragraph" w:styleId="Header">
    <w:name w:val="header"/>
    <w:basedOn w:val="Normal"/>
    <w:link w:val="HeaderChar"/>
    <w:uiPriority w:val="99"/>
    <w:unhideWhenUsed/>
    <w:rsid w:val="002E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DD"/>
  </w:style>
  <w:style w:type="paragraph" w:styleId="Footer">
    <w:name w:val="footer"/>
    <w:basedOn w:val="Normal"/>
    <w:link w:val="FooterChar"/>
    <w:uiPriority w:val="99"/>
    <w:unhideWhenUsed/>
    <w:rsid w:val="002E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67A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813C3"/>
    <w:rPr>
      <w:sz w:val="16"/>
      <w:szCs w:val="16"/>
    </w:rPr>
  </w:style>
  <w:style w:type="paragraph" w:styleId="CommentText">
    <w:name w:val="annotation text"/>
    <w:basedOn w:val="Normal"/>
    <w:link w:val="CommentTextChar"/>
    <w:uiPriority w:val="99"/>
    <w:semiHidden/>
    <w:unhideWhenUsed/>
    <w:rsid w:val="00E813C3"/>
    <w:pPr>
      <w:spacing w:line="240" w:lineRule="auto"/>
    </w:pPr>
    <w:rPr>
      <w:sz w:val="20"/>
      <w:szCs w:val="20"/>
    </w:rPr>
  </w:style>
  <w:style w:type="character" w:customStyle="1" w:styleId="CommentTextChar">
    <w:name w:val="Comment Text Char"/>
    <w:basedOn w:val="DefaultParagraphFont"/>
    <w:link w:val="CommentText"/>
    <w:uiPriority w:val="99"/>
    <w:semiHidden/>
    <w:rsid w:val="00E813C3"/>
    <w:rPr>
      <w:sz w:val="20"/>
      <w:szCs w:val="20"/>
    </w:rPr>
  </w:style>
  <w:style w:type="paragraph" w:styleId="CommentSubject">
    <w:name w:val="annotation subject"/>
    <w:basedOn w:val="CommentText"/>
    <w:next w:val="CommentText"/>
    <w:link w:val="CommentSubjectChar"/>
    <w:uiPriority w:val="99"/>
    <w:semiHidden/>
    <w:unhideWhenUsed/>
    <w:rsid w:val="00E813C3"/>
    <w:rPr>
      <w:b/>
      <w:bCs/>
    </w:rPr>
  </w:style>
  <w:style w:type="character" w:customStyle="1" w:styleId="CommentSubjectChar">
    <w:name w:val="Comment Subject Char"/>
    <w:basedOn w:val="CommentTextChar"/>
    <w:link w:val="CommentSubject"/>
    <w:uiPriority w:val="99"/>
    <w:semiHidden/>
    <w:rsid w:val="00E813C3"/>
    <w:rPr>
      <w:b/>
      <w:bCs/>
      <w:sz w:val="20"/>
      <w:szCs w:val="20"/>
    </w:rPr>
  </w:style>
  <w:style w:type="paragraph" w:styleId="BalloonText">
    <w:name w:val="Balloon Text"/>
    <w:basedOn w:val="Normal"/>
    <w:link w:val="BalloonTextChar"/>
    <w:uiPriority w:val="99"/>
    <w:semiHidden/>
    <w:unhideWhenUsed/>
    <w:rsid w:val="00E81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3C3"/>
    <w:rPr>
      <w:rFonts w:ascii="Tahoma" w:hAnsi="Tahoma" w:cs="Tahoma"/>
      <w:sz w:val="16"/>
      <w:szCs w:val="16"/>
    </w:rPr>
  </w:style>
  <w:style w:type="paragraph" w:styleId="Bibliography">
    <w:name w:val="Bibliography"/>
    <w:basedOn w:val="Normal"/>
    <w:next w:val="Normal"/>
    <w:uiPriority w:val="37"/>
    <w:unhideWhenUsed/>
    <w:rsid w:val="00E16A75"/>
  </w:style>
  <w:style w:type="paragraph" w:styleId="Header">
    <w:name w:val="header"/>
    <w:basedOn w:val="Normal"/>
    <w:link w:val="HeaderChar"/>
    <w:uiPriority w:val="99"/>
    <w:unhideWhenUsed/>
    <w:rsid w:val="002E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4DD"/>
  </w:style>
  <w:style w:type="paragraph" w:styleId="Footer">
    <w:name w:val="footer"/>
    <w:basedOn w:val="Normal"/>
    <w:link w:val="FooterChar"/>
    <w:uiPriority w:val="99"/>
    <w:unhideWhenUsed/>
    <w:rsid w:val="002E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73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C8A46-3709-40E5-87C9-DB4EF171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3</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WIWSC</Company>
  <LinksUpToDate>false</LinksUpToDate>
  <CharactersWithSpaces>13607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Lenaker, Peter L.</dc:creator>
  <cp:lastModifiedBy>Lenaker, Peter L.</cp:lastModifiedBy>
  <cp:revision>12</cp:revision>
  <dcterms:created xsi:type="dcterms:W3CDTF">2015-08-24T16:12:00Z</dcterms:created>
  <dcterms:modified xsi:type="dcterms:W3CDTF">2015-09-29T15:57:00Z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id="tmqQWAq3"/&gt;&lt;style id="http://www.zotero.org/styles/environmental-science-and-technology"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