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B42B" w14:textId="5475E775" w:rsidR="00D2792A" w:rsidRDefault="00D2792A" w:rsidP="00D2792A">
      <w:pPr>
        <w:rPr>
          <w:sz w:val="28"/>
          <w:szCs w:val="28"/>
        </w:rPr>
      </w:pPr>
      <w:r w:rsidRPr="008D3054">
        <w:rPr>
          <w:sz w:val="28"/>
          <w:szCs w:val="28"/>
        </w:rPr>
        <w:t xml:space="preserve">Gut </w:t>
      </w:r>
      <w:commentRangeStart w:id="0"/>
      <w:commentRangeStart w:id="1"/>
      <w:r w:rsidRPr="008D3054">
        <w:rPr>
          <w:sz w:val="28"/>
          <w:szCs w:val="28"/>
        </w:rPr>
        <w:t xml:space="preserve">microbiome response to temperature </w:t>
      </w:r>
      <w:commentRangeEnd w:id="0"/>
      <w:r w:rsidR="003F5E3D">
        <w:rPr>
          <w:rStyle w:val="CommentReference"/>
        </w:rPr>
        <w:commentReference w:id="0"/>
      </w:r>
      <w:commentRangeEnd w:id="1"/>
      <w:r w:rsidR="00C47F59">
        <w:rPr>
          <w:rStyle w:val="CommentReference"/>
        </w:rPr>
        <w:commentReference w:id="1"/>
      </w:r>
      <w:r w:rsidRPr="008D3054">
        <w:rPr>
          <w:sz w:val="28"/>
          <w:szCs w:val="28"/>
        </w:rPr>
        <w:t xml:space="preserve">is related to </w:t>
      </w:r>
      <w:commentRangeStart w:id="2"/>
      <w:r>
        <w:rPr>
          <w:sz w:val="28"/>
          <w:szCs w:val="28"/>
        </w:rPr>
        <w:t xml:space="preserve">host </w:t>
      </w:r>
      <w:commentRangeEnd w:id="2"/>
      <w:r w:rsidR="00C47F59">
        <w:rPr>
          <w:rStyle w:val="CommentReference"/>
        </w:rPr>
        <w:commentReference w:id="2"/>
      </w:r>
      <w:r>
        <w:rPr>
          <w:sz w:val="28"/>
          <w:szCs w:val="28"/>
        </w:rPr>
        <w:t>immunity</w:t>
      </w:r>
      <w:r w:rsidRPr="008D3054">
        <w:rPr>
          <w:sz w:val="28"/>
          <w:szCs w:val="28"/>
        </w:rPr>
        <w:t xml:space="preserve"> in </w:t>
      </w:r>
      <w:r w:rsidR="00745806">
        <w:rPr>
          <w:sz w:val="28"/>
          <w:szCs w:val="28"/>
        </w:rPr>
        <w:t xml:space="preserve">a </w:t>
      </w:r>
      <w:r w:rsidRPr="008D3054">
        <w:rPr>
          <w:sz w:val="28"/>
          <w:szCs w:val="28"/>
        </w:rPr>
        <w:t>wild primate</w:t>
      </w:r>
    </w:p>
    <w:p w14:paraId="56974D1B" w14:textId="77777777" w:rsidR="00B27094" w:rsidRDefault="00B27094" w:rsidP="00D2792A">
      <w:pPr>
        <w:rPr>
          <w:sz w:val="28"/>
          <w:szCs w:val="28"/>
        </w:rPr>
      </w:pPr>
    </w:p>
    <w:p w14:paraId="340DB144" w14:textId="5C8BFD6D" w:rsidR="00B27094" w:rsidRPr="004F6BDC" w:rsidRDefault="00B27094" w:rsidP="00B27094">
      <w:r w:rsidRPr="004F6BDC">
        <w:t>Jordan M. Lucore</w:t>
      </w:r>
      <w:r w:rsidRPr="004F6BDC">
        <w:rPr>
          <w:vertAlign w:val="superscript"/>
        </w:rPr>
        <w:t>1,2</w:t>
      </w:r>
      <w:r w:rsidRPr="004F6BDC">
        <w:t xml:space="preserve">, </w:t>
      </w:r>
      <w:commentRangeStart w:id="3"/>
      <w:r w:rsidRPr="004F6BDC">
        <w:t>Marcela E. Benítez</w:t>
      </w:r>
      <w:r w:rsidRPr="004F6BDC">
        <w:rPr>
          <w:vertAlign w:val="superscript"/>
        </w:rPr>
        <w:t>2,</w:t>
      </w:r>
      <w:r>
        <w:rPr>
          <w:vertAlign w:val="superscript"/>
        </w:rPr>
        <w:t xml:space="preserve">3, </w:t>
      </w:r>
      <w:r>
        <w:t>,</w:t>
      </w:r>
      <w:r w:rsidRPr="004F6BDC">
        <w:t xml:space="preserve"> Amy F. White</w:t>
      </w:r>
      <w:r w:rsidRPr="004F6BDC">
        <w:rPr>
          <w:vertAlign w:val="superscript"/>
        </w:rPr>
        <w:t>2,4</w:t>
      </w:r>
      <w:r w:rsidRPr="004F6BDC">
        <w:t>, Juan Carlos Ordoñez</w:t>
      </w:r>
      <w:r w:rsidRPr="004F6BDC">
        <w:rPr>
          <w:vertAlign w:val="superscript"/>
        </w:rPr>
        <w:t>2</w:t>
      </w:r>
      <w:r w:rsidRPr="004F6BDC">
        <w:t>, Jacinta C. Beehner</w:t>
      </w:r>
      <w:r w:rsidRPr="004F6BDC">
        <w:rPr>
          <w:vertAlign w:val="superscript"/>
        </w:rPr>
        <w:t>1,2,</w:t>
      </w:r>
      <w:r>
        <w:rPr>
          <w:vertAlign w:val="superscript"/>
        </w:rPr>
        <w:t>5</w:t>
      </w:r>
      <w:r>
        <w:t xml:space="preserve">, </w:t>
      </w:r>
      <w:r w:rsidRPr="004F6BDC">
        <w:t>Thore J. Bergman</w:t>
      </w:r>
      <w:r w:rsidRPr="004F6BDC">
        <w:rPr>
          <w:vertAlign w:val="superscript"/>
        </w:rPr>
        <w:t>2,</w:t>
      </w:r>
      <w:r>
        <w:rPr>
          <w:vertAlign w:val="superscript"/>
        </w:rPr>
        <w:t>5</w:t>
      </w:r>
      <w:r w:rsidRPr="004F6BDC">
        <w:rPr>
          <w:vertAlign w:val="superscript"/>
        </w:rPr>
        <w:t>,6</w:t>
      </w:r>
      <w:r>
        <w:t>, Maria Luisa Savo Sardaro</w:t>
      </w:r>
      <w:r>
        <w:rPr>
          <w:vertAlign w:val="superscript"/>
        </w:rPr>
        <w:t>7,8</w:t>
      </w:r>
      <w:r>
        <w:t>, Katherine R. Amato</w:t>
      </w:r>
      <w:r>
        <w:rPr>
          <w:vertAlign w:val="superscript"/>
        </w:rPr>
        <w:t>7</w:t>
      </w:r>
      <w:commentRangeEnd w:id="3"/>
      <w:r w:rsidR="00730ECF">
        <w:rPr>
          <w:rStyle w:val="CommentReference"/>
        </w:rPr>
        <w:commentReference w:id="3"/>
      </w:r>
      <w:r>
        <w:t xml:space="preserve">, </w:t>
      </w:r>
      <w:r w:rsidRPr="004F6BDC">
        <w:t>Andrew J. Marshall</w:t>
      </w:r>
      <w:r w:rsidRPr="004F6BDC">
        <w:rPr>
          <w:vertAlign w:val="superscript"/>
        </w:rPr>
        <w:t>1,6,</w:t>
      </w:r>
      <w:r>
        <w:rPr>
          <w:vertAlign w:val="superscript"/>
        </w:rPr>
        <w:t xml:space="preserve">9, 10, 11 </w:t>
      </w:r>
    </w:p>
    <w:p w14:paraId="0C563D3F" w14:textId="77777777" w:rsidR="00B27094" w:rsidRPr="004F6BDC" w:rsidRDefault="00B27094" w:rsidP="00B27094"/>
    <w:p w14:paraId="2D3E5BD7" w14:textId="7230F158" w:rsidR="00B27094" w:rsidRPr="00B27094" w:rsidRDefault="00B27094" w:rsidP="00D2792A">
      <w:r w:rsidRPr="004F6BDC">
        <w:rPr>
          <w:vertAlign w:val="superscript"/>
        </w:rPr>
        <w:t>1</w:t>
      </w:r>
      <w:r w:rsidRPr="004F6BDC">
        <w:t xml:space="preserve">Department of Anthropology, University of Michigan, Ann Arbor, MI, United States, </w:t>
      </w:r>
      <w:r w:rsidRPr="004F6BDC">
        <w:rPr>
          <w:vertAlign w:val="superscript"/>
        </w:rPr>
        <w:t>2</w:t>
      </w:r>
      <w:r w:rsidRPr="004F6BDC">
        <w:t xml:space="preserve">Capuchinos de </w:t>
      </w:r>
      <w:proofErr w:type="spellStart"/>
      <w:r w:rsidRPr="004F6BDC">
        <w:t>Taboga</w:t>
      </w:r>
      <w:proofErr w:type="spellEnd"/>
      <w:r w:rsidRPr="004F6BDC">
        <w:t xml:space="preserve"> Research Project, </w:t>
      </w:r>
      <w:proofErr w:type="spellStart"/>
      <w:r w:rsidRPr="004F6BDC">
        <w:t>Taboga</w:t>
      </w:r>
      <w:proofErr w:type="spellEnd"/>
      <w:r w:rsidRPr="004F6BDC">
        <w:t xml:space="preserve"> Forest Reserve, Guanacaste, Costa Rica,</w:t>
      </w:r>
      <w:r>
        <w:t xml:space="preserve"> </w:t>
      </w:r>
      <w:r>
        <w:rPr>
          <w:vertAlign w:val="superscript"/>
        </w:rPr>
        <w:t>3</w:t>
      </w:r>
      <w:r w:rsidRPr="004F6BDC">
        <w:t xml:space="preserve">Department of Anthropology, Durham University, Durham, UK, </w:t>
      </w:r>
      <w:r>
        <w:rPr>
          <w:vertAlign w:val="superscript"/>
        </w:rPr>
        <w:t>4</w:t>
      </w:r>
      <w:r w:rsidRPr="004F6BDC">
        <w:t>Department of Anthropology, Emory University, Atlanta, GA, United States,</w:t>
      </w:r>
      <w:r>
        <w:rPr>
          <w:vertAlign w:val="superscript"/>
        </w:rPr>
        <w:t xml:space="preserve"> 5</w:t>
      </w:r>
      <w:r w:rsidRPr="004F6BDC">
        <w:t>Department of Anthropology, Durham University, Durham, UK,</w:t>
      </w:r>
      <w:r>
        <w:t xml:space="preserve"> </w:t>
      </w:r>
      <w:r>
        <w:rPr>
          <w:vertAlign w:val="superscript"/>
        </w:rPr>
        <w:t>5</w:t>
      </w:r>
      <w:r w:rsidRPr="004F6BDC">
        <w:t xml:space="preserve">Department of Psychology, University of Michigan, Ann Arbor, MI, United States, </w:t>
      </w:r>
      <w:r w:rsidRPr="004F6BDC">
        <w:rPr>
          <w:vertAlign w:val="superscript"/>
        </w:rPr>
        <w:t>6</w:t>
      </w:r>
      <w:r w:rsidRPr="004F6BDC">
        <w:t>Department of Ecology and Evolutionary Biology, University of Michigan, Ann Arbor, MI, United States,</w:t>
      </w:r>
      <w:r>
        <w:t xml:space="preserve"> </w:t>
      </w:r>
      <w:r>
        <w:rPr>
          <w:vertAlign w:val="superscript"/>
        </w:rPr>
        <w:t>7</w:t>
      </w:r>
      <w:r w:rsidRPr="00B27094">
        <w:t>Department of Anthropology, Northwestern University, Evanston, Illinois</w:t>
      </w:r>
      <w:r>
        <w:t xml:space="preserve">, </w:t>
      </w:r>
      <w:r>
        <w:rPr>
          <w:vertAlign w:val="superscript"/>
        </w:rPr>
        <w:t>8</w:t>
      </w:r>
      <w:r w:rsidRPr="00B27094">
        <w:t>Department for the Promotion of Human Sciences and Quality of Life, San Raffaele University, 00166 Rome, Italy</w:t>
      </w:r>
      <w:r>
        <w:t xml:space="preserve">, </w:t>
      </w:r>
      <w:r>
        <w:rPr>
          <w:vertAlign w:val="superscript"/>
        </w:rPr>
        <w:t>9</w:t>
      </w:r>
      <w:r w:rsidRPr="004F6BDC">
        <w:t xml:space="preserve">Program in the Environment, University of Michigan, Ann Arbor, MI, United States, </w:t>
      </w:r>
      <w:r>
        <w:rPr>
          <w:vertAlign w:val="superscript"/>
        </w:rPr>
        <w:t>10</w:t>
      </w:r>
      <w:r w:rsidRPr="004F6BDC">
        <w:t xml:space="preserve">School for Environment and Sustainability, University of Michigan, Ann Arbor, MI, United States, </w:t>
      </w:r>
      <w:r>
        <w:rPr>
          <w:vertAlign w:val="superscript"/>
        </w:rPr>
        <w:t>11</w:t>
      </w:r>
      <w:r w:rsidRPr="004F6BDC">
        <w:t xml:space="preserve">Program in Computing for the Arts and Sciences, University of Michigan, Ann Arbor, MI, United States </w:t>
      </w:r>
    </w:p>
    <w:p w14:paraId="59F32961" w14:textId="77777777" w:rsidR="008631EB" w:rsidRDefault="008631EB"/>
    <w:p w14:paraId="60F8510A" w14:textId="22D42403" w:rsidR="00D2792A" w:rsidRDefault="00D2792A" w:rsidP="00D2792A">
      <w:commentRangeStart w:id="4"/>
      <w:commentRangeStart w:id="5"/>
      <w:r>
        <w:t>Temperature</w:t>
      </w:r>
      <w:commentRangeEnd w:id="4"/>
      <w:r w:rsidR="003F5E3D">
        <w:rPr>
          <w:rStyle w:val="CommentReference"/>
        </w:rPr>
        <w:commentReference w:id="4"/>
      </w:r>
      <w:commentRangeEnd w:id="5"/>
      <w:r w:rsidR="00B47D94">
        <w:rPr>
          <w:rStyle w:val="CommentReference"/>
        </w:rPr>
        <w:commentReference w:id="5"/>
      </w:r>
      <w:r>
        <w:t xml:space="preserv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tolerance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rsidR="00EF5780">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EF5780" w:rsidRPr="00EF5780">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5EFF8667" w14:textId="00FF2AE5" w:rsidR="00AA6C73" w:rsidRDefault="00D2792A" w:rsidP="007D7046">
      <w:pPr>
        <w:ind w:firstLine="720"/>
      </w:pPr>
      <w:r>
        <w:t xml:space="preserve">The gut microbiome is sensitive to ambient temperature, and compositional changes associated with high temperatures may harm the host by reducing the gut microbiome’s ability to carry out essential functions. For example, heat stress has been shown to alter the abundances of specific microbial taxa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is associated with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xml:space="preserve">. </w:t>
      </w:r>
      <w:r w:rsidR="007D7046">
        <w:t xml:space="preserve">These shifts likely reflect the consequences on heat-induced changes to the intestinal environment that affect microbiome composition and essential functions. </w:t>
      </w:r>
      <w:r w:rsidR="008F0E41">
        <w:t xml:space="preserve">An important mechanism may involve </w:t>
      </w:r>
      <w:r w:rsidR="007D7046">
        <w:t xml:space="preserve">temperature-driven </w:t>
      </w:r>
      <w:r w:rsidR="008F0E41">
        <w:t xml:space="preserve">disruption of the </w:t>
      </w:r>
      <w:r w:rsidR="00CC03E6">
        <w:t xml:space="preserve">intestinal redox environment— the balance between the production and elimination of reactive oxygen species (ROS). Heat stress can disrupt redox balance, leading to the accumulation of ROS </w:t>
      </w:r>
      <w:r w:rsidR="00CC03E6">
        <w:fldChar w:fldCharType="begin"/>
      </w:r>
      <w:r w:rsidR="00CC03E6">
        <w:instrText xml:space="preserve"> ADDIN ZOTERO_ITEM CSL_CITATION {"citationID":"tg7ZNnJl","properties":{"formattedCitation":"(Lin et al., 2006)","plainCitation":"(Lin et al., 2006)","noteIndex":0},"citationItems":[{"id":3669,"uris":["http://zotero.org/users/13901503/items/BF6XKP7S"],"itemData":{"id":3669,"type":"article-journal","abstract":"The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CC03E6">
        <w:fldChar w:fldCharType="separate"/>
      </w:r>
      <w:r w:rsidR="00CC03E6">
        <w:rPr>
          <w:noProof/>
        </w:rPr>
        <w:t xml:space="preserve">(Lin et al., </w:t>
      </w:r>
      <w:r w:rsidR="00CC03E6">
        <w:rPr>
          <w:noProof/>
        </w:rPr>
        <w:lastRenderedPageBreak/>
        <w:t>2006)</w:t>
      </w:r>
      <w:r w:rsidR="00CC03E6">
        <w:fldChar w:fldCharType="end"/>
      </w:r>
      <w:r w:rsidR="00CC03E6">
        <w:t xml:space="preserve">, which are toxic and </w:t>
      </w:r>
      <w:r w:rsidR="00AA6C73">
        <w:t xml:space="preserve">can damage or </w:t>
      </w:r>
      <w:r w:rsidR="00CC03E6">
        <w:t xml:space="preserve">cause cell death </w:t>
      </w:r>
      <w:r w:rsidR="00CC03E6">
        <w:fldChar w:fldCharType="begin"/>
      </w:r>
      <w:r w:rsidR="00CC03E6">
        <w:instrText xml:space="preserve"> ADDIN ZOTERO_ITEM CSL_CITATION {"citationID":"x4HkqTJT","properties":{"formattedCitation":"(Dodson et al., 2019)","plainCitation":"(Dodson et al., 2019)","noteIndex":0},"citationItems":[{"id":3578,"uris":["http://zotero.org/users/13901503/items/P49Z4HNB"],"itemData":{"id":3578,"type":"article-journal","abstract":"The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C03E6">
        <w:fldChar w:fldCharType="separate"/>
      </w:r>
      <w:r w:rsidR="00CC03E6">
        <w:rPr>
          <w:noProof/>
        </w:rPr>
        <w:t>(Dodson et al., 2019)</w:t>
      </w:r>
      <w:r w:rsidR="00CC03E6">
        <w:fldChar w:fldCharType="end"/>
      </w:r>
      <w:r w:rsidR="00CC03E6">
        <w:t xml:space="preserve">. </w:t>
      </w:r>
      <w:r w:rsidR="00AA6C73">
        <w:t>In the gut, r</w:t>
      </w:r>
      <w:r w:rsidR="00CC03E6">
        <w:t xml:space="preserve">edox imbalance can compromise the epithelial barrier by damaging tight junction proteins, leading to immune activation </w:t>
      </w:r>
      <w:r w:rsidR="00AA6C73">
        <w:t>from</w:t>
      </w:r>
      <w:r w:rsidR="00CC03E6">
        <w:t xml:space="preserve"> systemic exposure to gut microbes </w:t>
      </w:r>
      <w:r w:rsidR="00AA6C73">
        <w:t xml:space="preserve">and their metabolites </w:t>
      </w:r>
      <w:r w:rsidR="00CC03E6">
        <w:t>()</w:t>
      </w:r>
      <w:r w:rsidR="00AA6C73">
        <w:t xml:space="preserve">. The immune response may further exacerbate redox imbalance because immune cells release ROS during </w:t>
      </w:r>
      <w:r w:rsidR="007D7046">
        <w:t xml:space="preserve">inflammation </w:t>
      </w:r>
      <w:r w:rsidR="00AA6C73">
        <w:t xml:space="preserve">(). Notably, heat stress has been directly linked to epithelial damage and immune cell recruitment (Lambert et al., 2002; Koch et al., 2019), providing compelling evidence that elevated temperature initiates redox imbalance and downstream shifts in gut physiology. Gut microbes also play an important role in maintaining redox balance in the gut through antioxidant metabolism and redox recycling </w:t>
      </w:r>
      <w:r w:rsidR="00AA6C73">
        <w:fldChar w:fldCharType="begin"/>
      </w:r>
      <w:r w:rsidR="00AA6C73">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AA6C73">
        <w:fldChar w:fldCharType="separate"/>
      </w:r>
      <w:r w:rsidR="00AA6C73">
        <w:rPr>
          <w:noProof/>
        </w:rPr>
        <w:t>(Kunst et al., 2023; Sun et al., 2024; Yardeni et al., 2019)</w:t>
      </w:r>
      <w:r w:rsidR="00AA6C73">
        <w:fldChar w:fldCharType="end"/>
      </w:r>
      <w:r w:rsidR="00AA6C73">
        <w:t>.</w:t>
      </w:r>
      <w:r w:rsidR="008F0E41">
        <w:t xml:space="preserve"> H</w:t>
      </w:r>
      <w:r w:rsidR="00AA6C73">
        <w:t xml:space="preserve">eat-induced changes in microbiome composition have been associated with both epithelial damage </w:t>
      </w:r>
      <w:r w:rsidR="00AA6C73">
        <w:fldChar w:fldCharType="begin"/>
      </w:r>
      <w:r w:rsidR="00AA6C73">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AA6C73">
        <w:fldChar w:fldCharType="separate"/>
      </w:r>
      <w:r w:rsidR="00AA6C73">
        <w:rPr>
          <w:noProof/>
        </w:rPr>
        <w:t>(Xia et al., 2022)</w:t>
      </w:r>
      <w:r w:rsidR="00AA6C73">
        <w:fldChar w:fldCharType="end"/>
      </w:r>
      <w:r w:rsidR="00AA6C73">
        <w:t xml:space="preserve"> and reduced antioxidant metabolism </w:t>
      </w:r>
      <w:r w:rsidR="00AA6C73">
        <w:fldChar w:fldCharType="begin"/>
      </w:r>
      <w:r w:rsidR="00AA6C73">
        <w:instrText xml:space="preserve"> ADDIN ZOTERO_ITEM CSL_CITATION {"citationID":"5jiQMwyG","properties":{"formattedCitation":"(Fang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AA6C73">
        <w:fldChar w:fldCharType="separate"/>
      </w:r>
      <w:r w:rsidR="00AA6C73">
        <w:rPr>
          <w:noProof/>
        </w:rPr>
        <w:t>(Fang et al., 2023; Liu, Ma, et al., 2023)</w:t>
      </w:r>
      <w:r w:rsidR="00AA6C73">
        <w:fldChar w:fldCharType="end"/>
      </w:r>
      <w:r w:rsidR="00AA6C73">
        <w:t xml:space="preserve">, suggesting that </w:t>
      </w:r>
      <w:r w:rsidR="00745806">
        <w:t xml:space="preserve">heat-driven </w:t>
      </w:r>
      <w:r w:rsidR="00AA6C73">
        <w:t>microbiome changes may both result from and contribute to redox imbalance.</w:t>
      </w:r>
    </w:p>
    <w:p w14:paraId="7E02DD97" w14:textId="4A6BADBC" w:rsidR="00EF5780" w:rsidRDefault="00EF5780" w:rsidP="00EF5780">
      <w:pPr>
        <w:ind w:firstLine="720"/>
      </w:pPr>
      <w:r>
        <w:t xml:space="preserve">Redox imbalance may drive shifts in microbiome composition during heat stress by disrupting oxygen gradients, which are an important determinant of gut microbial community structure </w:t>
      </w:r>
      <w:r>
        <w:fldChar w:fldCharType="begin"/>
      </w:r>
      <w:r>
        <w:instrText xml:space="preserve"> ADDIN ZOTERO_ITEM CSL_CITATION {"citationID":"CVbd1gER","properties":{"formattedCitation":"(Albenberg et al., 2014; Chikina &amp; Matic Vignjevic, 2021)","plainCitation":"(Albenberg et al., 2014; Chikina &amp; Matic Vignjevic, 2021)","noteIndex":0},"citationItems":[{"id":3399,"uris":["http://zotero.org/users/13901503/items/9SHPRSI6"],"itemData":{"id":3399,"type":"article-journal","abstract":"Background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D."}],"issued":{"date-parts":[["2014",11,1]]}}},{"id":3675,"uris":["http://zotero.org/users/13901503/items/9R2YBLHZ"],"itemData":{"id":3675,"type":"article-journal","abstract":"The gastrointestinal system is highly compartmentalized, where individual segments perform separate tasks to achieve common physiological goals. The gut luminal content, chyme, changes its chemical and physical properties as it passes through different intestinal segments. Together, the chyme composition, mucus, pH and oxygen gradients along the gut create a variety of highly distinct ecological niches that form, maintain and reinforce the symbiosis with the particular microbiota. Hosting different microbiota members at specific locations creates one of the most complex and sophisticated gradient – gradient of the local ecosystems that live and interact with each other, providing advantages and challenges to the host and creating our microbial self. Here, we discuss how intestinal luminal gradients are created and maintained in homeostasis, their role in a correct microbiota positioning, and their change upon inflammation and cancer.","collection-title":"Quantitative Cell and Developmental Biology","container-title":"Cells &amp; Development","DOI":"10.1016/j.cdev.2021.203712","ISSN":"2667-2901","journalAbbreviation":"Cells &amp; Development","page":"203712","source":"ScienceDirect","title":"At the right time in the right place: How do luminal gradients position the microbiota along the gut?","title-short":"At the right time in the right place","volume":"168","author":[{"family":"Chikina","given":"Aleksandra"},{"family":"Matic Vignjevic","given":"Danijela"}],"issued":{"date-parts":[["2021",12,1]]}}}],"schema":"https://github.com/citation-style-language/schema/raw/master/csl-citation.json"} </w:instrText>
      </w:r>
      <w:r>
        <w:fldChar w:fldCharType="separate"/>
      </w:r>
      <w:r>
        <w:rPr>
          <w:noProof/>
        </w:rPr>
        <w:t>(Albenberg et al., 2014; Chikina &amp; Matic Vignjevic, 2021)</w:t>
      </w:r>
      <w:r>
        <w:fldChar w:fldCharType="end"/>
      </w:r>
      <w:r>
        <w:t>.</w:t>
      </w:r>
      <w:r w:rsidRPr="00EF5780">
        <w:t xml:space="preserve"> </w:t>
      </w:r>
      <w:r>
        <w:t xml:space="preserve">The distal colon is typically hypoxic and dominated by obligate anaerobes, primarily from the Firmicutes and </w:t>
      </w:r>
      <w:proofErr w:type="spellStart"/>
      <w:r w:rsidRPr="00762AD7">
        <w:t>Bacteroidota</w:t>
      </w:r>
      <w:proofErr w:type="spellEnd"/>
      <w:r>
        <w:t xml:space="preserve"> phyla, that lack robust enzymatic defenses against reactive oxygen species </w:t>
      </w:r>
      <w:r>
        <w:fldChar w:fldCharType="begin"/>
      </w:r>
      <w:r w:rsidR="008D69D1">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8D69D1">
        <w:rPr>
          <w:noProof/>
        </w:rPr>
        <w:t>(Z. Lu et al., 2018; McCord et al., 1971)</w:t>
      </w:r>
      <w:r>
        <w:fldChar w:fldCharType="end"/>
      </w:r>
      <w:r>
        <w:t xml:space="preserve">. Heat stress is consistently associated with declines in Firmicutes and </w:t>
      </w:r>
      <w:proofErr w:type="spellStart"/>
      <w:r>
        <w:t>Bacteroidota</w:t>
      </w:r>
      <w:proofErr w:type="spellEnd"/>
      <w:r>
        <w:t xml:space="preserve"> abundances across a variety of vertebrate species [reptiles, </w:t>
      </w:r>
      <w:r>
        <w:fldChar w:fldCharType="begin"/>
      </w:r>
      <w:r>
        <w:instrText xml:space="preserve"> ADDIN ZOTERO_ITEM CSL_CITATION {"citationID":"vuOg0hY0","properties":{"formattedCitation":"(Bestion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Pr>
          <w:rFonts w:ascii="Arial" w:hAnsi="Arial" w:cs="Arial"/>
        </w:rPr>
        <w:instrText> </w:instrText>
      </w:r>
      <w:r>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fldChar w:fldCharType="separate"/>
      </w:r>
      <w:r>
        <w:rPr>
          <w:noProof/>
        </w:rPr>
        <w:t>(Bestion et al., 2017)</w:t>
      </w:r>
      <w:r>
        <w:fldChar w:fldCharType="end"/>
      </w:r>
      <w:r w:rsidRPr="00762AD7">
        <w:t xml:space="preserve"> </w:t>
      </w:r>
      <w:r>
        <w:fldChar w:fldCharType="begin"/>
      </w:r>
      <w:r>
        <w:instrText xml:space="preserve"> ADDIN ZOTERO_ITEM CSL_CITATION {"citationID":"ESpHgtOu","properties":{"formattedCitation":"(Moeller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(Moeller et al., 2020)</w:t>
      </w:r>
      <w:r>
        <w:fldChar w:fldCharType="end"/>
      </w:r>
      <w:r>
        <w:t xml:space="preserve">, birds </w:t>
      </w:r>
      <w:r>
        <w:fldChar w:fldCharType="begin"/>
      </w:r>
      <w:r>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mammals </w:t>
      </w:r>
      <w:r>
        <w:fldChar w:fldCharType="begin"/>
      </w:r>
      <w:r>
        <w:instrText xml:space="preserve"> ADDIN ZOTERO_ITEM CSL_CITATION {"citationID":"RkOD0Ofz","properties":{"formattedCitation":"(Bai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Pr>
          <w:noProof/>
        </w:rPr>
        <w:t>(Bai et al., 2022)</w:t>
      </w:r>
      <w:r>
        <w:fldChar w:fldCharType="end"/>
      </w:r>
      <w:r>
        <w:t>] suggesting that elevated temperatures may alter gut conditions in ways that disproportionately affect obligate taxa.</w:t>
      </w:r>
      <w:r w:rsidRPr="00EF5780">
        <w:t xml:space="preserve"> </w:t>
      </w:r>
      <w:r>
        <w:t xml:space="preserve">In contrast, heat stress is often linked to an increase in Proteobacteria </w:t>
      </w:r>
      <w:r>
        <w:fldChar w:fldCharType="begin"/>
      </w:r>
      <w:r>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 phylum consisting primarily of facultative anaerobes capable of exploiting higher-oxygen conditions that are inhospitable to obligate anaerobes </w:t>
      </w:r>
      <w:r>
        <w:fldChar w:fldCharType="begin"/>
      </w:r>
      <w:r>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Pr>
          <w:noProof/>
        </w:rPr>
        <w:t>(Albenberg et al., 2014; Shin et al., 2015)</w:t>
      </w:r>
      <w:r>
        <w:fldChar w:fldCharType="end"/>
      </w:r>
      <w:r>
        <w:t>. Therefore, changes in redox conditions likely underlie heat stress–associated shifts in gut microbiome composition by creating an environment that favors facultative taxa over obligate anaerobes.</w:t>
      </w:r>
    </w:p>
    <w:p w14:paraId="34E1AF67" w14:textId="240B444D" w:rsidR="00EF5780" w:rsidRDefault="00EF5780" w:rsidP="00084CDE">
      <w:pPr>
        <w:ind w:firstLine="720"/>
      </w:pPr>
      <w:r>
        <w:t xml:space="preserve">A decline in obligate anaerobes during heat stress may disrupt the gut microbiome’s ability to regulate host immunity by impairing key immunomodulatory functions. The gut microbiome and immune system share a bidirectional relationship that broadly involves host-driven mechanisms that confine the gut microbiome to the </w:t>
      </w:r>
      <w:r w:rsidRPr="00344BA4">
        <w:t>intestinal lumen</w:t>
      </w:r>
      <w:r>
        <w:t xml:space="preserve"> () and microbial regulation of immunity to maintain host tolerance of gut microbiome (). Obligate anaerobes are particularly important for maintaining gut-immune homeostasis because they 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r>
        <w:t xml:space="preserve"> which are critical for immune regulation </w:t>
      </w:r>
      <w:r>
        <w:fldChar w:fldCharType="begin"/>
      </w:r>
      <w:r>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ED7040">
        <w:t>(Corrêa-Oliveira et al., 2016; Liu, Shao, et al., 2023)</w:t>
      </w:r>
      <w:r>
        <w:fldChar w:fldCharType="end"/>
      </w:r>
      <w:r>
        <w:t xml:space="preserve">. SCFAs support anti-inflammatory mechanisms that </w:t>
      </w:r>
      <w:r w:rsidR="007D7046">
        <w:t>sustain</w:t>
      </w:r>
      <w:r>
        <w:t xml:space="preserve"> immune tolerance of the microbiome </w:t>
      </w:r>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and are the primary energy source for epithelial cells, helping to maintain the integrity of the intestinal barrier </w:t>
      </w:r>
      <w:r>
        <w:fldChar w:fldCharType="begin"/>
      </w:r>
      <w:r>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Pr>
          <w:noProof/>
        </w:rPr>
        <w:t>(Donohoe et al., 2011)</w:t>
      </w:r>
      <w:r>
        <w:fldChar w:fldCharType="end"/>
      </w:r>
      <w:r>
        <w:t>.</w:t>
      </w:r>
      <w:r w:rsidRPr="00EF5780">
        <w:t xml:space="preserve"> </w:t>
      </w:r>
      <w:r>
        <w:t xml:space="preserve">Declines in abundance of obligate taxa and SCFA’s are associated with chronic inflammatory disorders </w:t>
      </w:r>
      <w:r>
        <w:fldChar w:fldCharType="begin"/>
      </w:r>
      <w:r>
        <w:instrText xml:space="preserve"> ADDIN ZOTERO_ITEM CSL_CITATION {"citationID":"PUhTnYps","properties":{"formattedCitation":"(Frank et al., 2007; Ott et al., 2004; F. Zhang et al., 2022)","plainCitation":"(Frank et al., 2007; Ott et al., 2004; F. Zhang et al., 2022)","noteIndex":0},"citationItems":[{"id":3541,"uris":["http://zotero.org/users/13901503/items/G4H9JM44"],"itemData":{"id":3541,"type":"article-journal","abstract":"The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 Firmicutes and Bacteroidetes.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Sciences","DOI":"10.1073/pnas.0706625104","issue":"34","note":"publisher: Proceedings of the National Academy of Sciences","page":"13780-13785","source":"www-pnas-org.proxy.lib.umich.edu (Atypon)","title":"Molecular-phylogenetic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R."}],"issued":{"date-parts":[["2007",8,21]]}}},{"id":3543,"uris":["http://zotero.org/users/13901503/items/LDVN6UJ4"],"itemData":{"id":3543,"type":"article-journal","abstract":"Background and aims: The intestinal bacterial microflora plays an important role in the aetiology of inflammatory bowel disease (IBD). As most of the colonic bacteria cannot be identified by culture techniques, genomic technology can be used for analysis of the composition of the microflora.\nPatients and methods: The mucosa associated colonic microflora of 57 patients with active inflammatory bowel disease and 46 controls was investigated using 16S rDNA based single strand conformation polymorphism (SSCP) fingerprint, cloning experiments, and real time polymerase chain reaction (PCR).\nResults: Full length sequencing of 1019 clones from 16S rDNA libraries (n = 3) revealed an overall bacterial diversity of 83 non-redundant sequences—among them, only 49 known bacterial species. Molecular epidemiology of the composition of the colonic microflora was investigated by SSCP. Diversity of the microflora in Crohn’s disease was reduced to 50% compared with controls (21.7 v 50.4; p&lt;0.0001) and to 30% in ulcerative colitis (17.2 v 50.4; p&lt;0.0001). The reduction in diversity in inflammatory bowel disease was due to loss of normal anaerobic bacteria such as Bacteroides species, Eubacterium species, and Lactobacillus species, as revealed by direct sequencing of variable bands and confirmed by real time PCR. Bacterial diversity in the Crohn’s group showed no association with CARD15/NOD2 status.\nConclusions: Mucosal inflammation in inflammatory bowel disease is associated with loss of normal anaerobic bacteria. This effect is independent of NOD2/CARD15 status of patients.","container-title":"Gut","DOI":"10.1136/gut.2003.025403","ISSN":"0017-5749, 1468-3288","issue":"5","language":"en","license":"Copyright 2004 by Gut","note":"publisher: BMJ Publishing Group\nsection: Inflammatory bowel disease\nPMID: 15082587","page":"685-693","source":"gut-bmj-com.proxy.lib.umich.edu","title":"Reduction in diversity of the colonic mucosa associated bacterial microflora in patients with active inflammatory bowel disease","volume":"53","author":[{"family":"Ott","given":"S. J."},{"family":"Musfeldt","given":"M."},{"family":"Wenderoth","given":"D. F."},{"family":"Hampe","given":"J."},{"family":"Brant","given":"O."},{"family":"Fölsch","given":"U. R."},{"family":"Timmis","given":"K. N."},{"family":"Schreiber","given":"S."}],"issued":{"date-parts":[["2004",5,1]]}}},{"id":2189,"uris":["http://zotero.org/users/13901503/items/WZLVS6S3"],"itemData":{"id":2189,"type":"article-journal","abstract":"Dietary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fldChar w:fldCharType="separate"/>
      </w:r>
      <w:r>
        <w:rPr>
          <w:noProof/>
        </w:rPr>
        <w:t>(Frank et al., 2007; Ott et al., 2004; F. Zhang et al., 2022)</w:t>
      </w:r>
      <w:r>
        <w:fldChar w:fldCharType="end"/>
      </w:r>
      <w:r>
        <w:t>, underscoring</w:t>
      </w:r>
      <w:r w:rsidRPr="00EF5780">
        <w:t xml:space="preserve"> </w:t>
      </w:r>
      <w:r>
        <w:t xml:space="preserve">their importance for maintaining homeostasis between the gut microbiome and host immunity. Further, changes in microbiome composition during heat stress have been associated with declines in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changes in 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rsidRPr="00EF5780">
        <w:t xml:space="preserve"> </w:t>
      </w:r>
      <w:r>
        <w:t xml:space="preserve">suggesting that heat-driven shifts in composition have consequences for microbiome-immune interactions.  </w:t>
      </w:r>
    </w:p>
    <w:p w14:paraId="38DE0B1B" w14:textId="77777777" w:rsidR="003556B4" w:rsidRDefault="00084CDE" w:rsidP="003556B4">
      <w:pPr>
        <w:ind w:firstLine="720"/>
      </w:pPr>
      <w:r>
        <w:lastRenderedPageBreak/>
        <w:t xml:space="preserve">These relationships suggest that heat stress may initiate a physiological cascade that disrupts redox balance, alters microbiome composition, and activates immune responses, compromising the gut microbiome’s ability to perform functions essential to host health. Because microbiome-host relationships are bidirectional (), each change likely amplifies the others, creating a feedback loop that increases the risk of chronic gut inflammation during extended periods of </w:t>
      </w:r>
      <w:commentRangeStart w:id="6"/>
      <w:r>
        <w:t xml:space="preserve">high temperatures. </w:t>
      </w:r>
      <w:commentRangeEnd w:id="6"/>
      <w:r w:rsidR="007D7046">
        <w:rPr>
          <w:rStyle w:val="CommentReference"/>
        </w:rPr>
        <w:commentReference w:id="6"/>
      </w:r>
      <w:r w:rsidR="00DA2C3B">
        <w:t xml:space="preserve">Since these interactions have been studied almost exclusively in clinical and laboratory contexts, </w:t>
      </w:r>
      <w:r w:rsidR="00CB4D72">
        <w:t>we have little understanding of</w:t>
      </w:r>
      <w:r w:rsidR="00DA2C3B">
        <w:t xml:space="preserve"> how this system functions in wild populations in response to natural thermal variation. </w:t>
      </w:r>
      <w:r w:rsidR="00CB4D72">
        <w:t>Further, most research on heat-induced microbiome disruption has focused either on ectotherms (e.g., amphibians, fish, reptiles), to understand how the microbiome influences vulnerability to heat in species that lack internal thermoregulation, or on livestock, to evaluate whether microbiome changes contribute to productivity loss during heat stress</w:t>
      </w:r>
      <w:r w:rsidR="002B3FF9">
        <w:t xml:space="preserve"> (</w:t>
      </w:r>
      <w:r w:rsidR="00CB4D72">
        <w:t xml:space="preserve">e.g., </w:t>
      </w:r>
      <w:r w:rsidR="002B3FF9">
        <w:t>pigs, cows, birds)</w:t>
      </w:r>
      <w:r w:rsidR="00DA2C3B">
        <w:t>.</w:t>
      </w:r>
      <w:r w:rsidR="002B3FF9">
        <w:t xml:space="preserve"> While controlled experiments are valuable for identifying mechanistic links between heat and </w:t>
      </w:r>
      <w:r w:rsidR="00CB4D72">
        <w:t xml:space="preserve">the </w:t>
      </w:r>
      <w:r w:rsidR="002B3FF9">
        <w:t xml:space="preserve">microbiome, they </w:t>
      </w:r>
      <w:r w:rsidR="00CB4D72">
        <w:t>offer</w:t>
      </w:r>
      <w:r w:rsidR="002B3FF9">
        <w:t xml:space="preserve"> limited insight into why these relationships evolved and how they function in an ecologically relevant context. Additionally, it is becoming more clear that endotherms are also physiologically vulnerable to heat stress (Lovegrove et al., 2014; Lucore et al., 2024; </w:t>
      </w:r>
      <w:proofErr w:type="spellStart"/>
      <w:r w:rsidR="002B3FF9">
        <w:t>Risely</w:t>
      </w:r>
      <w:proofErr w:type="spellEnd"/>
      <w:r w:rsidR="002B3FF9">
        <w:t xml:space="preserve"> et al., 2023) and the microbiome likely plays a key role in mediating their response to high temperatures. </w:t>
      </w:r>
    </w:p>
    <w:p w14:paraId="2E38B4E4" w14:textId="553C23CA" w:rsidR="009133A1" w:rsidRDefault="009133A1" w:rsidP="003F0931">
      <w:pPr>
        <w:ind w:firstLine="720"/>
      </w:pPr>
      <w:commentRangeStart w:id="7"/>
      <w:r>
        <w:t xml:space="preserve">Here, we assess if temperature is an important predictor for explaining gut microbiome composition and metabolic function in a wild population of capuchin monkeys, </w:t>
      </w:r>
      <w:r w:rsidRPr="00297A0D">
        <w:rPr>
          <w:i/>
          <w:iCs/>
        </w:rPr>
        <w:t>Cebus imitator</w:t>
      </w:r>
      <w:r>
        <w:t xml:space="preserve">, in Costa Rica. </w:t>
      </w:r>
      <w:commentRangeEnd w:id="7"/>
      <w:r w:rsidR="007D7046">
        <w:rPr>
          <w:rStyle w:val="CommentReference"/>
        </w:rPr>
        <w:commentReference w:id="7"/>
      </w:r>
      <w:r>
        <w:t xml:space="preserve">Much of primate gut microbiome research has examined how broad ecological factors—such as seasonality </w:t>
      </w:r>
      <w:r>
        <w:fldChar w:fldCharType="begin"/>
      </w:r>
      <w:r w:rsidR="008D69D1">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(Baniel et al., 2021; Orkin et al., 2019)</w:t>
      </w:r>
      <w:r>
        <w:fldChar w:fldCharType="end"/>
      </w:r>
      <w:r>
        <w:t xml:space="preserve">, habitat disturbance </w:t>
      </w:r>
      <w:r>
        <w:fldChar w:fldCharType="begin"/>
      </w:r>
      <w:r>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Pr>
          <w:noProof/>
        </w:rPr>
        <w:t>(Amato et al., 2013; Barelli et al., 2015)</w:t>
      </w:r>
      <w:r>
        <w:fldChar w:fldCharType="end"/>
      </w:r>
      <w:r>
        <w:t>, and cross-site variation</w:t>
      </w:r>
      <w:r>
        <w:fldChar w:fldCharType="begin"/>
      </w:r>
      <w:r>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Pr>
          <w:noProof/>
        </w:rPr>
        <w:t>(Amato et al., 2016; Bueno De Mesquita et al., 2021)</w:t>
      </w:r>
      <w:r>
        <w:fldChar w:fldCharType="end"/>
      </w:r>
      <w:r>
        <w:t>— relate to the gut microbiome, with findings often attributed to differences in host diet. However, no study has directly assessed the influence of temperature on the gut microbiome of a wild primate.</w:t>
      </w:r>
      <w:r w:rsidRPr="009673A8">
        <w:t xml:space="preserve"> </w:t>
      </w:r>
      <w:r>
        <w:t>We also examine whether host immunity is associated with the gut microbiome’s relationship with temperature to evaluate the interplay between temperature, the gut microbiome, and microbiome-immune homeostasis.</w:t>
      </w:r>
      <w:r w:rsidRPr="009673A8">
        <w:t xml:space="preserve"> </w:t>
      </w:r>
      <w:r>
        <w:t>We measure host immunity using neopterin, a b</w:t>
      </w:r>
      <w:r w:rsidR="00745806">
        <w:t>y</w:t>
      </w:r>
      <w:r>
        <w:t xml:space="preserve">product of macrophage activity when stimulated by interferon-gamma produced by </w:t>
      </w:r>
      <w:r w:rsidRPr="00F60396">
        <w:t>T</w:t>
      </w:r>
      <w:r>
        <w:t>-</w:t>
      </w:r>
      <w:r w:rsidRPr="00F60396">
        <w:t>helper 1</w:t>
      </w:r>
      <w:r>
        <w:t xml:space="preserve"> cells 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The gastrointestinal tract harbors the highest density of macrophages in the body, as they play a central role in host containment of </w:t>
      </w:r>
      <w:r w:rsidR="00745806">
        <w:t xml:space="preserve">the </w:t>
      </w:r>
      <w:r>
        <w:t xml:space="preserve">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xml:space="preserve">. In turn, microbial metabolites including short-chain fatty acids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FB0A0A">
        <w:t>(Corrêa-Oliveira et al., 2016; Wang et al., 2020)</w:t>
      </w:r>
      <w:r>
        <w:fldChar w:fldCharType="end"/>
      </w:r>
      <w:r>
        <w:t xml:space="preserve">. </w:t>
      </w:r>
      <w:r w:rsidR="003F0931">
        <w:t xml:space="preserve">Therefore, neopterin is likely a valuable indicator of intestinal immune activity and bidirectional relationships between host immunity and the gut microbes. </w:t>
      </w:r>
      <w:r>
        <w:t xml:space="preserve">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3CF8B7C0" w14:textId="5809BA4D" w:rsidR="003556B4" w:rsidRDefault="003556B4" w:rsidP="006F2D56">
      <w:pPr>
        <w:ind w:firstLine="720"/>
      </w:pPr>
      <w:r>
        <w:t>Our study has two main goals (1) to assess the influence of temperature on the gut microbiome in a wild primate population and (2) to examine how gut microbiome respons</w:t>
      </w:r>
      <w:r w:rsidR="007D7046">
        <w:t>e</w:t>
      </w:r>
      <w:r>
        <w:t xml:space="preserve"> </w:t>
      </w:r>
      <w:r w:rsidR="00745806">
        <w:t xml:space="preserve">to temperature </w:t>
      </w:r>
      <w:r>
        <w:t>relate</w:t>
      </w:r>
      <w:r w:rsidR="007D7046">
        <w:t>s</w:t>
      </w:r>
      <w:r>
        <w:t xml:space="preserve"> to host immunity. To address these questions, we analyzed 11 months of paired fecal and urine samples from 36 individually identified white-faced capuchin monkeys living in tropical dry forest fragments in Northwestern Costa Rica.</w:t>
      </w:r>
      <w:r w:rsidR="000D5023">
        <w:t xml:space="preserve"> </w:t>
      </w:r>
      <w:r w:rsidR="006F2D56">
        <w:t xml:space="preserve">Tropical dry forests are highly seasonal and experience greater annual temperature variation than other tropical environments </w:t>
      </w:r>
      <w:r w:rsidR="006B4B63">
        <w:t xml:space="preserve">() </w:t>
      </w:r>
      <w:r w:rsidR="006F2D56">
        <w:t xml:space="preserve">making them an ideal system </w:t>
      </w:r>
      <w:r w:rsidR="006B4B63">
        <w:t>for</w:t>
      </w:r>
      <w:r w:rsidR="006F2D56">
        <w:t xml:space="preserve"> study</w:t>
      </w:r>
      <w:r w:rsidR="006B4B63">
        <w:t>ing</w:t>
      </w:r>
      <w:r w:rsidR="006F2D56">
        <w:t xml:space="preserve"> the effects of heat stress. Further, season is reliably measured by rain</w:t>
      </w:r>
      <w:r w:rsidR="006B4B63">
        <w:t>,</w:t>
      </w:r>
      <w:r w:rsidR="006F2D56">
        <w:t xml:space="preserve"> </w:t>
      </w:r>
      <w:r w:rsidR="006B4B63">
        <w:t>making</w:t>
      </w:r>
      <w:r w:rsidR="006F2D56">
        <w:t xml:space="preserve"> it possible to control for seasonal ecological changes </w:t>
      </w:r>
      <w:r w:rsidR="006F2D56">
        <w:lastRenderedPageBreak/>
        <w:t>and better isolate the effects of temperature</w:t>
      </w:r>
      <w:r w:rsidR="006B4B63">
        <w:t xml:space="preserve"> ()</w:t>
      </w:r>
      <w:r w:rsidR="006F2D56">
        <w:t xml:space="preserve">. </w:t>
      </w:r>
      <w:r w:rsidRPr="007D7046">
        <w:t>We</w:t>
      </w:r>
      <w:r>
        <w:t xml:space="preserve"> characterized microbiome composition using 16S rRNA gene sequencing (n = 277) and </w:t>
      </w:r>
      <w:r w:rsidR="000D5023">
        <w:t>microbial metabolic function</w:t>
      </w:r>
      <w:r>
        <w:t xml:space="preserve"> using shotgun metagenomic sequencing (n = 7</w:t>
      </w:r>
      <w:r w:rsidR="003F0931">
        <w:t>1</w:t>
      </w:r>
      <w:r>
        <w:t xml:space="preserve">). Our results highlight the crucial role of temperature in shaping essential gut microbiome functions in wild endotherms and demonstrate how temperature is related to microbiome-immune interactions that </w:t>
      </w:r>
      <w:r w:rsidR="000D5023">
        <w:t xml:space="preserve">may </w:t>
      </w:r>
      <w:r>
        <w:t>affect host immune tolerance</w:t>
      </w:r>
      <w:r w:rsidR="000D5023">
        <w:t xml:space="preserve"> of gut microbes</w:t>
      </w:r>
      <w:r>
        <w:t>. These findings provide key insight into how rising temperatures due to climate change may affect wild animals via microbiome-mediated mechanisms.</w:t>
      </w:r>
    </w:p>
    <w:p w14:paraId="70374641" w14:textId="77777777" w:rsidR="00EF5780" w:rsidRDefault="00EF5780"/>
    <w:p w14:paraId="617EB7D3" w14:textId="77777777" w:rsidR="00302774" w:rsidRDefault="00302774" w:rsidP="00302774">
      <w:commentRangeStart w:id="8"/>
      <w:r>
        <w:t xml:space="preserve">Results: </w:t>
      </w:r>
      <w:commentRangeEnd w:id="8"/>
      <w:r w:rsidR="006B03C8">
        <w:rPr>
          <w:rStyle w:val="CommentReference"/>
        </w:rPr>
        <w:commentReference w:id="8"/>
      </w:r>
    </w:p>
    <w:p w14:paraId="555EFFC7" w14:textId="77777777" w:rsidR="00302774" w:rsidRDefault="00302774" w:rsidP="00302774">
      <w:pPr>
        <w:rPr>
          <w:u w:val="single"/>
        </w:rPr>
      </w:pPr>
      <w:r w:rsidRPr="00AE374C">
        <w:rPr>
          <w:u w:val="single"/>
        </w:rPr>
        <w:t>Gut microbiome</w:t>
      </w:r>
      <w:r>
        <w:rPr>
          <w:u w:val="single"/>
        </w:rPr>
        <w:t xml:space="preserve"> taxonomic and metabolic pathway</w:t>
      </w:r>
      <w:r w:rsidRPr="00AE374C">
        <w:rPr>
          <w:u w:val="single"/>
        </w:rPr>
        <w:t xml:space="preserve"> composition is </w:t>
      </w:r>
      <w:r>
        <w:rPr>
          <w:u w:val="single"/>
        </w:rPr>
        <w:t>related to temperature</w:t>
      </w:r>
    </w:p>
    <w:p w14:paraId="3887653D" w14:textId="77777777" w:rsidR="00302774" w:rsidRPr="00991E79" w:rsidRDefault="00302774" w:rsidP="00302774">
      <w:r w:rsidRPr="00991E79">
        <w:rPr>
          <w:i/>
          <w:iCs/>
        </w:rPr>
        <w:t>Community-level</w:t>
      </w:r>
      <w:r>
        <w:rPr>
          <w:i/>
          <w:iCs/>
        </w:rPr>
        <w:t xml:space="preserve"> results</w:t>
      </w:r>
    </w:p>
    <w:p w14:paraId="36FFA4C3" w14:textId="47C16DC1" w:rsidR="006B4B63" w:rsidRDefault="00302774" w:rsidP="00302774">
      <w:r>
        <w:tab/>
        <w:t xml:space="preserve">We found a strong relationship between temperature and both taxonomic and functional community-level diversity. To assess this relationship, we compared a baseline model that accounted for known predictors of microbiome composition (sex, social group, diet, and season) to a model that included both the baseline predictors and temperature. For taxonomic community composition, the temperature </w:t>
      </w:r>
      <w:commentRangeStart w:id="9"/>
      <w:commentRangeStart w:id="10"/>
      <w:r w:rsidR="006B4B63">
        <w:t>provided the best fit</w:t>
      </w:r>
      <w:commentRangeEnd w:id="9"/>
      <w:r w:rsidR="006B4B63">
        <w:rPr>
          <w:rStyle w:val="CommentReference"/>
        </w:rPr>
        <w:commentReference w:id="9"/>
      </w:r>
      <w:commentRangeEnd w:id="10"/>
      <w:r w:rsidR="005052A6">
        <w:rPr>
          <w:rStyle w:val="CommentReference"/>
        </w:rPr>
        <w:commentReference w:id="10"/>
      </w:r>
      <w:r w:rsidR="006B4B63">
        <w:t xml:space="preserve"> </w:t>
      </w:r>
      <w:r w:rsidR="00A14DCC">
        <w:t xml:space="preserve">(controlling for model complexity) </w:t>
      </w:r>
      <w:r w:rsidR="006B4B63">
        <w:t xml:space="preserve">across all </w:t>
      </w:r>
      <w:r>
        <w:t xml:space="preserve">community-level indices, accounting for 100% of the model weight for </w:t>
      </w:r>
      <w:r w:rsidR="006B4B63">
        <w:t>every</w:t>
      </w:r>
      <w:r>
        <w:t xml:space="preserve"> principal component ax</w:t>
      </w:r>
      <w:r w:rsidR="006B4B63">
        <w:t>is</w:t>
      </w:r>
      <w:r>
        <w:t xml:space="preserve"> and alpha diversity metric</w:t>
      </w:r>
      <w:r w:rsidR="006B4B63">
        <w:t xml:space="preserve"> </w:t>
      </w:r>
      <w:r>
        <w:t xml:space="preserve">(Fig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w:t>
      </w:r>
      <w:r w:rsidR="006B4B63">
        <w:t>s are</w:t>
      </w:r>
      <w:r>
        <w:t xml:space="preserve"> small compared to the principal components, alpha diversity reliably decline</w:t>
      </w:r>
      <w:r w:rsidR="006B4B63">
        <w:t>s</w:t>
      </w:r>
      <w:r>
        <w:t xml:space="preserve"> with increasing temperatures (Fig </w:t>
      </w:r>
      <w:r w:rsidR="005105B0">
        <w:t>1S</w:t>
      </w:r>
      <w:r>
        <w:t>).</w:t>
      </w:r>
      <w:r w:rsidR="006B4B63">
        <w:t xml:space="preserve"> This suggests that higher temperatures are associated with reductions in both taxonomic richness and evenness, as</w:t>
      </w:r>
      <w:r w:rsidR="006B4B63" w:rsidRPr="006B4B63">
        <w:t xml:space="preserve"> </w:t>
      </w:r>
      <w:r w:rsidR="006B4B63">
        <w:t xml:space="preserve">observed richness reflects the total number of ASVs while Shannon’s diversity considers both richness and evenness. </w:t>
      </w:r>
    </w:p>
    <w:p w14:paraId="64FFCE50" w14:textId="335A8C21" w:rsidR="00302774" w:rsidRDefault="00302774" w:rsidP="006B4B63">
      <w:pPr>
        <w:ind w:firstLine="720"/>
      </w:pPr>
      <w:r>
        <w:t xml:space="preserve">For metabolic functional composition, the temperature </w:t>
      </w:r>
      <w:r w:rsidR="006B4B63">
        <w:t>model provided the best</w:t>
      </w:r>
      <w:r w:rsidR="00A14DCC">
        <w:t xml:space="preserve"> fit</w:t>
      </w:r>
      <w:r w:rsidR="006B4B63">
        <w:t xml:space="preserve"> for every principal component axis and the total number of observed pathways, accounting for at least 96% of the model weight. </w:t>
      </w:r>
      <w:r>
        <w:t xml:space="preserve">In contrast, the baseline model </w:t>
      </w:r>
      <w:r w:rsidR="006B4B63">
        <w:t>provided the best fit for</w:t>
      </w:r>
      <w:r>
        <w:t xml:space="preserve"> Shannon’s diversity</w:t>
      </w:r>
      <w:r w:rsidR="006B4B63">
        <w:t>,</w:t>
      </w:r>
      <w:r>
        <w:t xml:space="preserve"> accounting for 77% of the model weight (Fig. 1D). Therefore, temperature is associated with shifts in individual metabolic pathways substantial enough to affect community-level beta diversity, but, the relationship between temperature functional alpha diversity is less clear. Temperature </w:t>
      </w:r>
      <w:r w:rsidR="006B4B63">
        <w:t xml:space="preserve">was </w:t>
      </w:r>
      <w:r>
        <w:t>negative</w:t>
      </w:r>
      <w:r w:rsidR="006B4B63">
        <w:t>ly</w:t>
      </w:r>
      <w:r>
        <w:t xml:space="preserve"> associat</w:t>
      </w:r>
      <w:r w:rsidR="006B4B63">
        <w:t>ed</w:t>
      </w:r>
      <w:r>
        <w:t xml:space="preserve"> with the total number of unique pathways (Observed: </w:t>
      </w:r>
      <w:r w:rsidRPr="00887114">
        <w:t>β</w:t>
      </w:r>
      <w:r>
        <w:rPr>
          <w:vertAlign w:val="subscript"/>
        </w:rPr>
        <w:t>temp</w:t>
      </w:r>
      <w:r>
        <w:t xml:space="preserve"> = -35.05)</w:t>
      </w:r>
      <w:r w:rsidR="006B4B63">
        <w:t>,</w:t>
      </w:r>
      <w:r>
        <w:t xml:space="preserve"> but the magnitude and direction of this effect are uncertain </w:t>
      </w:r>
      <w:r w:rsidR="006B4B63">
        <w:t>due to the wide confidence intervals that include</w:t>
      </w:r>
      <w:r>
        <w:t xml:space="preserve"> zero. The effect size for Shannon’s diversity (</w:t>
      </w:r>
      <w:r w:rsidRPr="00887114">
        <w:t>β</w:t>
      </w:r>
      <w:r>
        <w:rPr>
          <w:vertAlign w:val="subscript"/>
        </w:rPr>
        <w:t>temp</w:t>
      </w:r>
      <w:r>
        <w:t xml:space="preserve"> = -0.27) is much smaller</w:t>
      </w:r>
      <w:r w:rsidR="006B4B63">
        <w:t xml:space="preserve">, and </w:t>
      </w:r>
      <w:r>
        <w:t xml:space="preserve">the confidence intervals also </w:t>
      </w:r>
      <w:r w:rsidR="006B4B63">
        <w:t xml:space="preserve">include </w:t>
      </w:r>
      <w:r>
        <w:t xml:space="preserve">zero. (Fig. 1C). </w:t>
      </w:r>
      <w:r w:rsidR="006B4B63">
        <w:t>T</w:t>
      </w:r>
      <w:r>
        <w:t>ogether, these results suggest that higher temperatures may reduce the number of unique metabolic pathways but are not associated with changes in pathway evenness.</w:t>
      </w:r>
    </w:p>
    <w:p w14:paraId="6E040654" w14:textId="77777777" w:rsidR="005052A6" w:rsidRDefault="005052A6"/>
    <w:p w14:paraId="41B2DF71" w14:textId="77777777" w:rsidR="00D5269A" w:rsidRDefault="00D5269A" w:rsidP="00D5269A">
      <w:r>
        <w:rPr>
          <w:i/>
          <w:iCs/>
        </w:rPr>
        <w:t>Taxonomic and metabolic pathway results</w:t>
      </w:r>
    </w:p>
    <w:p w14:paraId="79A0D098" w14:textId="70080832" w:rsidR="005B0D78" w:rsidRDefault="00D5269A" w:rsidP="005B0D78">
      <w:r>
        <w:t xml:space="preserve">Temperature is also related to the abundance of individual taxa at both the family and genus levels. The temperature </w:t>
      </w:r>
      <w:r w:rsidR="005B0D78">
        <w:t xml:space="preserve">model </w:t>
      </w:r>
      <w:r w:rsidR="006B4B63">
        <w:t>provided the best fit</w:t>
      </w:r>
      <w:r w:rsidR="00A14DCC">
        <w:t xml:space="preserve"> (controlling for complexity)</w:t>
      </w:r>
      <w:r w:rsidR="006B4B63">
        <w:t xml:space="preserve"> for</w:t>
      </w:r>
      <w:r>
        <w:t xml:space="preserve"> 93 out of 163 taxa, accounting for </w:t>
      </w:r>
      <w:r w:rsidR="006B4B63">
        <w:t xml:space="preserve">at least </w:t>
      </w:r>
      <w:r>
        <w:t>50% of the model weight. The 93 differentially abundant taxa included 37 families and 56 genera spanning 10 phyla.</w:t>
      </w:r>
      <w:r w:rsidRPr="003059AC">
        <w:t xml:space="preserve"> </w:t>
      </w:r>
      <w:r>
        <w:t>The relationship between abundance and temperature is primarily negative</w:t>
      </w:r>
      <w:r w:rsidR="00C47F59">
        <w:t>, where</w:t>
      </w:r>
      <w:r>
        <w:t xml:space="preserve"> 82 out of 93 taxa decline in abundance with rising temperatures (Table</w:t>
      </w:r>
      <w:r w:rsidR="005105B0">
        <w:t xml:space="preserve"> 1S</w:t>
      </w:r>
      <w:r>
        <w:t xml:space="preserve">). We used the model weights for the 97 genera to perform an ancestral </w:t>
      </w:r>
      <w:r>
        <w:lastRenderedPageBreak/>
        <w:t>state reconstruction and investigate the evolution of temperature sensitivity among</w:t>
      </w:r>
      <w:r w:rsidR="005B0D78">
        <w:t xml:space="preserve"> </w:t>
      </w:r>
      <w:r w:rsidR="005B0D78" w:rsidRPr="005B0D78">
        <w:rPr>
          <w:i/>
          <w:iCs/>
        </w:rPr>
        <w:t>C. imitator</w:t>
      </w:r>
      <w:r w:rsidR="005B0D78">
        <w:t xml:space="preserve"> </w:t>
      </w:r>
      <w:r>
        <w:t xml:space="preserve">gut commensals. </w:t>
      </w:r>
      <w:r w:rsidRPr="000D54E5">
        <w:t>The estimated model weight of the most ancestral node</w:t>
      </w:r>
      <w:r>
        <w:t xml:space="preserve"> </w:t>
      </w:r>
      <w:r w:rsidR="005B0D78">
        <w:t>was</w:t>
      </w:r>
      <w:r>
        <w:t xml:space="preserve"> 66%, indicating that the temperature model has relatively strong support for explaining the ancestral state (Fig </w:t>
      </w:r>
      <w:r w:rsidR="005105B0">
        <w:t>2</w:t>
      </w:r>
      <w:r>
        <w:t>). This suggests that ancestral</w:t>
      </w:r>
      <w:r w:rsidR="005B0D78">
        <w:t xml:space="preserve"> </w:t>
      </w:r>
      <w:r w:rsidR="005B0D78" w:rsidRPr="005B0D78">
        <w:rPr>
          <w:i/>
          <w:iCs/>
        </w:rPr>
        <w:t>C. imitator</w:t>
      </w:r>
      <w:r w:rsidR="005B0D78">
        <w:t xml:space="preserve"> </w:t>
      </w:r>
      <w:r>
        <w:t xml:space="preserve">commensals were sensitive to increasing temperatures. Among the phyla </w:t>
      </w:r>
      <w:r w:rsidR="00C47F59">
        <w:t xml:space="preserve">representing </w:t>
      </w:r>
      <w:r>
        <w:t xml:space="preserve">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w:t>
      </w:r>
      <w:r w:rsidR="000C4B47">
        <w:t xml:space="preserve"> </w:t>
      </w:r>
      <w:commentRangeStart w:id="11"/>
      <w:r w:rsidR="000C4B47">
        <w:t xml:space="preserve">Proteobacteria, which are primarily composed of facultative anaerobes (), may exhibit reduced sensitivity to temperature due to their ability to tolerate changing oxygen gradients, making them more resilient to redox </w:t>
      </w:r>
      <w:r w:rsidR="005B0D78">
        <w:t>changes</w:t>
      </w:r>
      <w:r w:rsidR="000C4B47">
        <w:t xml:space="preserve"> at high temperatures. </w:t>
      </w:r>
      <w:commentRangeEnd w:id="11"/>
      <w:r w:rsidR="005B0D78">
        <w:rPr>
          <w:rStyle w:val="CommentReference"/>
        </w:rPr>
        <w:commentReference w:id="11"/>
      </w:r>
      <w:r w:rsidR="005B0D78">
        <w:t xml:space="preserve"> </w:t>
      </w:r>
      <w:r w:rsidR="000C4B47">
        <w:t xml:space="preserve">In contrast, temperature sensitivity is more conserved in </w:t>
      </w:r>
      <w:proofErr w:type="spellStart"/>
      <w:r w:rsidR="000C4B47">
        <w:t>Bacteroidota</w:t>
      </w:r>
      <w:proofErr w:type="spellEnd"/>
      <w:r w:rsidR="000C4B47">
        <w:t xml:space="preserve">, where the temperature </w:t>
      </w:r>
      <w:r w:rsidR="005B0D78">
        <w:t>model provides the best fit for</w:t>
      </w:r>
      <w:r w:rsidR="000C4B47">
        <w:t xml:space="preserve"> 11 out of 14 genera, </w:t>
      </w:r>
      <w:proofErr w:type="spellStart"/>
      <w:r w:rsidR="000C4B47">
        <w:t>Actinobacteriota</w:t>
      </w:r>
      <w:proofErr w:type="spellEnd"/>
      <w:r w:rsidR="000C4B47">
        <w:t xml:space="preserve"> (4 out of 6 genera), and Firmicutes (29 out of 42 genera). For these phyla, the relationship</w:t>
      </w:r>
      <w:r w:rsidR="005B0D78">
        <w:t xml:space="preserve"> with</w:t>
      </w:r>
      <w:r w:rsidR="000C4B47">
        <w:t xml:space="preserve"> temperature</w:t>
      </w:r>
      <w:r w:rsidR="005B0D78">
        <w:t xml:space="preserve"> is</w:t>
      </w:r>
      <w:r w:rsidR="000C4B47">
        <w:t xml:space="preserve"> primarily negative (Fig </w:t>
      </w:r>
      <w:r w:rsidR="005105B0">
        <w:t>2</w:t>
      </w:r>
      <w:r w:rsidR="000C4B47">
        <w:t xml:space="preserve">), indicating that these taxa </w:t>
      </w:r>
      <w:r w:rsidR="005B0D78">
        <w:t>decline</w:t>
      </w:r>
      <w:r w:rsidR="000C4B47">
        <w:t xml:space="preserve"> with rising temperatures</w:t>
      </w:r>
      <w:commentRangeStart w:id="12"/>
      <w:r w:rsidR="000C4B47">
        <w:t>.</w:t>
      </w:r>
      <w:r w:rsidR="005B0D78">
        <w:t xml:space="preserve"> </w:t>
      </w:r>
      <w:proofErr w:type="spellStart"/>
      <w:r w:rsidR="005B0D78">
        <w:t>Bacteroidota</w:t>
      </w:r>
      <w:proofErr w:type="spellEnd"/>
      <w:r w:rsidR="005B0D78">
        <w:t xml:space="preserve"> and Firmicutes include many genera composed of obligate anaerobes that decline with rising temperatures (</w:t>
      </w:r>
      <w:proofErr w:type="spellStart"/>
      <w:r w:rsidR="005B0D78">
        <w:t>e.g</w:t>
      </w:r>
      <w:proofErr w:type="spellEnd"/>
      <w:r w:rsidR="005B0D78">
        <w:t xml:space="preserve">, </w:t>
      </w:r>
      <w:r w:rsidR="005B0D78" w:rsidRPr="006915F0">
        <w:rPr>
          <w:i/>
          <w:iCs/>
        </w:rPr>
        <w:t>Bacteroides</w:t>
      </w:r>
      <w:r w:rsidR="00A14DCC">
        <w:rPr>
          <w:i/>
          <w:iCs/>
        </w:rPr>
        <w:t xml:space="preserve"> ()</w:t>
      </w:r>
      <w:r w:rsidR="005B0D78" w:rsidRPr="006915F0">
        <w:rPr>
          <w:i/>
          <w:iCs/>
        </w:rPr>
        <w:t>, Parabacteroides</w:t>
      </w:r>
      <w:r w:rsidR="00A14DCC">
        <w:rPr>
          <w:i/>
          <w:iCs/>
        </w:rPr>
        <w:t xml:space="preserve"> ()</w:t>
      </w:r>
      <w:r w:rsidR="005B0D78" w:rsidRPr="006915F0">
        <w:rPr>
          <w:i/>
          <w:iCs/>
        </w:rPr>
        <w:t>, Clostridium</w:t>
      </w:r>
      <w:r w:rsidR="00A14DCC">
        <w:rPr>
          <w:i/>
          <w:iCs/>
        </w:rPr>
        <w:t xml:space="preserve"> ()</w:t>
      </w:r>
      <w:r w:rsidR="005B0D78" w:rsidRPr="006915F0">
        <w:rPr>
          <w:i/>
          <w:iCs/>
        </w:rPr>
        <w:t xml:space="preserve">, </w:t>
      </w:r>
      <w:proofErr w:type="spellStart"/>
      <w:r w:rsidR="005B0D78" w:rsidRPr="006915F0">
        <w:rPr>
          <w:i/>
          <w:iCs/>
        </w:rPr>
        <w:t>Ruminococcus</w:t>
      </w:r>
      <w:proofErr w:type="spellEnd"/>
      <w:r w:rsidR="00A14DCC">
        <w:rPr>
          <w:i/>
          <w:iCs/>
        </w:rPr>
        <w:t xml:space="preserve"> ()</w:t>
      </w:r>
      <w:r w:rsidR="005B0D78" w:rsidRPr="006915F0">
        <w:rPr>
          <w:i/>
          <w:iCs/>
        </w:rPr>
        <w:t>, Eubacterium</w:t>
      </w:r>
      <w:r w:rsidR="00A14DCC">
        <w:rPr>
          <w:i/>
          <w:iCs/>
        </w:rPr>
        <w:t xml:space="preserve"> ()</w:t>
      </w:r>
      <w:r w:rsidR="005B0D78" w:rsidRPr="006915F0">
        <w:rPr>
          <w:i/>
          <w:iCs/>
        </w:rPr>
        <w:t xml:space="preserve">, </w:t>
      </w:r>
      <w:proofErr w:type="spellStart"/>
      <w:r w:rsidR="005B0D78" w:rsidRPr="006915F0">
        <w:rPr>
          <w:i/>
          <w:iCs/>
        </w:rPr>
        <w:t>Blautia</w:t>
      </w:r>
      <w:proofErr w:type="spellEnd"/>
      <w:r w:rsidR="00A14DCC">
        <w:rPr>
          <w:i/>
          <w:iCs/>
        </w:rPr>
        <w:t xml:space="preserve"> ()</w:t>
      </w:r>
      <w:r w:rsidR="005B0D78" w:rsidRPr="006915F0">
        <w:rPr>
          <w:i/>
          <w:iCs/>
        </w:rPr>
        <w:t xml:space="preserve">, </w:t>
      </w:r>
      <w:proofErr w:type="spellStart"/>
      <w:r w:rsidR="005B0D78" w:rsidRPr="006915F0">
        <w:rPr>
          <w:i/>
          <w:iCs/>
        </w:rPr>
        <w:t>Anaerostipes</w:t>
      </w:r>
      <w:proofErr w:type="spellEnd"/>
      <w:r w:rsidR="00A14DCC">
        <w:rPr>
          <w:i/>
          <w:iCs/>
        </w:rPr>
        <w:t xml:space="preserve"> ()</w:t>
      </w:r>
      <w:r w:rsidR="005B0D78" w:rsidRPr="006915F0">
        <w:rPr>
          <w:i/>
          <w:iCs/>
        </w:rPr>
        <w:t xml:space="preserve">, </w:t>
      </w:r>
      <w:r w:rsidR="005B0D78" w:rsidRPr="006915F0">
        <w:t>and</w:t>
      </w:r>
      <w:r w:rsidR="005B0D78" w:rsidRPr="006915F0">
        <w:rPr>
          <w:i/>
          <w:iCs/>
        </w:rPr>
        <w:t xml:space="preserve"> </w:t>
      </w:r>
      <w:proofErr w:type="spellStart"/>
      <w:r w:rsidR="005B0D78" w:rsidRPr="006915F0">
        <w:rPr>
          <w:i/>
          <w:iCs/>
        </w:rPr>
        <w:t>Alistipes</w:t>
      </w:r>
      <w:proofErr w:type="spellEnd"/>
      <w:r w:rsidR="00A14DCC">
        <w:rPr>
          <w:i/>
          <w:iCs/>
        </w:rPr>
        <w:t>()</w:t>
      </w:r>
      <w:r w:rsidR="005B0D78">
        <w:t>), suggesting that their</w:t>
      </w:r>
      <w:r w:rsidR="005B0D78" w:rsidRPr="005B0D78">
        <w:t xml:space="preserve"> </w:t>
      </w:r>
      <w:r w:rsidR="005B0D78">
        <w:t xml:space="preserve">sensitivity to oxygen may limit their ability to tolerate redox changes at high temperatures.  </w:t>
      </w:r>
      <w:commentRangeEnd w:id="12"/>
      <w:r w:rsidR="005B0D78">
        <w:rPr>
          <w:rStyle w:val="CommentReference"/>
        </w:rPr>
        <w:commentReference w:id="12"/>
      </w:r>
    </w:p>
    <w:p w14:paraId="6B1B17BC" w14:textId="654E17BC" w:rsidR="005052A6" w:rsidRDefault="005052A6" w:rsidP="00BB3915">
      <w:pPr>
        <w:ind w:firstLine="720"/>
      </w:pPr>
      <w:r>
        <w:t xml:space="preserve">Temperature is also related to the abundance of microbial metabolic pathways. The temperature model </w:t>
      </w:r>
      <w:r w:rsidR="008A1185">
        <w:t>provided the best fit</w:t>
      </w:r>
      <w:r>
        <w:t xml:space="preserve"> for 169 out of 383 total pathways, accounting for </w:t>
      </w:r>
      <w:r w:rsidR="008A1185">
        <w:t xml:space="preserve">at least </w:t>
      </w:r>
      <w:r>
        <w:t>50% of the model weight (sup table). To facilitate downstream interpretation, we grouped 103 of these pathways into five functional categories based on share</w:t>
      </w:r>
      <w:r w:rsidR="008A1185">
        <w:t>d</w:t>
      </w:r>
      <w:r>
        <w:t xml:space="preserve"> biological roles and</w:t>
      </w:r>
      <w:r w:rsidR="00A14DCC">
        <w:t xml:space="preserve"> their</w:t>
      </w:r>
      <w:r>
        <w:t xml:space="preserve"> apparent relationship with temperature: lipid metabolism, oxygen-driven metabolism and fermentation, redox maintenance, nucleotide mobilization, and immune regulation (Fig </w:t>
      </w:r>
      <w:r w:rsidR="005105B0">
        <w:t>3</w:t>
      </w:r>
      <w:r>
        <w:t>). The gut microbiome exhibits signs of metabolic restructuring that may help microbes respond to rising temperatures</w:t>
      </w:r>
      <w:r w:rsidR="008A1185">
        <w:t xml:space="preserve">.  </w:t>
      </w:r>
      <w:r>
        <w:t xml:space="preserve">For example, changes in lipid metabolism including an increase in </w:t>
      </w:r>
      <w:commentRangeStart w:id="13"/>
      <w:r>
        <w:t>fatty acids synthesis pathways like oleate, cis-</w:t>
      </w:r>
      <w:proofErr w:type="spellStart"/>
      <w:r>
        <w:t>vaccenate</w:t>
      </w:r>
      <w:proofErr w:type="spellEnd"/>
      <w:r>
        <w:t xml:space="preserve">, palmitoleate, stearate, and </w:t>
      </w:r>
      <w:proofErr w:type="spellStart"/>
      <w:r>
        <w:t>gondoate</w:t>
      </w:r>
      <w:commentRangeEnd w:id="13"/>
      <w:proofErr w:type="spellEnd"/>
      <w:r w:rsidR="008A1185">
        <w:rPr>
          <w:rStyle w:val="CommentReference"/>
        </w:rPr>
        <w:commentReference w:id="13"/>
      </w:r>
      <w:r>
        <w:t xml:space="preserve"> and lipid remodeling pathways such as </w:t>
      </w:r>
      <w:r w:rsidR="008A1185">
        <w:t xml:space="preserve">the </w:t>
      </w:r>
      <w:r>
        <w:t xml:space="preserve">mevalonate pathway and downstream isoprenoid lipids synthesis, </w:t>
      </w:r>
      <w:commentRangeStart w:id="14"/>
      <w:r>
        <w:t xml:space="preserve">may help maintain cytoplasmic membrane integrity at high temperatures </w:t>
      </w:r>
      <w:commentRangeEnd w:id="14"/>
      <w:r w:rsidR="008A1185">
        <w:rPr>
          <w:rStyle w:val="CommentReference"/>
        </w:rPr>
        <w:commentReference w:id="14"/>
      </w:r>
      <w:r>
        <w:t xml:space="preserve">(Fig </w:t>
      </w:r>
      <w:r w:rsidR="005105B0">
        <w:t>3</w:t>
      </w:r>
      <w:r>
        <w:t>A</w:t>
      </w:r>
      <w:commentRangeStart w:id="15"/>
      <w:r>
        <w:t>)</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w:t>
      </w:r>
      <w:commentRangeEnd w:id="15"/>
      <w:r w:rsidR="008A1185">
        <w:rPr>
          <w:rStyle w:val="CommentReference"/>
        </w:rPr>
        <w:commentReference w:id="15"/>
      </w:r>
      <w:r>
        <w:t>However, a decrease in pathways involved in lipid catabolism and recycling including fatty acid β-oxidation, fatty acid salvage, and phospholipid turnover likely impair</w:t>
      </w:r>
      <w:r w:rsidR="008A1185">
        <w:t>s</w:t>
      </w:r>
      <w:r>
        <w:t xml:space="preserve">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w:t>
      </w:r>
      <w:r w:rsidR="008A1185">
        <w:t xml:space="preserve"> ()</w:t>
      </w:r>
      <w:r>
        <w:t>, alongside a decrease in pathways that support aerobic metabolism</w:t>
      </w:r>
      <w:r w:rsidR="008A1185">
        <w:t xml:space="preserve"> ()</w:t>
      </w:r>
      <w:r>
        <w:t xml:space="preserve"> may reflect a response to </w:t>
      </w:r>
      <w:r w:rsidR="008A1185">
        <w:t>changing oxygen gradients</w:t>
      </w:r>
      <w:r>
        <w:t xml:space="preserve"> </w:t>
      </w:r>
      <w:r w:rsidR="002E2E73">
        <w:t>with rising</w:t>
      </w:r>
      <w:r>
        <w:t xml:space="preserve"> temperatures </w:t>
      </w:r>
      <w:r w:rsidR="008A1185">
        <w:t xml:space="preserve">to maintain energy production. </w:t>
      </w:r>
      <w:r>
        <w:t xml:space="preserve">(Fig </w:t>
      </w:r>
      <w:r w:rsidR="005105B0">
        <w:t>3</w:t>
      </w:r>
      <w:r>
        <w:t>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rsidR="008A1185">
        <w:t xml:space="preserve">. </w:t>
      </w:r>
      <w:r>
        <w:t xml:space="preserve">However, these anaerobic pathways are primarily </w:t>
      </w:r>
      <w:r w:rsidR="008A1185">
        <w:t>involved in</w:t>
      </w:r>
      <w:r>
        <w:t xml:space="preserve"> simple carbohydrate metabolism</w:t>
      </w:r>
      <w:r w:rsidR="008A1185">
        <w:t xml:space="preserve"> typical of facultative taxa (),</w:t>
      </w:r>
      <w:r>
        <w:t xml:space="preserve"> and coincide with a decline in complex polysaccharide fermentation</w:t>
      </w:r>
      <w:r w:rsidR="008A1185">
        <w:t xml:space="preserve"> typical of obligate taxa ()</w:t>
      </w:r>
      <w:r>
        <w:t>,</w:t>
      </w:r>
      <w:r w:rsidR="008A1185">
        <w:t xml:space="preserve"> suggesting that this shift is driven by the </w:t>
      </w:r>
      <w:r w:rsidR="002E2E73">
        <w:t xml:space="preserve">relative </w:t>
      </w:r>
      <w:r w:rsidR="008A1185">
        <w:t xml:space="preserve">persistence of facultative taxa </w:t>
      </w:r>
      <w:r w:rsidR="002E2E73">
        <w:t>at high temperatures</w:t>
      </w:r>
      <w:r w:rsidR="008A1185">
        <w:t xml:space="preserve">. Since fiber fermentation </w:t>
      </w:r>
      <w:r w:rsidR="002E2E73">
        <w:t xml:space="preserve">creates SCFAs which are crucial energy sources, extended periods of high temperatures may eventually cause a decline in overall energy availability (). </w:t>
      </w:r>
    </w:p>
    <w:p w14:paraId="212CDE4E" w14:textId="0C0939DE" w:rsidR="005052A6" w:rsidRDefault="005052A6" w:rsidP="00BB3915">
      <w:pPr>
        <w:ind w:firstLine="720"/>
      </w:pPr>
      <w:commentRangeStart w:id="16"/>
      <w:r>
        <w:t xml:space="preserve">Some </w:t>
      </w:r>
      <w:r w:rsidR="00BB3915">
        <w:t xml:space="preserve">of the observed </w:t>
      </w:r>
      <w:r>
        <w:t xml:space="preserve">metabolic </w:t>
      </w:r>
      <w:r w:rsidR="00BB3915">
        <w:t>shifts suggest</w:t>
      </w:r>
      <w:r>
        <w:t xml:space="preserve"> that rising temperature</w:t>
      </w:r>
      <w:r w:rsidR="00BB3915">
        <w:t>s</w:t>
      </w:r>
      <w:r>
        <w:t xml:space="preserve"> may</w:t>
      </w:r>
      <w:r w:rsidR="00BB3915">
        <w:t xml:space="preserve"> affect microbial activity in ways that compromise the homeostasis of the gut environment. </w:t>
      </w:r>
      <w:commentRangeEnd w:id="16"/>
      <w:r w:rsidR="000318C6">
        <w:rPr>
          <w:rStyle w:val="CommentReference"/>
        </w:rPr>
        <w:commentReference w:id="16"/>
      </w:r>
      <w:r w:rsidR="00BB3915">
        <w:t>For example</w:t>
      </w:r>
      <w:r>
        <w:t xml:space="preserve">, declines in pathways that support redox maintenance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 xml:space="preserve">(Gout, </w:t>
      </w:r>
      <w:r>
        <w:rPr>
          <w:noProof/>
        </w:rPr>
        <w:lastRenderedPageBreak/>
        <w:t>2018)</w:t>
      </w:r>
      <w:r>
        <w:fldChar w:fldCharType="end"/>
      </w:r>
      <w:r>
        <w:t xml:space="preserve">, and 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r>
        <w:t>may impair the gut microbiome’s ability to neutralize reactive oxygen species (ROS)</w:t>
      </w:r>
      <w:r w:rsidR="00BB3915">
        <w:t xml:space="preserve"> and contribute to redox imbalance at high temperatures</w:t>
      </w:r>
      <w:r w:rsidR="005105B0">
        <w:t xml:space="preserve"> (Fig 3C)</w:t>
      </w:r>
      <w:r w:rsidR="00BB3915">
        <w:t xml:space="preserve">. Pathways involved in redox cycling such as NADPH production, quinone synthesis, and siderophore-mediated iron transport also decline (Fig 4C; Dhungana &amp; Crumbliss, 2005; Ying, 2008) along with detoxification pathways for aromatic compounds and aldehydes (Kalapos, 1999) which could also contribute to the accumulation of ROS. </w:t>
      </w:r>
      <w:r>
        <w:t xml:space="preserve">However, some pathways that support redox maintenance increase with rising temperatures including the synthesis of antioxidant precursors and vitamin 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xml:space="preserve">. These shifts may represent a compensatory effort to counteract the loss of ROS-neutralizing pathways and help sustain </w:t>
      </w:r>
      <w:r w:rsidR="00BB3915">
        <w:t xml:space="preserve">or reestablish </w:t>
      </w:r>
      <w:r>
        <w:t>redox balance at high temperatures.</w:t>
      </w:r>
      <w:r w:rsidR="005105B0">
        <w:t xml:space="preserve"> </w:t>
      </w:r>
      <w:r>
        <w:t xml:space="preserve">Unfortunately, this compensation is likely insufficient to prevent the accumulation of ROS as indicated by the concomitant increase in pathways involved in nucleotide mobilization including purine and pyrimidine de novo synthesis, nucleotide salvage, and recycling (Fig </w:t>
      </w:r>
      <w:r w:rsidR="005105B0">
        <w:t>3</w:t>
      </w:r>
      <w:r>
        <w:t>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(Vinayak &amp; Pathak, 2010)</w:t>
      </w:r>
      <w:r>
        <w:t xml:space="preserve">. This coordinated increase in nucleotide and translation-associated metabolism may reflect </w:t>
      </w:r>
      <w:r w:rsidR="00BB3915">
        <w:t xml:space="preserve">the consequences of redox imbalance at high temperatures </w:t>
      </w:r>
      <w:r>
        <w:t xml:space="preserve">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6010DFC7" w14:textId="19151D36" w:rsidR="005052A6" w:rsidRDefault="00BB3915" w:rsidP="000318C6">
      <w:pPr>
        <w:ind w:firstLine="720"/>
      </w:pPr>
      <w:r>
        <w:t>Shifts in microbial pathways involved in immune regulation may also disrupt gut homeostasis by impairing mechanisms that maintain host tolerance toward the gut microbiome.</w:t>
      </w:r>
      <w:r w:rsidR="000318C6">
        <w:t xml:space="preserve"> </w:t>
      </w:r>
      <w:r w:rsidR="005052A6">
        <w:t xml:space="preserve">Rising temperatures are associated with a </w:t>
      </w:r>
      <w:r w:rsidR="000318C6">
        <w:t xml:space="preserve">decline in </w:t>
      </w:r>
      <w:r w:rsidR="005052A6" w:rsidRPr="00183627">
        <w:t xml:space="preserve">pathways that </w:t>
      </w:r>
      <w:r w:rsidR="005052A6">
        <w:t>produce metabolites known to support anti-inflammatory signaling</w:t>
      </w:r>
      <w:r w:rsidR="000318C6">
        <w:t xml:space="preserve"> including synthesis of the SCFAs butyrate and propanoate, catabolism of monosaturated fatty acids like oleate, and production of amino acid–derived immunomodulators through arginine degradation and ornithine synthesis (Fig </w:t>
      </w:r>
      <w:r w:rsidR="005105B0">
        <w:t>3</w:t>
      </w:r>
      <w:r w:rsidR="000318C6">
        <w:t xml:space="preserve">E). </w:t>
      </w:r>
      <w:r w:rsidR="005052A6">
        <w:t xml:space="preserve">Loss of these pathways may weaken </w:t>
      </w:r>
      <w:r w:rsidR="000318C6">
        <w:t>essential</w:t>
      </w:r>
      <w:r w:rsidR="005052A6">
        <w:t xml:space="preserve"> mechanisms that promote host immune tolerance toward gut bacteria</w:t>
      </w:r>
      <w:r w:rsidR="000318C6">
        <w:t xml:space="preserve"> </w:t>
      </w:r>
      <w:r w:rsidR="005052A6">
        <w:t xml:space="preserve">including support of anti-inflammatory regulatory T cell activity </w:t>
      </w:r>
      <w:r w:rsidR="005052A6">
        <w:fldChar w:fldCharType="begin"/>
      </w:r>
      <w:r w:rsidR="005052A6">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5052A6">
        <w:fldChar w:fldCharType="separate"/>
      </w:r>
      <w:r w:rsidR="005052A6">
        <w:rPr>
          <w:noProof/>
        </w:rPr>
        <w:t>(Arpaia et al., 2013; Furusawa et al., 2013)</w:t>
      </w:r>
      <w:r w:rsidR="005052A6">
        <w:fldChar w:fldCharType="end"/>
      </w:r>
      <w:r w:rsidR="005052A6">
        <w:t xml:space="preserve">, suppression of pro-inflammatory cytokine signaling </w:t>
      </w:r>
      <w:r w:rsidR="005052A6">
        <w:fldChar w:fldCharType="begin"/>
      </w:r>
      <w:r w:rsidR="005052A6">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052A6">
        <w:fldChar w:fldCharType="separate"/>
      </w:r>
      <w:r w:rsidR="005052A6">
        <w:rPr>
          <w:noProof/>
        </w:rPr>
        <w:t>(Hung et al., 2023; Klampfer et al., 2003)</w:t>
      </w:r>
      <w:r w:rsidR="005052A6">
        <w:fldChar w:fldCharType="end"/>
      </w:r>
      <w:r w:rsidR="005052A6">
        <w:t xml:space="preserve">, and support for M2 macrophage anti-inflammatory activity </w:t>
      </w:r>
      <w:r w:rsidR="005052A6">
        <w:fldChar w:fldCharType="begin"/>
      </w:r>
      <w:r w:rsidR="005052A6">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rsidR="005052A6">
        <w:fldChar w:fldCharType="separate"/>
      </w:r>
      <w:r w:rsidR="005052A6">
        <w:rPr>
          <w:noProof/>
        </w:rPr>
        <w:t>(Bronte &amp; Zanovello, 2005; Rath et al., 2014)</w:t>
      </w:r>
      <w:r w:rsidR="005052A6">
        <w:fldChar w:fldCharType="end"/>
      </w:r>
      <w:r w:rsidR="005052A6">
        <w:t xml:space="preserve">. However, these shifts are accompanied by an increase in select pathways that may help compensate for the loss of microbial immune regulation, including the synthesis of the </w:t>
      </w:r>
      <w:r w:rsidR="005052A6" w:rsidRPr="000C50E7">
        <w:t>saturated</w:t>
      </w:r>
      <w:r w:rsidR="005052A6">
        <w:t xml:space="preserve"> fatty acids (5Z)-</w:t>
      </w:r>
      <w:proofErr w:type="spellStart"/>
      <w:r w:rsidR="005052A6">
        <w:t>dodecenoate</w:t>
      </w:r>
      <w:proofErr w:type="spellEnd"/>
      <w:r w:rsidR="005052A6">
        <w:t xml:space="preserve"> and L-tryptophan biosynthesis, which leads to the production of indole derivatives that suppress pro-inflammatory cytokine </w:t>
      </w:r>
      <w:commentRangeStart w:id="17"/>
      <w:r w:rsidR="005052A6">
        <w:t xml:space="preserve">signaling </w:t>
      </w:r>
      <w:r w:rsidR="005052A6">
        <w:fldChar w:fldCharType="begin"/>
      </w:r>
      <w:r w:rsidR="005052A6">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rsidR="005052A6">
        <w:fldChar w:fldCharType="separate"/>
      </w:r>
      <w:r w:rsidR="005052A6">
        <w:rPr>
          <w:noProof/>
        </w:rPr>
        <w:t>(Konopelski &amp; Mogilnicka, 2022)</w:t>
      </w:r>
      <w:r w:rsidR="005052A6">
        <w:fldChar w:fldCharType="end"/>
      </w:r>
      <w:r w:rsidR="005052A6">
        <w:t xml:space="preserve">. </w:t>
      </w:r>
      <w:commentRangeEnd w:id="17"/>
      <w:r w:rsidR="000318C6">
        <w:rPr>
          <w:rStyle w:val="CommentReference"/>
        </w:rPr>
        <w:commentReference w:id="17"/>
      </w:r>
    </w:p>
    <w:p w14:paraId="4754162A" w14:textId="77777777" w:rsidR="006B4B63" w:rsidRDefault="006B4B63"/>
    <w:p w14:paraId="718DB6FE" w14:textId="77777777" w:rsidR="006B4B63" w:rsidRDefault="006B4B63" w:rsidP="006B4B63">
      <w:pPr>
        <w:rPr>
          <w:u w:val="single"/>
        </w:rPr>
      </w:pPr>
      <w:r>
        <w:rPr>
          <w:u w:val="single"/>
        </w:rPr>
        <w:t>Neopterin</w:t>
      </w:r>
      <w:r w:rsidRPr="00AE374C">
        <w:rPr>
          <w:u w:val="single"/>
        </w:rPr>
        <w:t xml:space="preserve"> is </w:t>
      </w:r>
      <w:r>
        <w:rPr>
          <w:u w:val="single"/>
        </w:rPr>
        <w:t>associated</w:t>
      </w:r>
      <w:r w:rsidRPr="00AE374C">
        <w:rPr>
          <w:u w:val="single"/>
        </w:rPr>
        <w:t xml:space="preserve"> </w:t>
      </w:r>
      <w:r>
        <w:rPr>
          <w:u w:val="single"/>
        </w:rPr>
        <w:t xml:space="preserve">with </w:t>
      </w:r>
      <w:r w:rsidRPr="00AE374C">
        <w:rPr>
          <w:u w:val="single"/>
        </w:rPr>
        <w:t xml:space="preserve">the gut microbiome’s </w:t>
      </w:r>
      <w:r>
        <w:rPr>
          <w:u w:val="single"/>
        </w:rPr>
        <w:t>relationship with</w:t>
      </w:r>
      <w:r w:rsidRPr="00AE374C">
        <w:rPr>
          <w:u w:val="single"/>
        </w:rPr>
        <w:t xml:space="preserve"> temperature</w:t>
      </w:r>
    </w:p>
    <w:p w14:paraId="64B23358" w14:textId="77777777" w:rsidR="006B4B63" w:rsidRPr="00991E79" w:rsidRDefault="006B4B63" w:rsidP="006B4B63">
      <w:r w:rsidRPr="00991E79">
        <w:rPr>
          <w:i/>
          <w:iCs/>
        </w:rPr>
        <w:t>Community-level</w:t>
      </w:r>
      <w:r>
        <w:rPr>
          <w:i/>
          <w:iCs/>
        </w:rPr>
        <w:t xml:space="preserve"> results</w:t>
      </w:r>
    </w:p>
    <w:p w14:paraId="2368A797" w14:textId="6E467481" w:rsidR="006B4B63" w:rsidRDefault="006B4B63" w:rsidP="006B4B63">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For taxonomic composition, the interaction model provided the best fit </w:t>
      </w:r>
      <w:r w:rsidR="00A14DCC">
        <w:t xml:space="preserve">(controlling for complexity) </w:t>
      </w:r>
      <w:r>
        <w:t xml:space="preserve">for every principal component axis accounting for at least 98% of the model weight (Fig </w:t>
      </w:r>
      <w:r w:rsidR="005105B0">
        <w:t>2S</w:t>
      </w:r>
      <w:r>
        <w:t xml:space="preserve">). Principal component 1 is the only component with confidence intervals that do not include zero but accounts for the greatest proportion of variance among all principal components. This result, along with the high model weight for every principal component, suggests that </w:t>
      </w:r>
      <w:r w:rsidR="00A14DCC">
        <w:t xml:space="preserve">the relationship between temperature </w:t>
      </w:r>
      <w:r w:rsidR="00A14DCC">
        <w:lastRenderedPageBreak/>
        <w:t xml:space="preserve">and beta diversity is associated with neopterin. </w:t>
      </w:r>
      <w:r>
        <w:t xml:space="preserve">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5105B0">
        <w:t>2S</w:t>
      </w:r>
      <w:r>
        <w:t>)</w:t>
      </w:r>
      <w:r w:rsidRPr="0081413B">
        <w:t xml:space="preserve"> </w:t>
      </w:r>
      <w:r>
        <w:t>suggest that the relationship between taxonomic alpha diversity and temperature is independent of neopterin concentration.</w:t>
      </w:r>
    </w:p>
    <w:p w14:paraId="5EE5D129" w14:textId="0F24E6EF" w:rsidR="006B4B63" w:rsidRDefault="006B4B63" w:rsidP="006B4B63">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5105B0">
        <w:t>2S</w:t>
      </w:r>
      <w:r>
        <w:t xml:space="preserve">).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beta diversity.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46E8F1B6" w14:textId="77777777" w:rsidR="006B4B63" w:rsidRDefault="006B4B63"/>
    <w:p w14:paraId="75CE9978" w14:textId="77777777" w:rsidR="00367C74" w:rsidRDefault="00367C74" w:rsidP="00367C74">
      <w:pPr>
        <w:rPr>
          <w:i/>
          <w:iCs/>
        </w:rPr>
      </w:pPr>
      <w:r>
        <w:rPr>
          <w:i/>
          <w:iCs/>
        </w:rPr>
        <w:t>Taxonomic and metabolic pathway results</w:t>
      </w:r>
    </w:p>
    <w:p w14:paraId="2E227393" w14:textId="4D5D0736" w:rsidR="00367C74" w:rsidRDefault="00367C74" w:rsidP="00367C74">
      <w:r>
        <w:t>Neopterin concentration is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(Sup Table). These taxa include 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5).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 xml:space="preserve">The majority of taxa (12 out of 20) exhibit decreasing slopes </w:t>
      </w:r>
      <w:r w:rsidR="004845F6">
        <w:t>at higher neopterin</w:t>
      </w:r>
      <w:r>
        <w:t>. The taxa that exhibit increasing slopes show two distinct patterns: one where a positive slope becomes steeper when neopterin is high, and another where a negative slope changes to positive when neopterin is high.</w:t>
      </w:r>
      <w:r w:rsidRPr="00367C74">
        <w:t xml:space="preserve"> </w:t>
      </w:r>
      <w:commentRangeStart w:id="18"/>
      <w:r>
        <w:t>Together, these results likely reflect how the taxonomic response to rising temperatures influences intestinal macrophage activity, while intestinal immunity simultaneously shapes the taxonomic response to temperature.</w:t>
      </w:r>
      <w:commentRangeEnd w:id="18"/>
      <w:r w:rsidR="000318C6">
        <w:rPr>
          <w:rStyle w:val="CommentReference"/>
        </w:rPr>
        <w:commentReference w:id="18"/>
      </w:r>
    </w:p>
    <w:p w14:paraId="318EECDE" w14:textId="1D596A1D" w:rsidR="00367C74" w:rsidRDefault="00367C74" w:rsidP="004845F6">
      <w:pPr>
        <w:ind w:firstLine="720"/>
      </w:pPr>
      <w:r>
        <w:t>Neopterin concentration is also associated with the relationship between</w:t>
      </w:r>
      <w:r w:rsidRPr="008852E2">
        <w:t xml:space="preserve"> </w:t>
      </w:r>
      <w:r>
        <w:t>temperature and the abundance of individual metabolic pathways. The interaction model</w:t>
      </w:r>
      <w:r w:rsidR="004845F6">
        <w:t xml:space="preserve"> provided a better</w:t>
      </w:r>
      <w:r>
        <w:t xml:space="preserve"> fit for 65 out of 116 pathways tested, accounting </w:t>
      </w:r>
      <w:r w:rsidR="004845F6">
        <w:t>for at least</w:t>
      </w:r>
      <w:r>
        <w:t xml:space="preserve"> 50% of the model weight</w:t>
      </w:r>
      <w:r w:rsidR="004845F6">
        <w:t xml:space="preserve"> in each case</w:t>
      </w:r>
      <w:r>
        <w:t xml:space="preserve"> (Supp table). To interpret the interaction effect, we plotted the relationship between abundance and temperature across two discrete ranges of neopterin values. These results indicate the same two effects as the taxonomic analysis (1) where slopes increase at higher neopterin </w:t>
      </w:r>
      <w:r w:rsidR="005105B0">
        <w:t>(Fig 5A</w:t>
      </w:r>
      <w:r w:rsidR="000B1D63">
        <w:t xml:space="preserve"> &amp; B</w:t>
      </w:r>
      <w:r w:rsidR="005105B0">
        <w:t xml:space="preserve">), </w:t>
      </w:r>
      <w:r>
        <w:t xml:space="preserve">and (2) where slopes decrease </w:t>
      </w:r>
      <w:r w:rsidR="004845F6">
        <w:t xml:space="preserve">at higher neopterin </w:t>
      </w:r>
      <w:r>
        <w:t>(Fig 5</w:t>
      </w:r>
      <w:r w:rsidR="000B1D63">
        <w:t>C-E</w:t>
      </w:r>
      <w:r>
        <w:t xml:space="preserve">). </w:t>
      </w:r>
      <w:r w:rsidR="004845F6">
        <w:t xml:space="preserve">The majority of pathways (37 out of 65) exhibit increasing slopes at higher neopterin. </w:t>
      </w:r>
      <w:r>
        <w:t xml:space="preserve">There are two patterns of increasing slopes: one where a positive slope becomes steeper when neopterin is high, and another where a negative slope </w:t>
      </w:r>
      <w:r w:rsidR="004845F6">
        <w:t>changes</w:t>
      </w:r>
      <w:r>
        <w:t xml:space="preserve"> to positive when neopterin is high.</w:t>
      </w:r>
      <w:r w:rsidR="004845F6">
        <w:t xml:space="preserve"> The taxa that exhibit decreasing </w:t>
      </w:r>
      <w:r w:rsidR="004845F6">
        <w:lastRenderedPageBreak/>
        <w:t xml:space="preserve">slopes show three distinct patterns: </w:t>
      </w:r>
      <w:r>
        <w:t xml:space="preserve">one where a negative slope becomes steeper, another where a positive slope </w:t>
      </w:r>
      <w:r w:rsidR="004845F6">
        <w:t>changes</w:t>
      </w:r>
      <w:r>
        <w:t xml:space="preserve">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520DC86B" w14:textId="77777777" w:rsidR="00367C74" w:rsidRDefault="00367C74"/>
    <w:p w14:paraId="30B0F990" w14:textId="77777777" w:rsidR="006B0E89" w:rsidRDefault="006B0E89" w:rsidP="006B0E89">
      <w:r>
        <w:t xml:space="preserve">Discussion: </w:t>
      </w:r>
    </w:p>
    <w:p w14:paraId="1062DD63" w14:textId="77777777" w:rsidR="006B0E89" w:rsidRDefault="006B0E89" w:rsidP="006B0E89">
      <w:pPr>
        <w:rPr>
          <w:u w:val="single"/>
        </w:rPr>
      </w:pPr>
      <w:commentRangeStart w:id="19"/>
      <w:commentRangeStart w:id="20"/>
      <w:r w:rsidRPr="00C64C3B">
        <w:rPr>
          <w:u w:val="single"/>
        </w:rPr>
        <w:t xml:space="preserve">Gut microbiome </w:t>
      </w:r>
      <w:r>
        <w:rPr>
          <w:u w:val="single"/>
        </w:rPr>
        <w:t>response to</w:t>
      </w:r>
      <w:r w:rsidRPr="00C64C3B">
        <w:rPr>
          <w:u w:val="single"/>
        </w:rPr>
        <w:t xml:space="preserve"> temperature</w:t>
      </w:r>
      <w:commentRangeEnd w:id="19"/>
      <w:r>
        <w:rPr>
          <w:rStyle w:val="CommentReference"/>
        </w:rPr>
        <w:commentReference w:id="19"/>
      </w:r>
      <w:commentRangeEnd w:id="20"/>
      <w:r w:rsidR="008D69D1">
        <w:rPr>
          <w:rStyle w:val="CommentReference"/>
        </w:rPr>
        <w:commentReference w:id="20"/>
      </w:r>
    </w:p>
    <w:p w14:paraId="3BD3CACC" w14:textId="5579CE32" w:rsidR="006B0E89" w:rsidRDefault="006B0E89" w:rsidP="00AB6F8B">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w:t>
      </w:r>
      <w:r w:rsidR="000B1D63">
        <w:t>1S</w:t>
      </w:r>
      <w:r>
        <w:t xml:space="preserve">), suggesting that heat may impair the gut microbiome’s ability to confer 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rsidR="000B1D63">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t xml:space="preserve">, and </w:t>
      </w:r>
      <w:r>
        <w:rPr>
          <w:rStyle w:val="Emphasis"/>
          <w:rFonts w:eastAsiaTheme="majorEastAsia"/>
        </w:rPr>
        <w:t>Enterobacteriaceae,</w:t>
      </w:r>
      <w:r>
        <w:t xml:space="preserve"> which include commensal </w:t>
      </w:r>
      <w:r>
        <w:rPr>
          <w:rStyle w:val="Emphasis"/>
          <w:rFonts w:eastAsiaTheme="majorEastAsia"/>
        </w:rPr>
        <w:t>E. coli</w:t>
      </w:r>
      <w:r>
        <w:t xml:space="preserve"> that can protect against pathogens like </w:t>
      </w:r>
      <w:r w:rsidRPr="00A566A6">
        <w:rPr>
          <w:rStyle w:val="Emphasis"/>
          <w:rFonts w:eastAsiaTheme="majorEastAsia"/>
        </w:rPr>
        <w:t xml:space="preserve">Salmonella </w:t>
      </w:r>
      <w:r w:rsidRPr="00D763E3">
        <w:rPr>
          <w:rStyle w:val="Emphasis"/>
          <w:rFonts w:eastAsiaTheme="majorEastAsia"/>
          <w:i w:val="0"/>
          <w:iCs w:val="0"/>
        </w:rPr>
        <w:fldChar w:fldCharType="begin"/>
      </w:r>
      <w:r w:rsidRPr="00D763E3">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Pr="00D763E3">
        <w:rPr>
          <w:rStyle w:val="Emphasis"/>
          <w:rFonts w:eastAsiaTheme="majorEastAsia"/>
          <w:i w:val="0"/>
          <w:iCs w:val="0"/>
        </w:rPr>
        <w:fldChar w:fldCharType="separate"/>
      </w:r>
      <w:r w:rsidRPr="00D763E3">
        <w:rPr>
          <w:rStyle w:val="Emphasis"/>
          <w:rFonts w:eastAsiaTheme="majorEastAsia"/>
          <w:i w:val="0"/>
          <w:iCs w:val="0"/>
          <w:noProof/>
        </w:rPr>
        <w:t>(Oliveira et al., 2020; Velazquez et al., 2019)</w:t>
      </w:r>
      <w:r w:rsidRPr="00D763E3">
        <w:rPr>
          <w:rStyle w:val="Emphasis"/>
          <w:rFonts w:eastAsiaTheme="majorEastAsia"/>
          <w:i w:val="0"/>
          <w:iCs w:val="0"/>
        </w:rPr>
        <w:fldChar w:fldCharType="end"/>
      </w:r>
      <w:r w:rsidRPr="00D763E3">
        <w:rPr>
          <w:rStyle w:val="Emphasis"/>
          <w:rFonts w:eastAsiaTheme="majorEastAsia"/>
          <w:i w:val="0"/>
          <w:iCs w:val="0"/>
        </w:rPr>
        <w:t>.</w:t>
      </w:r>
      <w:r w:rsidRPr="008F1008">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i w:val="0"/>
          <w:iCs w:val="0"/>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04A1ED6B" w14:textId="7D151164" w:rsidR="0000253A" w:rsidRDefault="006B03C8" w:rsidP="008D0DD0">
      <w:pPr>
        <w:ind w:firstLine="720"/>
      </w:pPr>
      <w:r>
        <w:t xml:space="preserve">Metabolic restructuring suggests that the gut microbiome’s response to rising temperatures may help sustain community stability during short-term </w:t>
      </w:r>
      <w:r w:rsidR="002705B2">
        <w:t xml:space="preserve">heat exposure, but </w:t>
      </w:r>
      <w:r w:rsidR="008D0DD0">
        <w:t>indicates</w:t>
      </w:r>
      <w:r w:rsidR="002705B2">
        <w:t xml:space="preserve"> potential vulnerabilities that could compromise function during </w:t>
      </w:r>
      <w:r w:rsidR="008D0DD0">
        <w:t>prolonged</w:t>
      </w:r>
      <w:r w:rsidR="002705B2">
        <w:t xml:space="preserve"> periods of high temperatures. </w:t>
      </w:r>
      <w:r>
        <w:t>A</w:t>
      </w:r>
      <w:r w:rsidR="008D0DD0">
        <w:t xml:space="preserve"> key example is the changes in lipid metabolism. The </w:t>
      </w:r>
      <w:r>
        <w:t xml:space="preserve">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rsidR="000B1D63">
        <w:t>(Fig 3A)</w:t>
      </w:r>
      <w:r>
        <w:t xml:space="preserve">. However, these changes may be insufficient to maintain membrane integrity during </w:t>
      </w:r>
      <w:r w:rsidR="008D0DD0">
        <w:t>extended</w:t>
      </w:r>
      <w:r>
        <w:t xml:space="preserve">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Limited repair capacity could leave gut microbes more vulnerable to peroxidative damage, a common consequence of heat stress driven by an accumulation of ROS that damages the lipid components of cell membranes</w:t>
      </w:r>
      <w:r w:rsidR="007C4D96">
        <w:t xml:space="preserve"> ()</w:t>
      </w:r>
      <w:r>
        <w:t xml:space="preserve">. </w:t>
      </w:r>
      <w:r w:rsidR="00E81C03">
        <w:t>Similarly,</w:t>
      </w:r>
      <w:r w:rsidR="00E81C03" w:rsidRPr="00E81C03">
        <w:t xml:space="preserve"> </w:t>
      </w:r>
      <w:r w:rsidR="00E81C03">
        <w:t>the increase in anaerobic metabolic pathways</w:t>
      </w:r>
      <w:r w:rsidR="00E81C03" w:rsidRPr="00E81C03">
        <w:t xml:space="preserve"> </w:t>
      </w:r>
      <w:r w:rsidR="00E81C03">
        <w:t xml:space="preserve">and the decline in aerobic pathways likely reflect a response to maintain energy production under changing oxygen gradients </w:t>
      </w:r>
      <w:r w:rsidR="00765ACF">
        <w:t>from</w:t>
      </w:r>
      <w:r w:rsidR="00E81C03">
        <w:t xml:space="preserve"> redirected blood flow for thermoregulation during short-term heat exposure (Fig </w:t>
      </w:r>
      <w:r w:rsidR="000B1D63">
        <w:t>3</w:t>
      </w:r>
      <w:r w:rsidR="00E81C03">
        <w:t>B)</w:t>
      </w:r>
      <w:r w:rsidR="00E81C03">
        <w:fldChar w:fldCharType="begin"/>
      </w:r>
      <w:r w:rsidR="00E81C03">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E81C03">
        <w:rPr>
          <w:rFonts w:ascii="Cambria Math" w:hAnsi="Cambria Math" w:cs="Cambria Math"/>
        </w:rPr>
        <w:instrText>𝑃</w:instrText>
      </w:r>
      <w:r w:rsidR="00E81C03">
        <w:instrText xml:space="preserve">⁢CO2P⁢CO2, while decreasing venous O2 saturation and venous pH. One hour after heat exposure, liver glycogen levels were decreased </w:instrText>
      </w:r>
      <w:r w:rsidR="00E81C03">
        <w:rPr>
          <w:rFonts w:ascii="Cambria Math" w:hAnsi="Cambria Math" w:cs="Cambria Math"/>
        </w:rPr>
        <w:instrText>∼</w:instrText>
      </w:r>
      <w:r w:rsidR="00E81C03">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E81C03">
        <w:fldChar w:fldCharType="separate"/>
      </w:r>
      <w:r w:rsidR="00E81C03">
        <w:rPr>
          <w:noProof/>
        </w:rPr>
        <w:t>(Hall et al., 1999)</w:t>
      </w:r>
      <w:r w:rsidR="00E81C03">
        <w:fldChar w:fldCharType="end"/>
      </w:r>
      <w:r w:rsidR="00E81C03">
        <w:t>.</w:t>
      </w:r>
      <w:r w:rsidR="00765ACF" w:rsidRPr="00765ACF">
        <w:t xml:space="preserve"> </w:t>
      </w:r>
      <w:r w:rsidR="00765ACF">
        <w:t>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w:t>
      </w:r>
      <w:r w:rsidR="008D0DD0">
        <w:t xml:space="preserve"> versus obligate anaerobes</w:t>
      </w:r>
      <w:r w:rsidR="00765ACF">
        <w:t xml:space="preserve"> at high temperatures. While this may be manageable for short-term energy production, an extended shift away from fiber fermentation is likely to have downstream consequences for </w:t>
      </w:r>
      <w:r w:rsidR="00765ACF">
        <w:lastRenderedPageBreak/>
        <w:t>host energy balance and immune regulation because fiber fermentation generates short-chain fatty acids (SCFA) that are an</w:t>
      </w:r>
      <w:r w:rsidR="000A55AD">
        <w:t xml:space="preserve"> essential</w:t>
      </w:r>
      <w:r w:rsidR="00765ACF">
        <w:t xml:space="preserve"> energy source for the host () and important immunomodulators (). </w:t>
      </w:r>
      <w:r w:rsidR="000A55AD">
        <w:t xml:space="preserve">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w:t>
      </w:r>
      <w:commentRangeStart w:id="21"/>
      <w:r w:rsidR="000A55AD">
        <w:t>function</w:t>
      </w:r>
      <w:commentRangeEnd w:id="21"/>
      <w:r w:rsidR="000A55AD">
        <w:rPr>
          <w:rStyle w:val="CommentReference"/>
        </w:rPr>
        <w:commentReference w:id="21"/>
      </w:r>
      <w:r w:rsidR="002705B2">
        <w:t>.</w:t>
      </w:r>
      <w:r w:rsidR="00D64F41">
        <w:t xml:space="preserve"> </w:t>
      </w:r>
      <w:r w:rsidR="0000253A">
        <w:t>Given that</w:t>
      </w:r>
      <w:r w:rsidR="00D64F41">
        <w:t xml:space="preserve"> temperatures </w:t>
      </w:r>
      <w:r w:rsidR="0000253A">
        <w:t xml:space="preserve">in Northwestern Costa Rica have been rising over the past 40 years and will continue to increase </w:t>
      </w:r>
      <w:r w:rsidR="008D69D1">
        <w:fldChar w:fldCharType="begin"/>
      </w:r>
      <w:r w:rsidR="008D69D1">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D69D1">
        <w:fldChar w:fldCharType="separate"/>
      </w:r>
      <w:r w:rsidR="008D69D1">
        <w:rPr>
          <w:noProof/>
        </w:rPr>
        <w:t>(Lucore et al., 2024)</w:t>
      </w:r>
      <w:r w:rsidR="008D69D1">
        <w:fldChar w:fldCharType="end"/>
      </w:r>
      <w:r w:rsidR="0000253A">
        <w:t xml:space="preserve">, capuchins are likely to face longer and more intense periods of </w:t>
      </w:r>
      <w:r w:rsidR="008D0DD0">
        <w:t>heat</w:t>
      </w:r>
      <w:r w:rsidR="0000253A">
        <w:t xml:space="preserve">, emphasizing the potential of climate change to affect the health and longevity of wild animal populations through microbiome-mediated mechanisms. </w:t>
      </w:r>
    </w:p>
    <w:p w14:paraId="094AC506" w14:textId="3394F5F4" w:rsidR="008D0DD0" w:rsidRDefault="008D0DD0" w:rsidP="00A835F8">
      <w:pPr>
        <w:ind w:firstLine="720"/>
      </w:pPr>
      <w:r>
        <w:t>The t</w:t>
      </w:r>
      <w:r w:rsidR="00705B64">
        <w:t>axonomic response to temperature suggests that changes in gut physiology at high temperatures affect</w:t>
      </w:r>
      <w:r w:rsidR="004E0079">
        <w:t>s</w:t>
      </w:r>
      <w:r w:rsidR="00705B64">
        <w:t xml:space="preserve"> the persistence of obligate anaerobes compared to facultative anaerobes.</w:t>
      </w:r>
      <w:r w:rsidR="00A10218">
        <w:t xml:space="preserve"> There are </w:t>
      </w:r>
      <w:r w:rsidR="0000253A">
        <w:t xml:space="preserve">broad </w:t>
      </w:r>
      <w:r w:rsidR="00A10218">
        <w:t>declines in two phyla</w:t>
      </w:r>
      <w:r>
        <w:t xml:space="preserve">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sidR="000B1D63">
        <w:rPr>
          <w:i/>
          <w:iCs/>
        </w:rPr>
        <w:t xml:space="preserve"> </w:t>
      </w:r>
      <w:r w:rsidR="000B1D63">
        <w:t>(Fig 2)</w:t>
      </w:r>
      <w:r>
        <w:t>.</w:t>
      </w:r>
      <w:r w:rsidR="00A10218">
        <w:rPr>
          <w:i/>
          <w:iCs/>
        </w:rPr>
        <w:t xml:space="preserve"> </w:t>
      </w:r>
      <w:r w:rsidR="00A10218">
        <w:t>In contrast, Proteobacteria, comprised of primarily facultative taxa</w:t>
      </w:r>
      <w:r w:rsidR="008D69D1">
        <w:t xml:space="preserve"> ()</w:t>
      </w:r>
      <w:r w:rsidR="00A10218">
        <w:t xml:space="preserve">, are relatively stable in response to rising temperature. These patterns mirror compositional changes in response to heat stress in a wide range of vertebrates [e.g., fish </w:t>
      </w:r>
      <w:r w:rsidR="00A10218">
        <w:fldChar w:fldCharType="begin"/>
      </w:r>
      <w:r w:rsidR="00A10218">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A10218">
        <w:fldChar w:fldCharType="separate"/>
      </w:r>
      <w:r w:rsidR="00A10218">
        <w:rPr>
          <w:noProof/>
        </w:rPr>
        <w:t>(Neuman et al., 2016; Soriano et al., 2018)</w:t>
      </w:r>
      <w:r w:rsidR="00A10218">
        <w:fldChar w:fldCharType="end"/>
      </w:r>
      <w:r w:rsidR="00A10218">
        <w:t xml:space="preserve">, reptiles </w:t>
      </w:r>
      <w:r w:rsidR="00A10218">
        <w:fldChar w:fldCharType="begin"/>
      </w:r>
      <w:r w:rsidR="00A10218">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A10218">
        <w:fldChar w:fldCharType="separate"/>
      </w:r>
      <w:r w:rsidR="00A10218">
        <w:rPr>
          <w:noProof/>
        </w:rPr>
        <w:t>(Bestion et al., 2017; Moeller et al., 2020)</w:t>
      </w:r>
      <w:r w:rsidR="00A10218">
        <w:fldChar w:fldCharType="end"/>
      </w:r>
      <w:r w:rsidR="00A10218">
        <w:t xml:space="preserve">, amphibians </w:t>
      </w:r>
      <w:r w:rsidR="00A10218">
        <w:fldChar w:fldCharType="begin"/>
      </w:r>
      <w:r w:rsidR="00A10218">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A10218">
        <w:fldChar w:fldCharType="separate"/>
      </w:r>
      <w:r w:rsidR="00A10218">
        <w:rPr>
          <w:noProof/>
        </w:rPr>
        <w:t>(Kohl &amp; Yahn, 2016)</w:t>
      </w:r>
      <w:r w:rsidR="00A10218">
        <w:fldChar w:fldCharType="end"/>
      </w:r>
      <w:r w:rsidR="00A10218">
        <w:t xml:space="preserve">, mammals </w:t>
      </w:r>
      <w:r w:rsidR="00A10218">
        <w:fldChar w:fldCharType="begin"/>
      </w:r>
      <w:r w:rsidR="00A10218">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A10218">
        <w:fldChar w:fldCharType="separate"/>
      </w:r>
      <w:r w:rsidR="00A10218">
        <w:rPr>
          <w:noProof/>
        </w:rPr>
        <w:t>(Bai et al., 2022; Tajima et al., 2007)</w:t>
      </w:r>
      <w:r w:rsidR="00A10218">
        <w:fldChar w:fldCharType="end"/>
      </w:r>
      <w:r w:rsidR="00A10218">
        <w:t xml:space="preserve">, and birds </w:t>
      </w:r>
      <w:r w:rsidR="00A10218">
        <w:fldChar w:fldCharType="begin"/>
      </w:r>
      <w:r w:rsidR="00A10218">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A10218">
        <w:fldChar w:fldCharType="separate"/>
      </w:r>
      <w:r w:rsidR="00A10218">
        <w:rPr>
          <w:noProof/>
        </w:rPr>
        <w:t>(Zhu et al., 2019)</w:t>
      </w:r>
      <w:r w:rsidR="00A10218">
        <w:fldChar w:fldCharType="end"/>
      </w:r>
      <w:r w:rsidR="00A10218">
        <w:t>]. The decrease in obligate anaerobes is likely due to redox imbalance induced by high temperatures, where the production of reactive oxygen species (ROS) exceeds the antioxidant capacity of the gut environment. Obligate anaerobes</w:t>
      </w:r>
      <w:r w:rsidR="0000253A">
        <w:t xml:space="preserve"> possess</w:t>
      </w:r>
      <w:r w:rsidR="00AB6F8B">
        <w:t xml:space="preserve"> limited enzymatic defenses against ROS, and are therefore less able to tolerate changes in the oxygen environment compared to facultative taxa</w:t>
      </w:r>
      <w:r w:rsidR="0000253A">
        <w:t xml:space="preserve"> ()</w:t>
      </w:r>
      <w:r w:rsidR="00AB6F8B">
        <w:t>.</w:t>
      </w:r>
      <w:r>
        <w:t xml:space="preserve"> Although direct markers of redox balance are needed to assess the gut’s redox environment, the observed decline in redox-maintenance pathways suggests that rising temperatures impair microbial antioxidant capacity which can disrupt the redox environment (). We also observe an increase in DNA repair pathways that suggests cellular damage from the accumulation of ROS ()</w:t>
      </w:r>
      <w:r w:rsidR="000B1D63">
        <w:t>(Fig 3 C &amp; D)</w:t>
      </w:r>
      <w:r>
        <w:t>.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 suggesting that capuchins are experiencing periods of temperature that exceed the upper limit of their thermal tolerance. This trend is especially concerning given that capuchins in Northwestern Costa Rica, which are endemic to highly seasonal forests, are likely adapted to a broader temperature range than many tropical specialists</w:t>
      </w:r>
      <w:r w:rsidR="00FC509E">
        <w:t xml:space="preserve"> </w:t>
      </w:r>
      <w:r w:rsidR="00FC509E">
        <w:fldChar w:fldCharType="begin"/>
      </w:r>
      <w:r w:rsidR="00FC509E">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C509E">
        <w:rPr>
          <w:rFonts w:ascii="Cambria Math" w:hAnsi="Cambria Math" w:cs="Cambria Math"/>
        </w:rPr>
        <w:instrText>∼</w:instrText>
      </w:r>
      <w:r w:rsidR="00FC509E">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FC509E">
        <w:fldChar w:fldCharType="separate"/>
      </w:r>
      <w:r w:rsidR="00FC509E">
        <w:rPr>
          <w:noProof/>
        </w:rPr>
        <w:t>(Campos &amp; Fedigan, 2009; Orkin et al., 2021)</w:t>
      </w:r>
      <w:r w:rsidR="00FC509E">
        <w:fldChar w:fldCharType="end"/>
      </w:r>
      <w:r>
        <w:t>, suggesting that other species may be experiencing even longer and more severe periods of heat stress with global climate change.</w:t>
      </w:r>
    </w:p>
    <w:p w14:paraId="46718348" w14:textId="06FCC2DE" w:rsidR="00A835F8" w:rsidRDefault="00B02831" w:rsidP="00A7764E">
      <w:pPr>
        <w:ind w:firstLine="720"/>
      </w:pPr>
      <w:r>
        <w:t>A decline in obligate anaerobes during heat stress may disrupt the gut microbiome’s ability to regulate host immunity by impairing key immunomodulatory functions</w:t>
      </w:r>
      <w:r w:rsidR="00A835F8">
        <w:t>. Obligate anaerobes are essential SCFA producers that help regulate intestinal immunity and maintain host tolerance towards gut microbiomes, including the promotion of anti-inflammatory regulatory T</w:t>
      </w:r>
      <w:r w:rsidR="00FC509E">
        <w:t>-</w:t>
      </w:r>
      <w:r w:rsidR="00A835F8">
        <w:t>cell activity</w:t>
      </w:r>
      <w:r w:rsidR="00A835F8" w:rsidRPr="00E42C53">
        <w:t xml:space="preserve"> </w:t>
      </w:r>
      <w:r w:rsidR="00A835F8">
        <w:fldChar w:fldCharType="begin"/>
      </w:r>
      <w:r w:rsidR="00A835F8">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A835F8">
        <w:fldChar w:fldCharType="separate"/>
      </w:r>
      <w:r w:rsidR="00A835F8">
        <w:rPr>
          <w:noProof/>
        </w:rPr>
        <w:t>(Arpaia et al., 2013; Furusawa et al., 2013)</w:t>
      </w:r>
      <w:r w:rsidR="00A835F8">
        <w:fldChar w:fldCharType="end"/>
      </w:r>
      <w:r w:rsidR="00A835F8">
        <w:t xml:space="preserve"> and the suppression of proinflammatory cytokine signaling </w:t>
      </w:r>
      <w:r w:rsidR="00A835F8">
        <w:fldChar w:fldCharType="begin"/>
      </w:r>
      <w:r w:rsidR="00A835F8">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A835F8">
        <w:fldChar w:fldCharType="separate"/>
      </w:r>
      <w:r w:rsidR="00A835F8">
        <w:rPr>
          <w:noProof/>
        </w:rPr>
        <w:t>(Hung et al., 2023; Klampfer et al., 2003)</w:t>
      </w:r>
      <w:r w:rsidR="00A835F8">
        <w:fldChar w:fldCharType="end"/>
      </w:r>
      <w:r w:rsidR="00A835F8">
        <w:t>.</w:t>
      </w:r>
      <w:r w:rsidR="00A835F8" w:rsidRPr="00A835F8">
        <w:t xml:space="preserve"> </w:t>
      </w:r>
      <w:r w:rsidR="00A835F8">
        <w:t xml:space="preserve">The decrease in SCFA-producing pathways, particularly butyrate and pyruvate (Fig 3E), likely reflects the loss of obligate anaerobes at high temperatures due to redox imbalance and may decrease host tolerance towards </w:t>
      </w:r>
      <w:r w:rsidR="00A835F8">
        <w:lastRenderedPageBreak/>
        <w:t>gut microbiomes.</w:t>
      </w:r>
      <w:r w:rsidR="00A835F8" w:rsidRPr="00A835F8">
        <w:t xml:space="preserve"> </w:t>
      </w:r>
      <w:r w:rsidR="00A835F8">
        <w:t xml:space="preserve">The resulting increase in immune activity </w:t>
      </w:r>
      <w:r w:rsidR="008D69D1">
        <w:t>may</w:t>
      </w:r>
      <w:r w:rsidR="00A835F8">
        <w:t xml:space="preserve"> continue to exacerbate redox imbalance because activated immune cells, particularly phagocytes, release ROS as part of the inflammatory response (). Together, these interactions create a</w:t>
      </w:r>
      <w:r w:rsidR="004E0079">
        <w:t xml:space="preserve"> heat-driven</w:t>
      </w:r>
      <w:r w:rsidR="00A835F8">
        <w:t xml:space="preserve"> physiological cascade</w:t>
      </w:r>
      <w:r w:rsidR="00461B82">
        <w:t xml:space="preserve"> </w:t>
      </w:r>
      <w:r w:rsidR="00A835F8">
        <w:t>link</w:t>
      </w:r>
      <w:r w:rsidR="004E0079">
        <w:t>ing</w:t>
      </w:r>
      <w:r w:rsidR="00A835F8">
        <w:t xml:space="preserve"> redox imbalance, disruption of microbiome composition, and the breakdown of gut-immune homeostasis (Fig </w:t>
      </w:r>
      <w:r w:rsidR="000B1D63">
        <w:t>3</w:t>
      </w:r>
      <w:r w:rsidR="00A835F8">
        <w:t xml:space="preserve">F). Although these relationships have been explored in experimental and clinical research </w:t>
      </w:r>
      <w:r w:rsidR="00FC509E">
        <w:t>s</w:t>
      </w:r>
      <w:r w:rsidR="00A835F8">
        <w:fldChar w:fldCharType="begin"/>
      </w:r>
      <w:r w:rsidR="008D69D1">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A835F8">
        <w:fldChar w:fldCharType="separate"/>
      </w:r>
      <w:r w:rsidR="008D69D1">
        <w:rPr>
          <w:noProof/>
        </w:rPr>
        <w:t>(Li et al., 2023; Mostafavi Abdolmaleky &amp; Zhou, 2024)</w:t>
      </w:r>
      <w:r w:rsidR="00A835F8">
        <w:fldChar w:fldCharType="end"/>
      </w:r>
      <w:r w:rsidR="00A835F8">
        <w:t xml:space="preserve">, our findings provide the first evidence of this mechanism in a </w:t>
      </w:r>
      <w:r w:rsidR="004E0079">
        <w:t>natural population</w:t>
      </w:r>
      <w:r w:rsidR="00A835F8">
        <w:t xml:space="preserve"> in response to environmental change. </w:t>
      </w:r>
      <w:r w:rsidR="00461B82">
        <w:t xml:space="preserve">Our results highlight the crucial role of temperature in shaping essential gut microbiome functions in a wild endotherm species and offer insight into how rising temperatures due to climate change may affect wild animals via microbiome-mediated mechanisms. </w:t>
      </w:r>
    </w:p>
    <w:p w14:paraId="4D29E968" w14:textId="77777777" w:rsidR="00461B82" w:rsidRDefault="00461B82" w:rsidP="00A835F8"/>
    <w:p w14:paraId="773145B8" w14:textId="77777777" w:rsidR="00A7764E" w:rsidRDefault="00A7764E" w:rsidP="00A7764E">
      <w:pPr>
        <w:rPr>
          <w:u w:val="single"/>
        </w:rPr>
      </w:pPr>
      <w:commentRangeStart w:id="22"/>
      <w:commentRangeStart w:id="23"/>
      <w:r w:rsidRPr="00C64C3B">
        <w:rPr>
          <w:u w:val="single"/>
        </w:rPr>
        <w:t xml:space="preserve">Gut microbiome </w:t>
      </w:r>
      <w:r>
        <w:rPr>
          <w:u w:val="single"/>
        </w:rPr>
        <w:t>response to temperature is related to host immunity</w:t>
      </w:r>
      <w:commentRangeEnd w:id="22"/>
      <w:r w:rsidR="004D0CA0">
        <w:rPr>
          <w:rStyle w:val="CommentReference"/>
        </w:rPr>
        <w:commentReference w:id="22"/>
      </w:r>
      <w:commentRangeEnd w:id="23"/>
      <w:r w:rsidR="00EE58DE">
        <w:rPr>
          <w:rStyle w:val="CommentReference"/>
        </w:rPr>
        <w:commentReference w:id="23"/>
      </w:r>
    </w:p>
    <w:p w14:paraId="24701099" w14:textId="4E75353D" w:rsidR="008A00E6" w:rsidRPr="00B13FCB" w:rsidRDefault="00B13FCB" w:rsidP="008A00E6">
      <w:r>
        <w:t xml:space="preserve">The interaction between temperature and immune activation supports the idea that heat-driven taxonomic shifts influence the relationship between the gut microbiome and host immunity. Specifically, </w:t>
      </w:r>
      <w:r w:rsidR="00A7764E">
        <w:t xml:space="preserve">the decline in obligate anaerobes </w:t>
      </w:r>
      <w:r w:rsidR="007D498D">
        <w:t xml:space="preserve">at high temperatures </w:t>
      </w:r>
      <w:r w:rsidR="00A7764E">
        <w:t xml:space="preserve">disrupts </w:t>
      </w:r>
      <w:r w:rsidR="008A00E6">
        <w:t>microbiome</w:t>
      </w:r>
      <w:r w:rsidR="00A7764E">
        <w:t xml:space="preserve">-immune homeostasis by reducing anti-inflammatory signaling that </w:t>
      </w:r>
      <w:r w:rsidR="008A00E6">
        <w:t>typically</w:t>
      </w:r>
      <w:r w:rsidR="00A7764E">
        <w:t xml:space="preserve"> promotes immune tolerance toward the microbiome. For example, stronger declines in obligate genera </w:t>
      </w:r>
      <w:r w:rsidR="00A7764E">
        <w:rPr>
          <w:rStyle w:val="Emphasis"/>
          <w:rFonts w:eastAsiaTheme="majorEastAsia"/>
        </w:rPr>
        <w:t>Parabacteroides</w:t>
      </w:r>
      <w:r w:rsidR="00A7764E">
        <w:t xml:space="preserve"> and </w:t>
      </w:r>
      <w:proofErr w:type="spellStart"/>
      <w:r w:rsidR="00A7764E">
        <w:rPr>
          <w:rStyle w:val="Emphasis"/>
          <w:rFonts w:eastAsiaTheme="majorEastAsia"/>
        </w:rPr>
        <w:t>Alistipes</w:t>
      </w:r>
      <w:proofErr w:type="spellEnd"/>
      <w:r w:rsidR="00A7764E">
        <w:rPr>
          <w:rStyle w:val="Emphasis"/>
          <w:rFonts w:eastAsiaTheme="majorEastAsia"/>
          <w:i w:val="0"/>
          <w:iCs w:val="0"/>
        </w:rPr>
        <w:t xml:space="preserve"> that </w:t>
      </w:r>
      <w:r w:rsidR="008A00E6">
        <w:rPr>
          <w:rStyle w:val="Emphasis"/>
          <w:rFonts w:eastAsiaTheme="majorEastAsia"/>
          <w:i w:val="0"/>
          <w:iCs w:val="0"/>
        </w:rPr>
        <w:t xml:space="preserve">contribute to </w:t>
      </w:r>
      <w:r w:rsidR="00A7764E">
        <w:rPr>
          <w:rStyle w:val="Emphasis"/>
          <w:rFonts w:eastAsiaTheme="majorEastAsia"/>
          <w:i w:val="0"/>
          <w:iCs w:val="0"/>
        </w:rPr>
        <w:t>anti-inflammatory signaling</w:t>
      </w:r>
      <w:r w:rsidR="008A00E6">
        <w:rPr>
          <w:rStyle w:val="Emphasis"/>
          <w:rFonts w:eastAsiaTheme="majorEastAsia"/>
          <w:i w:val="0"/>
          <w:iCs w:val="0"/>
        </w:rPr>
        <w:t xml:space="preserve"> through the production of SCFAs</w:t>
      </w:r>
      <w:r w:rsidR="00A7764E">
        <w:rPr>
          <w:rStyle w:val="Emphasis"/>
          <w:rFonts w:eastAsiaTheme="majorEastAsia"/>
          <w:i w:val="0"/>
          <w:iCs w:val="0"/>
        </w:rPr>
        <w:t xml:space="preserve"> </w:t>
      </w:r>
      <w:r w:rsidR="00A7764E">
        <w:fldChar w:fldCharType="begin"/>
      </w:r>
      <w:r w:rsidR="00A7764E">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A7764E">
        <w:fldChar w:fldCharType="separate"/>
      </w:r>
      <w:r w:rsidR="00A7764E">
        <w:rPr>
          <w:noProof/>
        </w:rPr>
        <w:t>(Hiippala et al., 2020; Parker et al., 2020)</w:t>
      </w:r>
      <w:r w:rsidR="00A7764E">
        <w:fldChar w:fldCharType="end"/>
      </w:r>
      <w:r w:rsidR="00A7764E">
        <w:t xml:space="preserve"> </w:t>
      </w:r>
      <w:r w:rsidR="00A7764E">
        <w:rPr>
          <w:rStyle w:val="Emphasis"/>
          <w:rFonts w:eastAsiaTheme="majorEastAsia"/>
          <w:i w:val="0"/>
          <w:iCs w:val="0"/>
        </w:rPr>
        <w:t xml:space="preserve">are associated with higher neopterin levels (Fig 4A), suggesting that their </w:t>
      </w:r>
      <w:r w:rsidR="008A00E6">
        <w:rPr>
          <w:rStyle w:val="Emphasis"/>
          <w:rFonts w:eastAsiaTheme="majorEastAsia"/>
          <w:i w:val="0"/>
          <w:iCs w:val="0"/>
        </w:rPr>
        <w:t xml:space="preserve">decline </w:t>
      </w:r>
      <w:r w:rsidR="00A7764E">
        <w:rPr>
          <w:rStyle w:val="Emphasis"/>
          <w:rFonts w:eastAsiaTheme="majorEastAsia"/>
          <w:i w:val="0"/>
          <w:iCs w:val="0"/>
        </w:rPr>
        <w:t xml:space="preserve">may reduce immune tolerance towards the gut microbiome and trigger increased macrophage activity. Similarly, stronger declines in metabolic pathways that produce anti-inflammatory immunomodulators, including the </w:t>
      </w:r>
      <w:r w:rsidR="00A7764E">
        <w:t xml:space="preserve">synthesis of monounsaturated fatty acids </w:t>
      </w:r>
      <w:r w:rsidR="00A7764E">
        <w:fldChar w:fldCharType="begin"/>
      </w:r>
      <w:r w:rsidR="00A7764E">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7764E">
        <w:fldChar w:fldCharType="separate"/>
      </w:r>
      <w:r w:rsidR="00A7764E">
        <w:rPr>
          <w:noProof/>
        </w:rPr>
        <w:t>(Hung et al., 2023)</w:t>
      </w:r>
      <w:r w:rsidR="00A7764E">
        <w:fldChar w:fldCharType="end"/>
      </w:r>
      <w:r w:rsidR="00A7764E">
        <w:t xml:space="preserve"> and the amino acid derivatives tryptophan </w:t>
      </w:r>
      <w:r w:rsidR="00A7764E">
        <w:fldChar w:fldCharType="begin"/>
      </w:r>
      <w:r w:rsidR="00A7764E">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A7764E">
        <w:fldChar w:fldCharType="separate"/>
      </w:r>
      <w:r w:rsidR="00A7764E">
        <w:rPr>
          <w:noProof/>
        </w:rPr>
        <w:t>(Zelante et al., 2013)</w:t>
      </w:r>
      <w:r w:rsidR="00A7764E">
        <w:fldChar w:fldCharType="end"/>
      </w:r>
      <w:r w:rsidR="00A7764E">
        <w:t>, are also associated with high neopterin (Fig 5</w:t>
      </w:r>
      <w:r w:rsidR="000B1D63">
        <w:t>D &amp; E</w:t>
      </w:r>
      <w:r w:rsidR="00A7764E">
        <w:t xml:space="preserve">). </w:t>
      </w:r>
      <w:r w:rsidR="008A00E6">
        <w:t xml:space="preserve">Notably, the synthesis of tryptophan is characteristic of obligate taxa </w:t>
      </w:r>
      <w:r w:rsidR="008A00E6">
        <w:fldChar w:fldCharType="begin"/>
      </w:r>
      <w:r w:rsidR="008A00E6">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rsidR="008A00E6">
        <w:fldChar w:fldCharType="separate"/>
      </w:r>
      <w:r w:rsidR="008A00E6">
        <w:rPr>
          <w:noProof/>
        </w:rPr>
        <w:t>(Dodd et al., 2017)</w:t>
      </w:r>
      <w:r w:rsidR="008A00E6">
        <w:fldChar w:fldCharType="end"/>
      </w:r>
      <w:r w:rsidR="008A00E6">
        <w:t xml:space="preserve">, reinforcing the idea that the loss of obligates at high temperatures reduces immune tolerance toward the gut microbiome. Together, these findings suggest that temperature-driven loss of obligate taxa disrupts gut-immune homeostasis and contributes to </w:t>
      </w:r>
      <w:r>
        <w:t xml:space="preserve">a risk of </w:t>
      </w:r>
      <w:r w:rsidR="008A00E6">
        <w:t>chronic inflammation</w:t>
      </w:r>
      <w:r>
        <w:t xml:space="preserve"> during prolonged heat exposure</w:t>
      </w:r>
      <w:r w:rsidR="008A00E6">
        <w:t xml:space="preserve"> </w:t>
      </w:r>
      <w:r>
        <w:t xml:space="preserve">due to </w:t>
      </w:r>
      <w:r w:rsidR="008A00E6">
        <w:t xml:space="preserve">increased immune activation. </w:t>
      </w:r>
    </w:p>
    <w:p w14:paraId="3BEFB0AA" w14:textId="018853AF" w:rsidR="00FC509E" w:rsidRDefault="008A00E6" w:rsidP="00FC509E">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A41196">
        <w:rPr>
          <w:rStyle w:val="Strong"/>
          <w:rFonts w:eastAsiaTheme="majorEastAsia"/>
          <w:b w:val="0"/>
          <w:bCs w:val="0"/>
        </w:rPr>
        <w:t>Bacteroidota</w:t>
      </w:r>
      <w:proofErr w:type="spellEnd"/>
      <w:r w:rsidRPr="00A41196">
        <w:rPr>
          <w:b/>
          <w:bCs/>
        </w:rPr>
        <w:t xml:space="preserve"> </w:t>
      </w:r>
      <w:r w:rsidRPr="00A41196">
        <w:t>and</w:t>
      </w:r>
      <w:r w:rsidRPr="00A41196">
        <w:rPr>
          <w:b/>
          <w:bCs/>
        </w:rPr>
        <w:t xml:space="preserve"> </w:t>
      </w:r>
      <w:r w:rsidRPr="00A41196">
        <w:rPr>
          <w:rStyle w:val="Strong"/>
          <w:rFonts w:eastAsiaTheme="majorEastAsia"/>
          <w:b w:val="0"/>
          <w:bCs w:val="0"/>
        </w:rPr>
        <w:t>Firmicutes</w:t>
      </w:r>
      <w:r>
        <w:t xml:space="preserve"> which include many obligate anaerobes</w:t>
      </w:r>
      <w:r w:rsidR="000B1D63">
        <w:t xml:space="preserve"> (Fig 4A)</w:t>
      </w:r>
      <w:r>
        <w:t>. We also observed a stronger decline in pathways commonly associated with obligate taxa</w:t>
      </w:r>
      <w:r w:rsidRPr="00A41196">
        <w:t xml:space="preserve"> </w:t>
      </w:r>
      <w:r>
        <w:t xml:space="preserve">including complex carb </w:t>
      </w:r>
      <w:r w:rsidRPr="00A41196">
        <w:rPr>
          <w:rStyle w:val="Strong"/>
          <w:rFonts w:eastAsiaTheme="majorEastAsia"/>
          <w:b w:val="0"/>
          <w:bCs w:val="0"/>
        </w:rPr>
        <w:t>fermentation</w:t>
      </w:r>
      <w:r>
        <w:rPr>
          <w:rStyle w:val="Strong"/>
          <w:rFonts w:eastAsiaTheme="majorEastAsia"/>
          <w:b w:val="0"/>
          <w:bCs w:val="0"/>
        </w:rPr>
        <w:t xml:space="preserve"> </w:t>
      </w:r>
      <w:r>
        <w:rPr>
          <w:rStyle w:val="Strong"/>
          <w:rFonts w:eastAsiaTheme="majorEastAsia"/>
          <w:b w:val="0"/>
          <w:bCs w:val="0"/>
        </w:rPr>
        <w:fldChar w:fldCharType="begin"/>
      </w:r>
      <w:r>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Pr>
          <w:rStyle w:val="Strong"/>
          <w:rFonts w:eastAsiaTheme="majorEastAsia"/>
          <w:b w:val="0"/>
          <w:bCs w:val="0"/>
        </w:rPr>
        <w:fldChar w:fldCharType="separate"/>
      </w:r>
      <w:r>
        <w:rPr>
          <w:rStyle w:val="Strong"/>
          <w:rFonts w:eastAsiaTheme="majorEastAsia"/>
          <w:b w:val="0"/>
          <w:bCs w:val="0"/>
          <w:noProof/>
        </w:rPr>
        <w:t>(Flint et al., 2012)</w:t>
      </w:r>
      <w:r>
        <w:rPr>
          <w:rStyle w:val="Strong"/>
          <w:rFonts w:eastAsiaTheme="majorEastAsia"/>
          <w:b w:val="0"/>
          <w:bCs w:val="0"/>
        </w:rPr>
        <w:fldChar w:fldCharType="end"/>
      </w:r>
      <w:r w:rsidRPr="00A41196">
        <w:rPr>
          <w:b/>
          <w:bCs/>
        </w:rPr>
        <w:t xml:space="preserve">, </w:t>
      </w:r>
      <w:r w:rsidRPr="00A41196">
        <w:rPr>
          <w:rStyle w:val="Strong"/>
          <w:rFonts w:eastAsiaTheme="majorEastAsia"/>
          <w:b w:val="0"/>
          <w:bCs w:val="0"/>
        </w:rPr>
        <w:t>Gram-positive cell wall biosynthesis</w:t>
      </w:r>
      <w:r>
        <w:rPr>
          <w:rStyle w:val="Strong"/>
          <w:rFonts w:eastAsiaTheme="majorEastAsia"/>
          <w:b w:val="0"/>
          <w:bCs w:val="0"/>
        </w:rPr>
        <w:t xml:space="preserve"> ()</w:t>
      </w:r>
      <w:r w:rsidRPr="00A41196">
        <w:rPr>
          <w:b/>
          <w:bCs/>
        </w:rPr>
        <w:t xml:space="preserve">, </w:t>
      </w:r>
      <w:r w:rsidRPr="007F60C5">
        <w:t>and the</w:t>
      </w:r>
      <w:r w:rsidRPr="00A41196">
        <w:rPr>
          <w:b/>
          <w:bCs/>
        </w:rPr>
        <w:t xml:space="preserve"> </w:t>
      </w:r>
      <w:r w:rsidRPr="00A41196">
        <w:rPr>
          <w:rStyle w:val="Strong"/>
          <w:rFonts w:eastAsiaTheme="majorEastAsia"/>
          <w:b w:val="0"/>
          <w:bCs w:val="0"/>
        </w:rPr>
        <w:t>non-mevalonate (MEP) pathway</w:t>
      </w:r>
      <w:r w:rsidRPr="00A41196">
        <w:rPr>
          <w:b/>
          <w:bCs/>
        </w:rPr>
        <w:t xml:space="preserve"> </w:t>
      </w:r>
      <w:r>
        <w:t>for isoprenoid production (Fig 5</w:t>
      </w:r>
      <w:r w:rsidR="000B1D63">
        <w:t>D</w:t>
      </w:r>
      <w:r>
        <w:t xml:space="preserve">)(). Together these patterns suggest that the combination of high temperatures and macrophage activity contributes to the loss of obligate taxa, likely because immune activation exacerbates the redox imbalance initiated by high temperatures. In contrast, facultative anaerobes appear more resilient to these conditions and may persist where obligates decline. Several facultative taxa including </w:t>
      </w:r>
      <w:proofErr w:type="spellStart"/>
      <w:r w:rsidRPr="00396322">
        <w:rPr>
          <w:rStyle w:val="Strong"/>
          <w:rFonts w:eastAsiaTheme="majorEastAsia"/>
          <w:b w:val="0"/>
          <w:bCs w:val="0"/>
          <w:i/>
          <w:iCs/>
        </w:rPr>
        <w:t>Helicobacteraceae</w:t>
      </w:r>
      <w:proofErr w:type="spellEnd"/>
      <w:r>
        <w:rPr>
          <w:b/>
          <w:bCs/>
        </w:rPr>
        <w:t>,</w:t>
      </w:r>
      <w:r w:rsidRPr="00D95B6A">
        <w:rPr>
          <w:b/>
          <w:bCs/>
          <w:i/>
          <w:iCs/>
        </w:rPr>
        <w:t xml:space="preserve"> </w:t>
      </w:r>
      <w:proofErr w:type="spellStart"/>
      <w:r w:rsidRPr="00396322">
        <w:rPr>
          <w:rStyle w:val="Strong"/>
          <w:rFonts w:eastAsiaTheme="majorEastAsia"/>
          <w:b w:val="0"/>
          <w:bCs w:val="0"/>
          <w:i/>
          <w:iCs/>
        </w:rPr>
        <w:t>Erysipelotrichaceae</w:t>
      </w:r>
      <w:proofErr w:type="spellEnd"/>
      <w:r>
        <w:rPr>
          <w:rStyle w:val="Strong"/>
          <w:rFonts w:eastAsiaTheme="majorEastAsia"/>
          <w:b w:val="0"/>
          <w:bCs w:val="0"/>
        </w:rPr>
        <w:t xml:space="preserve">, and </w:t>
      </w:r>
      <w:proofErr w:type="spellStart"/>
      <w:r w:rsidRPr="00396322">
        <w:rPr>
          <w:i/>
          <w:iCs/>
        </w:rPr>
        <w:t>Anaerobiospirillum</w:t>
      </w:r>
      <w:proofErr w:type="spellEnd"/>
      <w:r>
        <w:t xml:space="preserve"> exhibit stronger increases in abundance when neopterin is high</w:t>
      </w:r>
      <w:r w:rsidR="000B1D63">
        <w:t xml:space="preserve"> (Fig 4B &amp; C)</w:t>
      </w:r>
      <w:r>
        <w:t>, suggesting they are better able to tolerate redox imbalance, and may exploit niches vacated by the loss of obligates.</w:t>
      </w:r>
      <w:r w:rsidRPr="00C24FA0">
        <w:t xml:space="preserve"> </w:t>
      </w:r>
      <w:r>
        <w:t>Similarly, several pathways commonly associated with facultative taxa exhibit a stronger increase at high neopterin levels, suggesting that these taxa may be actively responding to changes in the gut environment</w:t>
      </w:r>
      <w:r w:rsidR="006C5E10">
        <w:t xml:space="preserve"> (Fig 5B)</w:t>
      </w:r>
      <w:r>
        <w:t xml:space="preserve">. For example, the glyoxylate cycle and Rubisco shunt both increase under high neopterin which likely </w:t>
      </w:r>
      <w:r>
        <w:lastRenderedPageBreak/>
        <w:t>supports energy conservation</w:t>
      </w:r>
      <w:r w:rsidRPr="009647C8">
        <w:t xml:space="preserve"> </w:t>
      </w:r>
      <w:r>
        <w:t xml:space="preserve">under oxygen and energy-limited conditions </w:t>
      </w:r>
      <w:r>
        <w:fldChar w:fldCharType="begin"/>
      </w:r>
      <w:r>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Pr>
          <w:noProof/>
        </w:rPr>
        <w:t>(Ahn et al., 2016; Badger &amp; Bek, 2008)</w:t>
      </w:r>
      <w:r>
        <w:fldChar w:fldCharType="end"/>
      </w:r>
      <w:r>
        <w:t xml:space="preserve">. In addition, redox maintenance pathways such as ubiquinone biosynthesis also increase which helps facultative anaerobes neutralize ROS </w:t>
      </w:r>
      <w:r>
        <w:fldChar w:fldCharType="begin"/>
      </w:r>
      <w:r>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Pr>
          <w:noProof/>
        </w:rPr>
        <w:t>(Bekker et al., 2007)</w:t>
      </w:r>
      <w:r>
        <w:fldChar w:fldCharType="end"/>
      </w:r>
      <w:r>
        <w:t>.</w:t>
      </w:r>
      <w:r w:rsidRPr="009647C8">
        <w:t xml:space="preserve"> </w:t>
      </w:r>
      <w:r>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r w:rsidR="00FC509E">
        <w:tab/>
      </w:r>
    </w:p>
    <w:p w14:paraId="0129ECA5" w14:textId="0CF2B8CF" w:rsidR="008A00E6" w:rsidRDefault="008A00E6" w:rsidP="00FC509E">
      <w:pPr>
        <w:ind w:firstLine="720"/>
      </w:pPr>
      <w:r>
        <w:t xml:space="preserve">The shift towards facultative taxa at high temperatures likely contributes to increased immune activation and further disrupts gut-immune homeostasis. For example, </w:t>
      </w:r>
      <w:proofErr w:type="spellStart"/>
      <w:r>
        <w:rPr>
          <w:rStyle w:val="Emphasis"/>
          <w:rFonts w:eastAsiaTheme="majorEastAsia"/>
        </w:rPr>
        <w:t>Helicobacteraceae</w:t>
      </w:r>
      <w:proofErr w:type="spellEnd"/>
      <w:r>
        <w:rPr>
          <w:rStyle w:val="Emphasis"/>
          <w:rFonts w:eastAsiaTheme="majorEastAsia"/>
          <w:i w:val="0"/>
          <w:iCs w:val="0"/>
        </w:rPr>
        <w:t>, which exhibits a stronger increase at higher neopterin,</w:t>
      </w:r>
      <w:r>
        <w:rPr>
          <w:rStyle w:val="Emphasis"/>
          <w:rFonts w:eastAsiaTheme="majorEastAsia"/>
        </w:rPr>
        <w:t xml:space="preserve"> </w:t>
      </w:r>
      <w:r>
        <w:rPr>
          <w:rStyle w:val="Emphasis"/>
          <w:rFonts w:eastAsiaTheme="majorEastAsia"/>
          <w:i w:val="0"/>
          <w:iCs w:val="0"/>
        </w:rPr>
        <w:t xml:space="preserve">is associated with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 xml:space="preserve">. </w:t>
      </w:r>
      <w:proofErr w:type="spellStart"/>
      <w:r w:rsidRPr="00821E2E">
        <w:rPr>
          <w:i/>
          <w:iCs/>
        </w:rPr>
        <w:t>Erysipelotrichaceae</w:t>
      </w:r>
      <w:proofErr w:type="spellEnd"/>
      <w:r>
        <w:t xml:space="preserve">, another facultative taxon that shows a stronger increase, is also commonly associated with inflammatory disease and may directly contribute to immune activation </w:t>
      </w:r>
      <w:fldSimple w:instr=" ADDIN ZOTERO_TEMP ">
        <w:r>
          <w:rPr>
            <w:noProof/>
          </w:rPr>
          <w:t>(Kaakoush, 2015)</w:t>
        </w:r>
      </w:fldSimple>
      <w:r>
        <w:t>. In addition, we observed increases in pathways typical of facultative anaerobes involved in the synthesis of enterobacterial common antigen (ECA) and lipid A which form pathogen-associated molecular patterns (PAMPs) that are recognized by Toll-like receptors (TLRs) and can initiate pro-inflammatory signaling ()</w:t>
      </w:r>
      <w:r w:rsidR="006C5E10">
        <w:t>(Fig 5B)</w:t>
      </w:r>
      <w:r>
        <w:t>. Thus, the increased abundance of facultative taxa may actively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2123C3C3" w14:textId="2B6EDE25" w:rsidR="00EE58DE" w:rsidRPr="00973225" w:rsidRDefault="00813BF5" w:rsidP="00973225">
      <w:pPr>
        <w:ind w:firstLine="720"/>
      </w:pPr>
      <w:r w:rsidRPr="00973225">
        <w:t xml:space="preserve">Taken together, these findings provide robust support for a heat-induced physiological cascade that affects microbiome composition and disrupts immune homeostasis (Fig.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t>
      </w:r>
      <w:r w:rsidR="00973225" w:rsidRPr="00973225">
        <w:t xml:space="preserve">we cannot demonstrate directionality among these relationships, </w:t>
      </w:r>
      <w:r w:rsidRPr="00973225">
        <w:t>the results highlight how each component can reinforce the others, creating a feedback loop during periods of heat stress.</w:t>
      </w:r>
      <w:r w:rsidR="00EE58DE" w:rsidRPr="00973225">
        <w:t xml:space="preserve"> These results also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rsidR="008F79F9">
        <w:t>C</w:t>
      </w:r>
      <w:r w:rsidR="00EE58DE"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87293D6" w14:textId="77777777" w:rsidR="00CF2FB2" w:rsidRDefault="00CF2FB2" w:rsidP="00CF2FB2">
      <w:pPr>
        <w:pStyle w:val="NormalWeb"/>
      </w:pPr>
      <w:r>
        <w:t xml:space="preserve">Conclusion: </w:t>
      </w:r>
    </w:p>
    <w:p w14:paraId="537A6566" w14:textId="5BCA7B5B" w:rsidR="00CF2FB2" w:rsidRDefault="00670FF0" w:rsidP="00CF2FB2">
      <w:pPr>
        <w:pStyle w:val="NormalWeb"/>
      </w:pPr>
      <w:r>
        <w:t xml:space="preserve">Our results </w:t>
      </w:r>
      <w:r>
        <w:t xml:space="preserve">highlight </w:t>
      </w:r>
      <w:r>
        <w:t xml:space="preserve">the pivotal role of temperature in shaping </w:t>
      </w:r>
      <w:r w:rsidR="00CF2FB2">
        <w:t xml:space="preserve">the </w:t>
      </w:r>
      <w:r>
        <w:t xml:space="preserve">gut microbiome and its </w:t>
      </w:r>
      <w:r w:rsidR="00CF2FB2">
        <w:t>relationship</w:t>
      </w:r>
      <w:r>
        <w:t xml:space="preserve"> with host immunity in a wild primate species. </w:t>
      </w:r>
      <w:r w:rsidR="00CF2FB2">
        <w:t>Although some microbial responses may buffer against short-term heat exposure, the observed taxonomic and metabolic shifts are unlikely to be sustainable over time and may compromise essential microbiome functions.</w:t>
      </w:r>
      <w:r w:rsidR="00CF2FB2">
        <w:t xml:space="preserve"> </w:t>
      </w:r>
      <w:r w:rsidR="00CF2FB2">
        <w:t xml:space="preserve">The decline in obligate taxa and shifts in metabolic pathways, alongside their association with </w:t>
      </w:r>
      <w:r w:rsidR="00CF2FB2">
        <w:lastRenderedPageBreak/>
        <w:t>neopterin, suggest that capuchins are experiencing periods of heat stress that may disrupt microbiome–immune homeostasis.</w:t>
      </w:r>
      <w:r w:rsidR="00CF2FB2" w:rsidRPr="00CF2FB2">
        <w:t xml:space="preserve"> </w:t>
      </w:r>
      <w:r w:rsidR="00CF2FB2">
        <w:t>If prolonged, these shifts could reduce host tolerance toward gut microbes and increase the risk of chronic gut inflammation</w:t>
      </w:r>
      <w:r w:rsidR="00CF2FB2">
        <w:t xml:space="preserve">. </w:t>
      </w:r>
      <w:r w:rsidR="00CF2FB2">
        <w:t xml:space="preserve">Our findings represent some of the earliest evidence of climate-induced heat stress mediated by the gut microbiome in a wild </w:t>
      </w:r>
      <w:r w:rsidR="00CF2FB2">
        <w:t xml:space="preserve">primate </w:t>
      </w:r>
      <w:r w:rsidR="00CF2FB2">
        <w:t>population.</w:t>
      </w:r>
      <w:r w:rsidR="00CF2FB2" w:rsidRPr="00CF2FB2">
        <w:t xml:space="preserve"> </w:t>
      </w:r>
      <w:r w:rsidR="00CF2FB2">
        <w:t xml:space="preserve">They offer critical insight into how rising temperatures </w:t>
      </w:r>
      <w:r w:rsidR="00CF2FB2">
        <w:t xml:space="preserve">due to climate change </w:t>
      </w:r>
      <w:r w:rsidR="00CF2FB2">
        <w:t xml:space="preserve">may impact </w:t>
      </w:r>
      <w:r w:rsidR="00CF2FB2">
        <w:t xml:space="preserve">wild animals </w:t>
      </w:r>
      <w:r w:rsidR="00CF2FB2">
        <w:t>through</w:t>
      </w:r>
      <w:r w:rsidR="00CF2FB2">
        <w:t xml:space="preserve"> their</w:t>
      </w:r>
      <w:r w:rsidR="00CF2FB2">
        <w:t xml:space="preserve"> microbiome</w:t>
      </w:r>
      <w:r w:rsidR="00CF2FB2">
        <w:t xml:space="preserve">s.  </w:t>
      </w:r>
    </w:p>
    <w:p w14:paraId="27E9E374" w14:textId="77777777" w:rsidR="00B47D94" w:rsidRDefault="00B47D94"/>
    <w:p w14:paraId="703B8253" w14:textId="378AC793" w:rsidR="00A57FBF" w:rsidRDefault="00A57FBF" w:rsidP="00A57FBF">
      <w:commentRangeStart w:id="24"/>
      <w:commentRangeStart w:id="25"/>
      <w:r w:rsidRPr="00787E3A">
        <w:t>Methods:</w:t>
      </w:r>
      <w:commentRangeEnd w:id="24"/>
      <w:r w:rsidR="008F79F9">
        <w:rPr>
          <w:rStyle w:val="CommentReference"/>
        </w:rPr>
        <w:commentReference w:id="24"/>
      </w:r>
      <w:commentRangeEnd w:id="25"/>
      <w:r w:rsidR="00D70FAD">
        <w:rPr>
          <w:rStyle w:val="CommentReference"/>
        </w:rPr>
        <w:commentReference w:id="25"/>
      </w:r>
    </w:p>
    <w:p w14:paraId="360395E6" w14:textId="77777777" w:rsidR="00A57FBF" w:rsidRPr="00487A6E" w:rsidRDefault="00A57FBF" w:rsidP="00A57FBF">
      <w:pPr>
        <w:rPr>
          <w:u w:val="single"/>
        </w:rPr>
      </w:pPr>
      <w:r w:rsidRPr="00487A6E">
        <w:rPr>
          <w:u w:val="single"/>
        </w:rPr>
        <w:t xml:space="preserve">Site information and </w:t>
      </w:r>
      <w:r>
        <w:rPr>
          <w:u w:val="single"/>
        </w:rPr>
        <w:t>data</w:t>
      </w:r>
      <w:r w:rsidRPr="00487A6E">
        <w:rPr>
          <w:u w:val="single"/>
        </w:rPr>
        <w:t xml:space="preserve"> collection</w:t>
      </w:r>
    </w:p>
    <w:p w14:paraId="429A7A09" w14:textId="77777777" w:rsidR="00A57FBF" w:rsidRDefault="00A57FBF" w:rsidP="00A57FBF">
      <w:pPr>
        <w:ind w:firstLine="720"/>
      </w:pPr>
      <w:r>
        <w:t xml:space="preserve">Data was collected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B48912C" w14:textId="77777777" w:rsidR="00A57FBF" w:rsidRPr="00FB297C" w:rsidRDefault="00A57FBF" w:rsidP="00A57FBF">
      <w:pPr>
        <w:ind w:firstLine="720"/>
        <w:rPr>
          <w:bCs/>
        </w:rPr>
      </w:pPr>
      <w:commentRangeStart w:id="26"/>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discarded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Urine samples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commentRangeEnd w:id="26"/>
      <w:r>
        <w:rPr>
          <w:rStyle w:val="CommentReference"/>
        </w:rPr>
        <w:commentReference w:id="26"/>
      </w:r>
    </w:p>
    <w:p w14:paraId="69F62005" w14:textId="77777777" w:rsidR="00A57FBF" w:rsidRDefault="00A57FBF" w:rsidP="00A57FBF">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i w:val="0"/>
          <w:iCs w:val="0"/>
        </w:rPr>
        <w:t>Taboga</w:t>
      </w:r>
      <w:proofErr w:type="spellEnd"/>
      <w:r w:rsidRPr="00CF2FB2">
        <w:rPr>
          <w:rStyle w:val="Emphasis"/>
          <w:i w:val="0"/>
          <w:iCs w:val="0"/>
        </w:rPr>
        <w:t xml:space="preserve"> Forest Reserve</w:t>
      </w:r>
      <w:r>
        <w:t xml:space="preserve">. Like </w:t>
      </w:r>
      <w:proofErr w:type="spellStart"/>
      <w:r w:rsidRPr="00CF2FB2">
        <w:rPr>
          <w:rStyle w:val="Emphasis"/>
          <w:i w:val="0"/>
          <w:iCs w:val="0"/>
        </w:rPr>
        <w:t>Taboga</w:t>
      </w:r>
      <w:proofErr w:type="spellEnd"/>
      <w:r w:rsidRPr="00CF2FB2">
        <w:rPr>
          <w:i/>
          <w:iCs/>
        </w:rPr>
        <w:t xml:space="preserve">, </w:t>
      </w:r>
      <w:r w:rsidRPr="00CF2FB2">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i w:val="0"/>
          <w:iCs w:val="0"/>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w:t>
      </w:r>
      <w:r>
        <w:lastRenderedPageBreak/>
        <w:t xml:space="preserve">close proximity to </w:t>
      </w:r>
      <w:proofErr w:type="spellStart"/>
      <w:r>
        <w:t>Taboga</w:t>
      </w:r>
      <w:proofErr w:type="spellEnd"/>
      <w:r>
        <w:t>. The station records maximum and minimum air temperature every 15 minutes.</w:t>
      </w:r>
    </w:p>
    <w:p w14:paraId="22375442" w14:textId="77777777" w:rsidR="00A57FBF" w:rsidRDefault="00A57FBF" w:rsidP="00A57FBF">
      <w:pPr>
        <w:rPr>
          <w:bCs/>
        </w:rPr>
      </w:pPr>
    </w:p>
    <w:p w14:paraId="3FA825CB" w14:textId="77777777" w:rsidR="00A57FBF" w:rsidRDefault="00A57FBF" w:rsidP="00A57FBF">
      <w:pPr>
        <w:rPr>
          <w:u w:val="single"/>
        </w:rPr>
      </w:pPr>
      <w:r w:rsidRPr="00487A6E">
        <w:rPr>
          <w:u w:val="single"/>
        </w:rPr>
        <w:t>Neopterin analysis</w:t>
      </w:r>
    </w:p>
    <w:p w14:paraId="30BEB0F7" w14:textId="77777777" w:rsidR="00A57FBF" w:rsidRDefault="00A57FBF" w:rsidP="00A57FBF">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diluted using </w:t>
      </w:r>
      <w:r w:rsidRPr="00F90FF8">
        <w:t>manufacturer assay buffer</w:t>
      </w:r>
      <w:r>
        <w:t xml:space="preserve">. Assays were run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1E97D3DE" w14:textId="77777777" w:rsidR="00A57FBF" w:rsidRPr="00787E3A" w:rsidRDefault="00A57FBF" w:rsidP="00A57FBF"/>
    <w:p w14:paraId="41A7A0D9" w14:textId="2BFB9C4A" w:rsidR="00A57FBF" w:rsidRPr="0097690E" w:rsidRDefault="00A57FBF" w:rsidP="00A57FBF">
      <w:pPr>
        <w:rPr>
          <w:u w:val="single"/>
        </w:rPr>
      </w:pPr>
      <w:r w:rsidRPr="0097690E">
        <w:rPr>
          <w:u w:val="single"/>
        </w:rPr>
        <w:t xml:space="preserve">16S rRNA </w:t>
      </w:r>
      <w:r w:rsidR="00BF7B11">
        <w:rPr>
          <w:u w:val="single"/>
        </w:rPr>
        <w:t xml:space="preserve">and </w:t>
      </w:r>
      <w:commentRangeStart w:id="27"/>
      <w:r w:rsidR="00BF7B11">
        <w:rPr>
          <w:u w:val="single"/>
        </w:rPr>
        <w:t xml:space="preserve">shotgun metagenomics </w:t>
      </w:r>
      <w:commentRangeEnd w:id="27"/>
      <w:r w:rsidR="00BF7B11">
        <w:rPr>
          <w:rStyle w:val="CommentReference"/>
        </w:rPr>
        <w:commentReference w:id="27"/>
      </w:r>
      <w:r w:rsidRPr="0097690E">
        <w:rPr>
          <w:u w:val="single"/>
        </w:rPr>
        <w:t>extraction, sequencing, and processing</w:t>
      </w:r>
    </w:p>
    <w:p w14:paraId="56D27D52" w14:textId="536C1D22" w:rsidR="00A57FBF" w:rsidRDefault="00A57FBF" w:rsidP="00A57FBF">
      <w:pPr>
        <w:ind w:firstLine="720"/>
      </w:pPr>
      <w:r>
        <w:t xml:space="preserve">To measure gut microbiome taxonomic composition, 16S rRNA sequencing was performed 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Pr="00E1605E">
        <w:t>°C</w:t>
      </w:r>
      <w:r>
        <w:t xml:space="preserve"> for 10 minutes after adding the C1 and </w:t>
      </w:r>
      <w:proofErr w:type="spellStart"/>
      <w:r>
        <w:t>Powerbead</w:t>
      </w:r>
      <w:proofErr w:type="spellEnd"/>
      <w:r>
        <w:t xml:space="preserve"> solutions. Incubations of the C2 and C3 solutions were conducted </w:t>
      </w:r>
      <w:r w:rsidR="00BF7B11">
        <w:t>under refrigeration</w:t>
      </w:r>
      <w:r>
        <w:t xml:space="preserv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8"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41EA07B" w14:textId="77777777" w:rsidR="00A57FBF" w:rsidRDefault="00A57FBF" w:rsidP="00A57FBF">
      <w:pPr>
        <w:ind w:firstLine="720"/>
      </w:pPr>
      <w:r>
        <w:t xml:space="preserve">The resulting </w:t>
      </w:r>
      <w:commentRangeStart w:id="28"/>
      <w:r>
        <w:t xml:space="preserve">data was </w:t>
      </w:r>
      <w:commentRangeEnd w:id="28"/>
      <w:r>
        <w:rPr>
          <w:rStyle w:val="CommentReference"/>
        </w:rPr>
        <w:commentReference w:id="28"/>
      </w:r>
      <w:r>
        <w:t xml:space="preserve">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xml:space="preserve">. All negative controls contained fewer than 507 reads per sample (average 29 reads per sample). All negative controls were removed after visually comparing the taxonomic composition of negative controls to non-negative samples and finding no indication of contamination. One fecal sample was also removed containing less than 1000 reads to avoid potential bias from low-coverage samples. After filtering, 797 samples were retained, containing an average of 16898 reads (range 4,944—38,941). </w:t>
      </w:r>
    </w:p>
    <w:p w14:paraId="05FF8BE5" w14:textId="0E7447FB" w:rsidR="00A57FBF" w:rsidRDefault="00A57FBF" w:rsidP="00A57FBF">
      <w:pPr>
        <w:ind w:firstLine="720"/>
      </w:pPr>
      <w:r>
        <w:lastRenderedPageBreak/>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 xml:space="preserve">Fig </w:t>
      </w:r>
      <w:r w:rsidR="00D70FAD">
        <w:t>3</w:t>
      </w:r>
      <w:r>
        <w:t>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37A67150" w14:textId="77777777" w:rsidR="00A57FBF" w:rsidRDefault="00A57FBF" w:rsidP="00A57FBF"/>
    <w:p w14:paraId="0755C87B" w14:textId="77777777" w:rsidR="00A57FBF" w:rsidRPr="00521E9D" w:rsidRDefault="00A57FBF" w:rsidP="00A57FBF">
      <w:pPr>
        <w:rPr>
          <w:u w:val="single"/>
        </w:rPr>
      </w:pPr>
      <w:r>
        <w:rPr>
          <w:u w:val="single"/>
        </w:rPr>
        <w:t>Metadata assembly</w:t>
      </w:r>
    </w:p>
    <w:p w14:paraId="00F8D5ED" w14:textId="77777777" w:rsidR="00A57FBF" w:rsidRDefault="00A57FBF" w:rsidP="00A57FBF">
      <w:pPr>
        <w:ind w:firstLine="720"/>
      </w:pPr>
      <w:r>
        <w:t xml:space="preserve">Each gut microbiome sample was matched with relevant metadata to facilitate subsequent analyses. Microbiome samples were paired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6533A443" w14:textId="60C953A8" w:rsidR="00A57FBF" w:rsidRDefault="00A57FBF" w:rsidP="00A57FBF">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8D69D1">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(E. K. Mallott et al., 2018; Orkin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 xml:space="preserve">Percent fruit consumption was found to have a strong, positive relationship with temperature (Fig </w:t>
      </w:r>
      <w:r w:rsidR="00D70FAD">
        <w:t>4</w:t>
      </w:r>
      <w:r>
        <w:t xml:space="preserve">S) and is controlled for in our subsequent analyses. </w:t>
      </w:r>
    </w:p>
    <w:p w14:paraId="09317CE7" w14:textId="77777777" w:rsidR="00A57FBF" w:rsidRDefault="00A57FBF" w:rsidP="00A57FBF"/>
    <w:p w14:paraId="4A9171B3" w14:textId="77777777" w:rsidR="00A57FBF" w:rsidRDefault="00A57FBF" w:rsidP="00A57FBF">
      <w:pPr>
        <w:rPr>
          <w:u w:val="single"/>
        </w:rPr>
      </w:pPr>
      <w:r w:rsidRPr="00D807D7">
        <w:rPr>
          <w:u w:val="single"/>
        </w:rPr>
        <w:t>Community</w:t>
      </w:r>
      <w:r>
        <w:rPr>
          <w:u w:val="single"/>
        </w:rPr>
        <w:t>-level composition a</w:t>
      </w:r>
      <w:r w:rsidRPr="00D807D7">
        <w:rPr>
          <w:u w:val="single"/>
        </w:rPr>
        <w:t>nalysis</w:t>
      </w:r>
    </w:p>
    <w:p w14:paraId="48C3BA51" w14:textId="77777777" w:rsidR="00A57FBF" w:rsidRDefault="00A57FBF" w:rsidP="00A57FBF">
      <w:pPr>
        <w:ind w:firstLine="720"/>
      </w:pPr>
      <w:r>
        <w:t xml:space="preserve">To evaluate how gut microbiome composition is related to temperature, we generated metrics of community composition including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17CF8A8C" w14:textId="623EE44A" w:rsidR="00A57FBF" w:rsidRDefault="00A57FBF" w:rsidP="00A57FBF">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xml:space="preserve">} package. To measure beta diversity (i.e. community dissimilarity between samples), we </w:t>
      </w:r>
      <w:r>
        <w:lastRenderedPageBreak/>
        <w:t>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w:t>
      </w:r>
      <w:commentRangeStart w:id="29"/>
      <w:commentRangeStart w:id="30"/>
      <w:r>
        <w:t xml:space="preserve">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w:t>
      </w:r>
      <w:commentRangeEnd w:id="29"/>
      <w:r>
        <w:rPr>
          <w:rStyle w:val="CommentReference"/>
        </w:rPr>
        <w:commentReference w:id="29"/>
      </w:r>
      <w:commentRangeEnd w:id="30"/>
      <w:r>
        <w:rPr>
          <w:rStyle w:val="CommentReference"/>
        </w:rPr>
        <w:commentReference w:id="30"/>
      </w:r>
      <w:r>
        <w:t xml:space="preserve">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w:t>
      </w:r>
      <w:r w:rsidR="00D04DB3">
        <w:t>3</w:t>
      </w:r>
      <w:r>
        <w:t>) were extracted to capture major axes of variation in community composition. Components PC1-PC</w:t>
      </w:r>
      <w:r w:rsidR="00D04DB3">
        <w:t>3</w:t>
      </w:r>
      <w:r>
        <w:t xml:space="preserve"> were selected because they explained </w:t>
      </w:r>
      <w:r w:rsidR="00D04DB3">
        <w:t xml:space="preserve">greater than 5% of the variation </w:t>
      </w:r>
      <w:r>
        <w:t xml:space="preserve">(Fig </w:t>
      </w:r>
      <w:r w:rsidR="00D04DB3">
        <w:t>5</w:t>
      </w:r>
      <w:r>
        <w:t>S).</w:t>
      </w:r>
    </w:p>
    <w:p w14:paraId="1002DD87" w14:textId="2B0D7D18" w:rsidR="00A57FBF" w:rsidRDefault="00A57FBF" w:rsidP="00A57FBF">
      <w:pPr>
        <w:ind w:firstLine="720"/>
      </w:pPr>
      <w:r>
        <w:t>To evaluate the relationship between temperature and community composition, we built mixed models using alpha diversity indices and the first four principal components as the outcome variables. Each community metric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(Fig </w:t>
      </w:r>
      <w:r w:rsidR="00D04DB3">
        <w:t>4</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58F92E27" w14:textId="77777777" w:rsidR="00A57FBF" w:rsidRDefault="00A57FBF" w:rsidP="00A57FBF">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In contrast, null hypothesis testing relies on a null hypothesis that is never directly observed and i</w:t>
      </w:r>
      <w:commentRangeStart w:id="31"/>
      <w:commentRangeStart w:id="32"/>
      <w:commentRangeStart w:id="33"/>
      <w:commentRangeStart w:id="34"/>
      <w:r>
        <w:t xml:space="preserve">s therefore poorly suited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sidR="00BF7B11">
        <w:rPr>
          <w:rStyle w:val="CommentReference"/>
        </w:rPr>
        <w:commentReference w:id="34"/>
      </w:r>
      <w:r>
        <w:t xml:space="preserve">Say something like “more informative” </w:t>
      </w:r>
    </w:p>
    <w:p w14:paraId="6A6C6B27" w14:textId="77777777" w:rsidR="00A57FBF" w:rsidRDefault="00A57FBF" w:rsidP="00A57FBF"/>
    <w:p w14:paraId="5C57A0F7" w14:textId="77777777" w:rsidR="00A57FBF" w:rsidRDefault="00A57FBF" w:rsidP="00A57FBF">
      <w:pPr>
        <w:rPr>
          <w:u w:val="single"/>
        </w:rPr>
      </w:pPr>
      <w:r>
        <w:rPr>
          <w:u w:val="single"/>
        </w:rPr>
        <w:t>Temperature d</w:t>
      </w:r>
      <w:r w:rsidRPr="00A32281">
        <w:rPr>
          <w:u w:val="single"/>
        </w:rPr>
        <w:t xml:space="preserve">ifferential abundance </w:t>
      </w:r>
      <w:r>
        <w:rPr>
          <w:u w:val="single"/>
        </w:rPr>
        <w:t>analysis</w:t>
      </w:r>
    </w:p>
    <w:p w14:paraId="28C70FDB" w14:textId="77777777" w:rsidR="00A57FBF" w:rsidRDefault="00A57FBF" w:rsidP="00A57FBF">
      <w:pPr>
        <w:ind w:firstLine="720"/>
      </w:pPr>
      <w:commentRangeStart w:id="35"/>
      <w:commentRangeStart w:id="36"/>
      <w:commentRangeStart w:id="37"/>
      <w:r>
        <w:t>Similar to our community-level analysis, we used a comparative modeling approach to evaluate which individual taxa abundances are related to temperature</w:t>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r>
        <w:t xml:space="preserve">. The number of reads per taxa was aggregated on the family and genus levels using the </w:t>
      </w:r>
      <w:proofErr w:type="spellStart"/>
      <w:r>
        <w:t>tax_glom</w:t>
      </w:r>
      <w:proofErr w:type="spellEnd"/>
      <w:r>
        <w:t>() function in the {</w:t>
      </w:r>
      <w:proofErr w:type="spellStart"/>
      <w:r>
        <w:t>phyloseq</w:t>
      </w:r>
      <w:proofErr w:type="spellEnd"/>
      <w:r>
        <w:t xml:space="preserve">} package and then used to calculate the relative abundance of each taxon by dividing the number of reads per taxon by the total number of reads per sample. Taxa with less than 0.2% </w:t>
      </w:r>
      <w:r>
        <w:lastRenderedPageBreak/>
        <w:t xml:space="preserve">average relative abundance across all samples were removed to avoid analyzing extremely low abundance taxa, resulting in 134 genera and 79 families to be used for differential abundance testing. </w:t>
      </w:r>
    </w:p>
    <w:p w14:paraId="77B7FC27" w14:textId="77777777" w:rsidR="00A57FBF" w:rsidRDefault="00A57FBF" w:rsidP="00A57FBF">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count data with an abundance of zeros, a pattern typical of microbiome datasets. We accounted for repeated measurements in by </w:t>
      </w:r>
      <w:commentRangeStart w:id="38"/>
      <w:r>
        <w:t xml:space="preserve">incorporating random effects </w:t>
      </w:r>
      <w:commentRangeEnd w:id="38"/>
      <w:r>
        <w:rPr>
          <w:rStyle w:val="CommentReference"/>
        </w:rPr>
        <w:commentReference w:id="38"/>
      </w:r>
      <w:r>
        <w:fldChar w:fldCharType="begin"/>
      </w:r>
      <w:r>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Pr>
          <w:noProof/>
        </w:rPr>
        <w:t>(X. Zhang et al., 2018)</w:t>
      </w:r>
      <w:r>
        <w:fldChar w:fldCharType="end"/>
      </w:r>
      <w:r>
        <w:t xml:space="preserve">. Each </w:t>
      </w:r>
      <w:commentRangeStart w:id="39"/>
      <w:r>
        <w:t>taxon</w:t>
      </w:r>
      <w:commentRangeEnd w:id="39"/>
      <w:r>
        <w:rPr>
          <w:rStyle w:val="CommentReference"/>
        </w:rPr>
        <w:commentReference w:id="39"/>
      </w:r>
      <w:r>
        <w:t xml:space="preserve"> was modeled twice and model fit was compared using </w:t>
      </w:r>
      <w:proofErr w:type="spellStart"/>
      <w:r>
        <w:t>AICc</w:t>
      </w:r>
      <w:proofErr w:type="spellEnd"/>
      <w:r>
        <w:t xml:space="preserve">. 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775F36CC" w14:textId="77777777" w:rsidR="00A57FBF" w:rsidRDefault="00A57FBF" w:rsidP="00A57FBF"/>
    <w:p w14:paraId="1AC61C3C" w14:textId="77777777" w:rsidR="00A57FBF" w:rsidRPr="0081434A" w:rsidRDefault="00A57FBF" w:rsidP="00A57FBF">
      <w:pPr>
        <w:rPr>
          <w:u w:val="single"/>
        </w:rPr>
      </w:pPr>
      <w:r w:rsidRPr="0081434A">
        <w:rPr>
          <w:u w:val="single"/>
        </w:rPr>
        <w:t>Immune and temperature interaction analysis</w:t>
      </w:r>
    </w:p>
    <w:p w14:paraId="3D35E178" w14:textId="77777777" w:rsidR="00A57FBF" w:rsidRDefault="00A57FBF" w:rsidP="00A57FBF">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4B911EA2" w14:textId="77777777" w:rsidR="008F79F9" w:rsidRDefault="00A57FBF" w:rsidP="008F79F9">
      <w:pPr>
        <w:ind w:firstLine="720"/>
      </w:pPr>
      <w:r>
        <w:t xml:space="preserve">To assess whether the relationship between temperature and individual taxa is associated with immune performance, we employed the same model comparison approach but used taxon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264C4574" w14:textId="09D1AAC6" w:rsidR="00B47D94" w:rsidRDefault="00B47D94" w:rsidP="008F79F9">
      <w:r>
        <w:rPr>
          <w:noProof/>
          <w14:ligatures w14:val="standardContextual"/>
        </w:rPr>
        <w:lastRenderedPageBreak/>
        <w:drawing>
          <wp:anchor distT="0" distB="0" distL="114300" distR="114300" simplePos="0" relativeHeight="251658240" behindDoc="0" locked="0" layoutInCell="1" allowOverlap="1" wp14:anchorId="3B504E8E" wp14:editId="7137F560">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9"/>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266786E6" w14:textId="77777777" w:rsidR="00B47D94" w:rsidRDefault="00B47D94"/>
    <w:p w14:paraId="72965DE7" w14:textId="77777777" w:rsidR="00B47D94" w:rsidRDefault="00B47D94"/>
    <w:p w14:paraId="5AF54118" w14:textId="7AB50A51" w:rsidR="003041F4" w:rsidRDefault="00B47D94" w:rsidP="00AB75B9">
      <w:r w:rsidRPr="00F86AC3">
        <w:rPr>
          <w:b/>
          <w:bCs/>
        </w:rPr>
        <w:t>Figure 1:</w:t>
      </w:r>
      <w:r w:rsidR="003041F4">
        <w:rPr>
          <w:b/>
          <w:bCs/>
        </w:rPr>
        <w:t xml:space="preserve"> </w:t>
      </w:r>
      <w:r w:rsidR="003041F4">
        <w:t xml:space="preserve">Model comparison results assessing whether adding temperature to a base model of known microbiome predictors improves the explanation of community-level taxonomic and metabolic diversity. </w:t>
      </w:r>
      <w:r w:rsidR="00411A24">
        <w:t xml:space="preserve">Panels </w:t>
      </w:r>
      <w:r w:rsidR="00411A24" w:rsidRPr="00F86AC3">
        <w:rPr>
          <w:b/>
          <w:bCs/>
        </w:rPr>
        <w:t>A</w:t>
      </w:r>
      <w:r w:rsidR="00411A24">
        <w:t xml:space="preserve"> and </w:t>
      </w:r>
      <w:r w:rsidR="00411A24" w:rsidRPr="00F86AC3">
        <w:rPr>
          <w:b/>
          <w:bCs/>
        </w:rPr>
        <w:t>C</w:t>
      </w:r>
      <w:r w:rsidR="00411A24">
        <w:t xml:space="preserve"> show the coefficients </w:t>
      </w:r>
      <w:r w:rsidR="00F86AC3">
        <w:t>of</w:t>
      </w:r>
      <w:r w:rsidR="00411A24">
        <w:t xml:space="preserve"> the temperature predictor for community diversity metrics including </w:t>
      </w:r>
      <w:r w:rsidR="00411A24" w:rsidRPr="009B4C2B">
        <w:t>beta diversity (measured by principal coordinates 1-</w:t>
      </w:r>
      <w:r w:rsidR="00411A24">
        <w:t>3</w:t>
      </w:r>
      <w:r w:rsidR="00411A24" w:rsidRPr="009B4C2B">
        <w:t>) and alpha diversity (measured by the Shannon Index and the observed number of ASVs</w:t>
      </w:r>
      <w:r w:rsidR="00411A24">
        <w:t xml:space="preserve"> or metabolic pathways</w:t>
      </w:r>
      <w:r w:rsidR="00411A24" w:rsidRPr="009B4C2B">
        <w:t>).</w:t>
      </w:r>
      <w:r w:rsidR="00411A24">
        <w:t xml:space="preserve"> </w:t>
      </w:r>
      <w:r w:rsidR="00411A24" w:rsidRPr="009B4C2B">
        <w:t>The</w:t>
      </w:r>
      <w:r w:rsidR="00411A24">
        <w:t xml:space="preserve"> thick</w:t>
      </w:r>
      <w:r w:rsidR="00411A24" w:rsidRPr="009B4C2B">
        <w:t xml:space="preserve"> bars represent 50% confidence intervals (CI), while the thin bars represent 95% CI.</w:t>
      </w:r>
      <w:r w:rsidR="00411A24">
        <w:t xml:space="preserve"> Panels </w:t>
      </w:r>
      <w:r w:rsidR="00411A24" w:rsidRPr="00F86AC3">
        <w:rPr>
          <w:b/>
          <w:bCs/>
        </w:rPr>
        <w:t>B</w:t>
      </w:r>
      <w:r w:rsidR="00411A24">
        <w:t xml:space="preserve"> and </w:t>
      </w:r>
      <w:r w:rsidR="00411A24" w:rsidRPr="00F86AC3">
        <w:rPr>
          <w:b/>
          <w:bCs/>
        </w:rPr>
        <w:t>D</w:t>
      </w:r>
      <w:r w:rsidR="00411A24">
        <w:t xml:space="preserve"> compare </w:t>
      </w:r>
      <w:r w:rsidR="00F86AC3">
        <w:t xml:space="preserve">the </w:t>
      </w:r>
      <w:r w:rsidR="00411A24">
        <w:t xml:space="preserve">model weights of the base model (in green) to the temperature model (in yellow). The weights of the base model plus the temperature model equal 100%. </w:t>
      </w:r>
      <w:r w:rsidR="00F86AC3">
        <w:t xml:space="preserve">The top panels </w:t>
      </w:r>
      <w:r w:rsidR="00F86AC3" w:rsidRPr="00F86AC3">
        <w:rPr>
          <w:b/>
          <w:bCs/>
        </w:rPr>
        <w:t>A</w:t>
      </w:r>
      <w:r w:rsidR="00F86AC3">
        <w:t xml:space="preserve"> and </w:t>
      </w:r>
      <w:r w:rsidR="00F86AC3" w:rsidRPr="00F86AC3">
        <w:rPr>
          <w:b/>
          <w:bCs/>
        </w:rPr>
        <w:t>B</w:t>
      </w:r>
      <w:r w:rsidR="00F86AC3">
        <w:t xml:space="preserve"> show the results for community-level taxonomic diversity while the bottom panels </w:t>
      </w:r>
      <w:r w:rsidR="00F86AC3" w:rsidRPr="00F86AC3">
        <w:rPr>
          <w:b/>
          <w:bCs/>
        </w:rPr>
        <w:t>C</w:t>
      </w:r>
      <w:r w:rsidR="00F86AC3">
        <w:t xml:space="preserve"> and </w:t>
      </w:r>
      <w:r w:rsidR="00F86AC3" w:rsidRPr="00F86AC3">
        <w:rPr>
          <w:b/>
          <w:bCs/>
        </w:rPr>
        <w:t>D</w:t>
      </w:r>
      <w:r w:rsidR="00F86AC3">
        <w:t xml:space="preserve"> show the results for metabolic pathway diversity. </w:t>
      </w:r>
      <w:r w:rsidR="003041F4">
        <w:t xml:space="preserve">Results show a strong association between temperature and beta diversity for both taxonomic and metabolic community composition. In contrast, </w:t>
      </w:r>
      <w:r w:rsidR="00AB75B9">
        <w:t xml:space="preserve">the association between </w:t>
      </w:r>
      <w:r w:rsidR="003041F4">
        <w:t xml:space="preserve">temperature </w:t>
      </w:r>
      <w:r w:rsidR="00AB75B9">
        <w:t>and</w:t>
      </w:r>
      <w:r w:rsidR="003041F4">
        <w:t xml:space="preserve"> alpha diversity differs by data type: taxonomic alpha diversity declines with rising temperature, whereas metabolic alpha diversity indicates a possible reduction in the number of unique pathways at higher temperatures</w:t>
      </w:r>
      <w:r w:rsidR="00AB75B9">
        <w:t xml:space="preserve"> but no relationship with </w:t>
      </w:r>
      <w:r w:rsidR="003041F4">
        <w:t>pathway evenness</w:t>
      </w:r>
    </w:p>
    <w:p w14:paraId="5B38B6C2" w14:textId="77777777" w:rsidR="003041F4" w:rsidRDefault="003041F4" w:rsidP="003041F4">
      <w:pPr>
        <w:ind w:firstLine="720"/>
      </w:pPr>
    </w:p>
    <w:p w14:paraId="7CB33AE7" w14:textId="77777777" w:rsidR="003041F4" w:rsidRDefault="003041F4" w:rsidP="003041F4">
      <w:pPr>
        <w:ind w:firstLine="720"/>
      </w:pPr>
    </w:p>
    <w:p w14:paraId="0AE40377" w14:textId="77777777" w:rsidR="003041F4" w:rsidRDefault="003041F4" w:rsidP="003041F4">
      <w:pPr>
        <w:ind w:firstLine="720"/>
      </w:pPr>
    </w:p>
    <w:p w14:paraId="576868B6" w14:textId="77777777" w:rsidR="00B47D94" w:rsidRDefault="00B47D94"/>
    <w:p w14:paraId="03CA7AF0" w14:textId="752AA928" w:rsidR="00AB75B9" w:rsidRDefault="00B47D94">
      <w:r w:rsidRPr="001B7A29">
        <w:rPr>
          <w:b/>
          <w:bCs/>
          <w:noProof/>
          <w14:ligatures w14:val="standardContextual"/>
        </w:rPr>
        <w:lastRenderedPageBreak/>
        <w:drawing>
          <wp:anchor distT="0" distB="0" distL="114300" distR="114300" simplePos="0" relativeHeight="251659264" behindDoc="0" locked="0" layoutInCell="1" allowOverlap="1" wp14:anchorId="25F000C9" wp14:editId="624DBE93">
            <wp:simplePos x="0" y="0"/>
            <wp:positionH relativeFrom="column">
              <wp:posOffset>0</wp:posOffset>
            </wp:positionH>
            <wp:positionV relativeFrom="paragraph">
              <wp:posOffset>476</wp:posOffset>
            </wp:positionV>
            <wp:extent cx="4843463" cy="7699670"/>
            <wp:effectExtent l="0" t="0" r="0" b="0"/>
            <wp:wrapTopAndBottom/>
            <wp:docPr id="214223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0469" name="Picture 2142230469"/>
                    <pic:cNvPicPr/>
                  </pic:nvPicPr>
                  <pic:blipFill>
                    <a:blip r:embed="rId10"/>
                    <a:stretch>
                      <a:fillRect/>
                    </a:stretch>
                  </pic:blipFill>
                  <pic:spPr>
                    <a:xfrm>
                      <a:off x="0" y="0"/>
                      <a:ext cx="4843463" cy="7699670"/>
                    </a:xfrm>
                    <a:prstGeom prst="rect">
                      <a:avLst/>
                    </a:prstGeom>
                  </pic:spPr>
                </pic:pic>
              </a:graphicData>
            </a:graphic>
            <wp14:sizeRelH relativeFrom="page">
              <wp14:pctWidth>0</wp14:pctWidth>
            </wp14:sizeRelH>
            <wp14:sizeRelV relativeFrom="page">
              <wp14:pctHeight>0</wp14:pctHeight>
            </wp14:sizeRelV>
          </wp:anchor>
        </w:drawing>
      </w:r>
      <w:r w:rsidRPr="001B7A29">
        <w:rPr>
          <w:b/>
          <w:bCs/>
        </w:rPr>
        <w:t>Figure 2:</w:t>
      </w:r>
      <w:r>
        <w:t xml:space="preserve"> </w:t>
      </w:r>
      <w:r w:rsidR="00AB75B9">
        <w:t xml:space="preserve">Cladogram showing ancestral state reconstruction of temperature sensitivity for </w:t>
      </w:r>
      <w:r w:rsidR="009435E8">
        <w:t>97</w:t>
      </w:r>
      <w:r w:rsidR="00AB75B9">
        <w:t xml:space="preserve"> genera with ≥</w:t>
      </w:r>
      <w:r w:rsidR="009435E8">
        <w:t xml:space="preserve"> 0.2% average </w:t>
      </w:r>
      <w:r w:rsidR="00AB75B9">
        <w:t>relative abundance. Branch color indicates model weight for the temperature model</w:t>
      </w:r>
      <w:r w:rsidR="009435E8">
        <w:t xml:space="preserve"> (includes base predictors plus temperature)</w:t>
      </w:r>
      <w:r w:rsidR="00AB75B9">
        <w:t xml:space="preserve">, with yellow representing high </w:t>
      </w:r>
      <w:r w:rsidR="00AB75B9">
        <w:lastRenderedPageBreak/>
        <w:t>model weight (greater temperature sensitivity) and green representing low model weight. Genera where the temperature model accounts for ≥50% of the model weight are classified as temperature sensitive and are marked with red (negative association) or blue (positive association) circles. Genera with &lt;50% model weight are considered not temperature sensitive and are shown with grey circles. Most temperature-sensitive taxa decline</w:t>
      </w:r>
      <w:r w:rsidR="005105B0">
        <w:t xml:space="preserve"> in abundance</w:t>
      </w:r>
      <w:r w:rsidR="00AB75B9">
        <w:t xml:space="preserve"> with rising temperatures, especially within the Firmicutes and </w:t>
      </w:r>
      <w:proofErr w:type="spellStart"/>
      <w:r w:rsidR="00AB75B9">
        <w:t>Bacteroidota</w:t>
      </w:r>
      <w:proofErr w:type="spellEnd"/>
      <w:r w:rsidR="00AB75B9">
        <w:t xml:space="preserve"> phyla. In contrast, Proteobacteria appear less temperature sensitive compared to the other phyla. </w:t>
      </w:r>
    </w:p>
    <w:p w14:paraId="2FEE0503" w14:textId="77777777" w:rsidR="00AB75B9" w:rsidRDefault="00AB75B9"/>
    <w:p w14:paraId="7AAA15A0" w14:textId="77777777" w:rsidR="00AB75B9" w:rsidRDefault="00AB75B9"/>
    <w:p w14:paraId="023F4537" w14:textId="1B5C27B2" w:rsidR="00AB75B9" w:rsidRDefault="00AB75B9"/>
    <w:p w14:paraId="5AF8EB34" w14:textId="5D6B23B2" w:rsidR="00AB75B9" w:rsidRDefault="00AB75B9">
      <w:r>
        <w:rPr>
          <w:noProof/>
          <w14:ligatures w14:val="standardContextual"/>
        </w:rPr>
        <w:drawing>
          <wp:anchor distT="0" distB="0" distL="114300" distR="114300" simplePos="0" relativeHeight="251660288" behindDoc="0" locked="0" layoutInCell="1" allowOverlap="1" wp14:anchorId="28904EDC" wp14:editId="26062A38">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1"/>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p>
    <w:p w14:paraId="37B4EF82" w14:textId="798676B9" w:rsidR="00AB75B9" w:rsidRDefault="00AB75B9"/>
    <w:p w14:paraId="7C18F44D" w14:textId="6A18D3FE" w:rsidR="00CF040A" w:rsidRDefault="00B47D94" w:rsidP="00CF040A">
      <w:r w:rsidRPr="00CA25BE">
        <w:rPr>
          <w:b/>
          <w:bCs/>
        </w:rPr>
        <w:t>Figure 3:</w:t>
      </w:r>
      <w:r>
        <w:t xml:space="preserve"> </w:t>
      </w:r>
      <w:r w:rsidR="005105B0">
        <w:t xml:space="preserve">Model results for the </w:t>
      </w:r>
      <w:r w:rsidR="007D498D">
        <w:t xml:space="preserve">microbial metabolic pathways associated with temperature. </w:t>
      </w:r>
      <w:r w:rsidR="00CF040A">
        <w:t xml:space="preserve">Pathways </w:t>
      </w:r>
      <w:r w:rsidR="007D498D">
        <w:t>are grouped into five functional</w:t>
      </w:r>
      <w:r w:rsidR="00CF040A">
        <w:t xml:space="preserve"> categories (P</w:t>
      </w:r>
      <w:r w:rsidR="007D498D">
        <w:t xml:space="preserve">anels </w:t>
      </w:r>
      <w:r w:rsidR="007D498D" w:rsidRPr="007D498D">
        <w:rPr>
          <w:b/>
          <w:bCs/>
        </w:rPr>
        <w:t>A-F</w:t>
      </w:r>
      <w:r w:rsidR="00CF040A">
        <w:t>)</w:t>
      </w:r>
      <w:r w:rsidR="007D498D">
        <w:t xml:space="preserve"> based on shared biological roles and </w:t>
      </w:r>
      <w:r w:rsidR="00CF040A">
        <w:t xml:space="preserve">their associations </w:t>
      </w:r>
      <w:r w:rsidR="007D498D">
        <w:t xml:space="preserve">with temperature. </w:t>
      </w:r>
      <w:r w:rsidR="007D498D" w:rsidRPr="009B4C2B">
        <w:t>The</w:t>
      </w:r>
      <w:r w:rsidR="007D498D">
        <w:t xml:space="preserve"> thick</w:t>
      </w:r>
      <w:r w:rsidR="007D498D" w:rsidRPr="009B4C2B">
        <w:t xml:space="preserve"> bars represent 50% confidence intervals (CI), while the thin bars represent 95% CI.</w:t>
      </w:r>
      <w:r w:rsidR="007D498D">
        <w:t xml:space="preserve"> </w:t>
      </w:r>
      <w:r w:rsidR="00CF040A">
        <w:t xml:space="preserve">Summary annotations to the right of each panel describe the broad functional roles of the pathways within each category. </w:t>
      </w:r>
      <w:r w:rsidR="007D498D">
        <w:t xml:space="preserve">Panel </w:t>
      </w:r>
      <w:r w:rsidR="007D498D" w:rsidRPr="007D498D">
        <w:rPr>
          <w:b/>
          <w:bCs/>
        </w:rPr>
        <w:t>F</w:t>
      </w:r>
      <w:r w:rsidR="007D498D">
        <w:t xml:space="preserve"> visualizes </w:t>
      </w:r>
      <w:r w:rsidR="00CF040A">
        <w:t>the</w:t>
      </w:r>
      <w:r w:rsidR="007D498D">
        <w:t xml:space="preserve"> hypothesized physiological cascade induced by exposure to high temperatures</w:t>
      </w:r>
      <w:r w:rsidR="00CF040A">
        <w:t>, in which redox imbalance, the decline of obligate anaerobes, and disruption of gut-immune homeostasis form a negative feedback loop. Bidirectional arrows highlight that each relationship likely amplifies the others and may lead to</w:t>
      </w:r>
      <w:r w:rsidR="00CF040A" w:rsidRPr="00CF040A">
        <w:t xml:space="preserve"> </w:t>
      </w:r>
      <w:r w:rsidR="00CF040A">
        <w:t xml:space="preserve">chronic gut inflammation and negative health outcomes for the host. </w:t>
      </w:r>
    </w:p>
    <w:p w14:paraId="559681C7" w14:textId="130D91BF" w:rsidR="00B47D94" w:rsidRDefault="00F03201">
      <w:r>
        <w:rPr>
          <w:noProof/>
          <w14:ligatures w14:val="standardContextual"/>
        </w:rPr>
        <w:lastRenderedPageBreak/>
        <w:drawing>
          <wp:anchor distT="0" distB="0" distL="114300" distR="114300" simplePos="0" relativeHeight="251661312" behindDoc="0" locked="0" layoutInCell="1" allowOverlap="1" wp14:anchorId="300EE165" wp14:editId="5A96FA2D">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2"/>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4754D2" w14:textId="16D314ED" w:rsidR="00B47D94" w:rsidRDefault="00F03201">
      <w:r w:rsidRPr="00CA25BE">
        <w:rPr>
          <w:b/>
          <w:bCs/>
        </w:rPr>
        <w:t>Figure 4:</w:t>
      </w:r>
      <w:r>
        <w:t xml:space="preserve"> </w:t>
      </w:r>
      <w:r w:rsidR="00F54A57">
        <w:t>The relationship between taxa abundance and temperature plotted across three distinct</w:t>
      </w:r>
      <w:r w:rsidR="00622318">
        <w:t xml:space="preserve"> ranges of</w:t>
      </w:r>
      <w:r w:rsidR="00F54A57">
        <w:t xml:space="preserve"> neopterin </w:t>
      </w:r>
      <w:r w:rsidR="00622318">
        <w:t>concentration</w:t>
      </w:r>
      <w:r w:rsidR="00F54A57">
        <w:t xml:space="preserve">. There are two main effects. Row </w:t>
      </w:r>
      <w:r w:rsidR="00F54A57" w:rsidRPr="00622318">
        <w:rPr>
          <w:b/>
          <w:bCs/>
        </w:rPr>
        <w:t>A</w:t>
      </w:r>
      <w:r w:rsidR="00F54A57">
        <w:t xml:space="preserve"> </w:t>
      </w:r>
      <w:r w:rsidR="00622318">
        <w:t xml:space="preserve">includes taxa for which the relationship between temperature and abundance becomes </w:t>
      </w:r>
      <w:r w:rsidR="002E4868">
        <w:t>increasingly</w:t>
      </w:r>
      <w:r w:rsidR="00622318">
        <w:t xml:space="preserve"> negative at higher neopterin. Rows </w:t>
      </w:r>
      <w:r w:rsidR="00622318" w:rsidRPr="00622318">
        <w:rPr>
          <w:b/>
          <w:bCs/>
        </w:rPr>
        <w:t>B</w:t>
      </w:r>
      <w:r w:rsidR="00622318">
        <w:t xml:space="preserve"> and </w:t>
      </w:r>
      <w:r w:rsidR="00622318" w:rsidRPr="00622318">
        <w:rPr>
          <w:b/>
          <w:bCs/>
        </w:rPr>
        <w:t>C</w:t>
      </w:r>
      <w:r w:rsidR="00622318">
        <w:t xml:space="preserve"> include taxa for which the relationship becomes </w:t>
      </w:r>
      <w:r w:rsidR="002E4868">
        <w:t>increasingly</w:t>
      </w:r>
      <w:r w:rsidR="00622318">
        <w:t xml:space="preserve"> positive, either through an increasingly positive slope (Row </w:t>
      </w:r>
      <w:r w:rsidR="00622318" w:rsidRPr="00622318">
        <w:rPr>
          <w:b/>
          <w:bCs/>
        </w:rPr>
        <w:t>B</w:t>
      </w:r>
      <w:r w:rsidR="00622318">
        <w:t xml:space="preserve">) or a slope that switches from negative to positive (Row </w:t>
      </w:r>
      <w:r w:rsidR="00622318" w:rsidRPr="00622318">
        <w:rPr>
          <w:b/>
          <w:bCs/>
        </w:rPr>
        <w:t>C</w:t>
      </w:r>
      <w:r w:rsidR="00622318">
        <w:t xml:space="preserve">). The taxa in each group are listed on the right side of the row. </w:t>
      </w:r>
    </w:p>
    <w:p w14:paraId="43A9C726" w14:textId="4E14235B" w:rsidR="00B47D94" w:rsidRDefault="00B47D94"/>
    <w:p w14:paraId="18FF541E" w14:textId="0A9D0F14" w:rsidR="00CA25BE" w:rsidRDefault="0043088E" w:rsidP="00CA25BE">
      <w:r>
        <w:rPr>
          <w:noProof/>
          <w14:ligatures w14:val="standardContextual"/>
        </w:rPr>
        <w:lastRenderedPageBreak/>
        <w:drawing>
          <wp:anchor distT="0" distB="0" distL="114300" distR="114300" simplePos="0" relativeHeight="251664384" behindDoc="0" locked="0" layoutInCell="1" allowOverlap="1" wp14:anchorId="65653C80" wp14:editId="6213426E">
            <wp:simplePos x="0" y="0"/>
            <wp:positionH relativeFrom="column">
              <wp:posOffset>-497064</wp:posOffset>
            </wp:positionH>
            <wp:positionV relativeFrom="paragraph">
              <wp:posOffset>0</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3"/>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Start w:id="40"/>
      <w:r w:rsidR="00F03201">
        <w:t>Figure 5</w:t>
      </w:r>
      <w:commentRangeEnd w:id="40"/>
      <w:r w:rsidR="00F03201">
        <w:rPr>
          <w:rStyle w:val="CommentReference"/>
        </w:rPr>
        <w:commentReference w:id="40"/>
      </w:r>
      <w:r w:rsidR="00F03201">
        <w:t xml:space="preserve">: </w:t>
      </w:r>
      <w:r w:rsidR="00CA25BE">
        <w:t>The relationship between metabolic path</w:t>
      </w:r>
      <w:r w:rsidR="002E4868">
        <w:t>w</w:t>
      </w:r>
      <w:r w:rsidR="00CA25BE">
        <w:t xml:space="preserve">ay abundance and temperature plotted across </w:t>
      </w:r>
      <w:r w:rsidR="00CA25BE">
        <w:lastRenderedPageBreak/>
        <w:t xml:space="preserve">two distinct ranges of neopterin concentration. There are two main effects. Rows </w:t>
      </w:r>
      <w:r w:rsidR="00CA25BE" w:rsidRPr="00622318">
        <w:rPr>
          <w:b/>
          <w:bCs/>
        </w:rPr>
        <w:t>A</w:t>
      </w:r>
      <w:r w:rsidR="00CA25BE">
        <w:rPr>
          <w:b/>
          <w:bCs/>
        </w:rPr>
        <w:t xml:space="preserve"> </w:t>
      </w:r>
      <w:r w:rsidR="00CA25BE">
        <w:t xml:space="preserve">and </w:t>
      </w:r>
      <w:r w:rsidR="00CA25BE">
        <w:rPr>
          <w:b/>
          <w:bCs/>
        </w:rPr>
        <w:t xml:space="preserve">B </w:t>
      </w:r>
      <w:r w:rsidR="00CA25BE">
        <w:t xml:space="preserve"> include pathways for which the relationship between temperature and abundance becomes increasingly positive at higher neopterin either through an increasingly positive slope (Row </w:t>
      </w:r>
      <w:r w:rsidR="00CA25BE">
        <w:rPr>
          <w:b/>
          <w:bCs/>
        </w:rPr>
        <w:t>A</w:t>
      </w:r>
      <w:r w:rsidR="00CA25BE">
        <w:t xml:space="preserve">) or a slope that switches from negative to positive (Row </w:t>
      </w:r>
      <w:r w:rsidR="00CA25BE">
        <w:rPr>
          <w:b/>
          <w:bCs/>
        </w:rPr>
        <w:t>B</w:t>
      </w:r>
      <w:r w:rsidR="00CA25BE">
        <w:t>).</w:t>
      </w:r>
      <w:r w:rsidR="002E4868">
        <w:t xml:space="preserve"> </w:t>
      </w:r>
      <w:r w:rsidR="00CA25BE">
        <w:t xml:space="preserve">Rows </w:t>
      </w:r>
      <w:r w:rsidR="00CA25BE" w:rsidRPr="00622318">
        <w:rPr>
          <w:b/>
          <w:bCs/>
        </w:rPr>
        <w:t>C</w:t>
      </w:r>
      <w:r w:rsidR="00CA25BE">
        <w:rPr>
          <w:b/>
          <w:bCs/>
        </w:rPr>
        <w:t>-E</w:t>
      </w:r>
      <w:r w:rsidR="00CA25BE">
        <w:t xml:space="preserve"> include pathways for which the relationship becomes increasingly negative, either through an increasingly negative slope (Row </w:t>
      </w:r>
      <w:r w:rsidR="00CA25BE">
        <w:rPr>
          <w:b/>
          <w:bCs/>
        </w:rPr>
        <w:t>C</w:t>
      </w:r>
      <w:r w:rsidR="00CA25BE">
        <w:t xml:space="preserve">), a slope that switches from positive to negative (Row </w:t>
      </w:r>
      <w:r w:rsidR="00CA25BE">
        <w:rPr>
          <w:b/>
          <w:bCs/>
        </w:rPr>
        <w:t>D</w:t>
      </w:r>
      <w:r w:rsidR="00CA25BE">
        <w:t xml:space="preserve">), or a slope that </w:t>
      </w:r>
      <w:r w:rsidR="002E4868">
        <w:t xml:space="preserve">becomes less positive (Row </w:t>
      </w:r>
      <w:r w:rsidR="002E4868" w:rsidRPr="002E4868">
        <w:rPr>
          <w:b/>
          <w:bCs/>
        </w:rPr>
        <w:t>E</w:t>
      </w:r>
      <w:r w:rsidR="002E4868">
        <w:t>).</w:t>
      </w:r>
      <w:r w:rsidR="00CA25BE">
        <w:t xml:space="preserve"> The </w:t>
      </w:r>
      <w:r w:rsidR="002E4868">
        <w:t>pathways</w:t>
      </w:r>
      <w:r w:rsidR="00CA25BE">
        <w:t xml:space="preserve"> in each group are listed on the right side of the row. </w:t>
      </w:r>
    </w:p>
    <w:p w14:paraId="164AB75A" w14:textId="77777777" w:rsidR="00CA25BE" w:rsidRDefault="00CA25BE" w:rsidP="00CA25BE"/>
    <w:p w14:paraId="0BB13840" w14:textId="4B68B0DD" w:rsidR="00B47D94" w:rsidRDefault="00B47D94"/>
    <w:p w14:paraId="5865857B" w14:textId="61D01338" w:rsidR="002E4868" w:rsidRDefault="002E4868">
      <w:r>
        <w:t xml:space="preserve">Supplemental Figures: </w:t>
      </w:r>
      <w:r>
        <w:rPr>
          <w:noProof/>
          <w14:ligatures w14:val="standardContextual"/>
        </w:rPr>
        <w:drawing>
          <wp:anchor distT="0" distB="0" distL="114300" distR="114300" simplePos="0" relativeHeight="251663360" behindDoc="0" locked="0" layoutInCell="1" allowOverlap="1" wp14:anchorId="46D8B35B" wp14:editId="20D9CB9F">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45BAA14" w14:textId="2AFD102E" w:rsidR="002E4868" w:rsidRDefault="002E4868"/>
    <w:p w14:paraId="1CD90DD7" w14:textId="2BF361E6" w:rsidR="002E4868" w:rsidRDefault="002E4868" w:rsidP="002E4868">
      <w:pPr>
        <w:rPr>
          <w:sz w:val="32"/>
          <w:szCs w:val="32"/>
        </w:rPr>
      </w:pPr>
      <w:r w:rsidRPr="002E4868">
        <w:rPr>
          <w:b/>
          <w:bCs/>
        </w:rPr>
        <w:t>Figure 1</w:t>
      </w:r>
      <w:r w:rsidR="00D70FAD">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w:t>
      </w:r>
      <w:r>
        <w:t>tax</w:t>
      </w:r>
      <w:r w:rsidR="00E2183B">
        <w:t>o</w:t>
      </w:r>
      <w:r>
        <w:t xml:space="preserve">nomic </w:t>
      </w:r>
      <w:r w:rsidRPr="009B4C2B">
        <w:t>alpha diversity as temperature increases.</w:t>
      </w:r>
    </w:p>
    <w:p w14:paraId="393791C1" w14:textId="4DF4AF98" w:rsidR="002E4868" w:rsidRDefault="002E4868"/>
    <w:p w14:paraId="65C70D10" w14:textId="77777777" w:rsidR="002E4868" w:rsidRDefault="002E4868"/>
    <w:p w14:paraId="453F2114" w14:textId="77777777" w:rsidR="002E4868" w:rsidRDefault="002E4868"/>
    <w:p w14:paraId="64C286C9" w14:textId="77777777" w:rsidR="002E4868" w:rsidRDefault="002E4868"/>
    <w:p w14:paraId="12DDA293" w14:textId="77777777" w:rsidR="002E4868" w:rsidRDefault="002E4868"/>
    <w:p w14:paraId="6CB5D107" w14:textId="77777777" w:rsidR="002E4868" w:rsidRDefault="002E4868"/>
    <w:p w14:paraId="0A142665" w14:textId="77777777" w:rsidR="002E4868" w:rsidRDefault="002E4868"/>
    <w:p w14:paraId="3C0A1DD1" w14:textId="77777777" w:rsidR="002E4868" w:rsidRDefault="002E4868"/>
    <w:p w14:paraId="45F1C063" w14:textId="77777777" w:rsidR="002E4868" w:rsidRDefault="002E4868"/>
    <w:p w14:paraId="332EE141" w14:textId="77777777" w:rsidR="002E4868" w:rsidRDefault="002E4868"/>
    <w:p w14:paraId="75E84BFC" w14:textId="77777777" w:rsidR="002E4868" w:rsidRDefault="002E4868"/>
    <w:p w14:paraId="0BD8A250" w14:textId="77777777" w:rsidR="002E4868" w:rsidRDefault="002E4868"/>
    <w:p w14:paraId="38B3D8C1" w14:textId="77777777" w:rsidR="002E4868" w:rsidRDefault="002E4868"/>
    <w:p w14:paraId="1D3AAE7E" w14:textId="77777777" w:rsidR="002E4868" w:rsidRDefault="002E4868"/>
    <w:p w14:paraId="3E66DA37" w14:textId="77777777" w:rsidR="002E4868" w:rsidRDefault="002E4868"/>
    <w:p w14:paraId="4526D356" w14:textId="77777777" w:rsidR="002E4868" w:rsidRDefault="002E4868"/>
    <w:p w14:paraId="29CB3382" w14:textId="77777777" w:rsidR="002E4868" w:rsidRDefault="002E4868"/>
    <w:p w14:paraId="220F27FC" w14:textId="77777777" w:rsidR="002E4868" w:rsidRDefault="002E4868"/>
    <w:p w14:paraId="05131FF0" w14:textId="75C2461F" w:rsidR="002E4868" w:rsidRDefault="002E4868">
      <w:r>
        <w:rPr>
          <w:noProof/>
          <w14:ligatures w14:val="standardContextual"/>
        </w:rPr>
        <w:drawing>
          <wp:inline distT="0" distB="0" distL="0" distR="0" wp14:anchorId="390918A3" wp14:editId="4A8066B7">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5"/>
                    <a:stretch>
                      <a:fillRect/>
                    </a:stretch>
                  </pic:blipFill>
                  <pic:spPr>
                    <a:xfrm>
                      <a:off x="0" y="0"/>
                      <a:ext cx="5943600" cy="3962400"/>
                    </a:xfrm>
                    <a:prstGeom prst="rect">
                      <a:avLst/>
                    </a:prstGeom>
                  </pic:spPr>
                </pic:pic>
              </a:graphicData>
            </a:graphic>
          </wp:inline>
        </w:drawing>
      </w:r>
    </w:p>
    <w:p w14:paraId="6D3903FC" w14:textId="77777777" w:rsidR="002E4868" w:rsidRDefault="002E4868"/>
    <w:p w14:paraId="16EC3E86" w14:textId="77777777" w:rsidR="002E4868" w:rsidRDefault="002E4868"/>
    <w:p w14:paraId="2B2A2F4F" w14:textId="77777777" w:rsidR="002E4868" w:rsidRDefault="002E4868"/>
    <w:p w14:paraId="3ACCA64B" w14:textId="253E4B00" w:rsidR="00797A66" w:rsidRDefault="002E4868" w:rsidP="00797A66">
      <w:r w:rsidRPr="00F86AC3">
        <w:rPr>
          <w:b/>
          <w:bCs/>
        </w:rPr>
        <w:t xml:space="preserve">Figure </w:t>
      </w:r>
      <w:r w:rsidR="00BB0775">
        <w:rPr>
          <w:b/>
          <w:bCs/>
        </w:rPr>
        <w:t>2S</w:t>
      </w:r>
      <w:r w:rsidRPr="00F86AC3">
        <w:rPr>
          <w:b/>
          <w:bCs/>
        </w:rPr>
        <w:t>:</w:t>
      </w:r>
      <w:r>
        <w:rPr>
          <w:b/>
          <w:bCs/>
        </w:rPr>
        <w:t xml:space="preserve"> </w:t>
      </w:r>
      <w:r>
        <w:t>Model comparison results assessing whether adding</w:t>
      </w:r>
      <w:r w:rsidR="00FE7F2E">
        <w:t xml:space="preserve"> an interaction between</w:t>
      </w:r>
      <w:r>
        <w:t xml:space="preserve"> temperature</w:t>
      </w:r>
      <w:r w:rsidR="00FE7F2E">
        <w:t xml:space="preserve"> and neopterin to the temperature model (model with base predictors plus temperature)</w:t>
      </w:r>
      <w:r>
        <w:t xml:space="preserve"> improves the explanation of community-level taxonomic and metabolic diversity. Panels </w:t>
      </w:r>
      <w:r w:rsidRPr="00F86AC3">
        <w:rPr>
          <w:b/>
          <w:bCs/>
        </w:rPr>
        <w:t>A</w:t>
      </w:r>
      <w:r>
        <w:t xml:space="preserve"> and </w:t>
      </w:r>
      <w:r w:rsidRPr="00F86AC3">
        <w:rPr>
          <w:b/>
          <w:bCs/>
        </w:rPr>
        <w:t>C</w:t>
      </w:r>
      <w:r>
        <w:t xml:space="preserve"> show the coefficients of the </w:t>
      </w:r>
      <w:r w:rsidR="00797A66">
        <w:t xml:space="preserve">interaction effect </w:t>
      </w:r>
      <w:r>
        <w:t xml:space="preserve">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w:t>
      </w:r>
      <w:r w:rsidR="00797A66">
        <w:t>temperature</w:t>
      </w:r>
      <w:r>
        <w:t xml:space="preserve"> model (in green) to the </w:t>
      </w:r>
      <w:r w:rsidR="00797A66">
        <w:t>interaction</w:t>
      </w:r>
      <w:r>
        <w:t xml:space="preserve"> model (in yellow). The weights of the </w:t>
      </w:r>
      <w:r w:rsidR="00797A66">
        <w:t>temperature</w:t>
      </w:r>
      <w:r>
        <w:t xml:space="preserve"> model plus the </w:t>
      </w:r>
      <w:r w:rsidR="00797A66">
        <w:t xml:space="preserve">interaction </w:t>
      </w:r>
      <w:r>
        <w:t xml:space="preserve">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w:t>
      </w:r>
      <w:r w:rsidR="00797A66">
        <w:t>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07434577" w14:textId="77777777" w:rsidR="00797A66" w:rsidRDefault="00797A66" w:rsidP="002E4868"/>
    <w:p w14:paraId="3831A8EF" w14:textId="77777777" w:rsidR="0013097D" w:rsidRDefault="0013097D" w:rsidP="002E4868"/>
    <w:p w14:paraId="5637485E" w14:textId="77777777" w:rsidR="0013097D" w:rsidRDefault="0013097D" w:rsidP="002E4868"/>
    <w:p w14:paraId="2DD12D67" w14:textId="77777777" w:rsidR="0013097D" w:rsidRDefault="0013097D" w:rsidP="002E4868"/>
    <w:p w14:paraId="1DFC99F1" w14:textId="7EAA6A72" w:rsidR="0013097D" w:rsidRDefault="0013097D" w:rsidP="002E4868">
      <w:r w:rsidRPr="000F7471">
        <w:rPr>
          <w:noProof/>
        </w:rPr>
        <w:drawing>
          <wp:anchor distT="0" distB="0" distL="114300" distR="114300" simplePos="0" relativeHeight="251666432" behindDoc="0" locked="0" layoutInCell="1" allowOverlap="1" wp14:anchorId="6AC28495" wp14:editId="7A367812">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6"/>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290C1F3C" w14:textId="4B90EFC2" w:rsidR="002E4868" w:rsidRDefault="0013097D">
      <w:r w:rsidRPr="00B50231">
        <w:rPr>
          <w:b/>
          <w:bCs/>
        </w:rPr>
        <w:t xml:space="preserve">Fig </w:t>
      </w:r>
      <w:r>
        <w:rPr>
          <w:b/>
          <w:bCs/>
        </w:rPr>
        <w:t>3</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E493B39" w14:textId="6D4C6696" w:rsidR="0013097D" w:rsidRDefault="0013097D">
      <w:r>
        <w:rPr>
          <w:noProof/>
        </w:rPr>
        <w:drawing>
          <wp:anchor distT="0" distB="0" distL="114300" distR="114300" simplePos="0" relativeHeight="251668480" behindDoc="0" locked="0" layoutInCell="1" allowOverlap="1" wp14:anchorId="3E08B16D" wp14:editId="49629839">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7"/>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27088014" w14:textId="59B12B8D" w:rsidR="0013097D" w:rsidRPr="00CE235A" w:rsidRDefault="0013097D" w:rsidP="0013097D">
      <w:r w:rsidRPr="00B50231">
        <w:rPr>
          <w:b/>
          <w:bCs/>
        </w:rPr>
        <w:t xml:space="preserve">Fig </w:t>
      </w:r>
      <w:r>
        <w:rPr>
          <w:b/>
          <w:bCs/>
        </w:rPr>
        <w:t>4</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76B74E1D" w14:textId="3517CE26" w:rsidR="0013097D" w:rsidRDefault="0013097D"/>
    <w:p w14:paraId="25872B50" w14:textId="77777777" w:rsidR="0013097D" w:rsidRDefault="0013097D"/>
    <w:p w14:paraId="77733C33" w14:textId="77777777" w:rsidR="0013097D" w:rsidRDefault="0013097D"/>
    <w:p w14:paraId="1F768DC2" w14:textId="77777777" w:rsidR="0013097D" w:rsidRDefault="0013097D"/>
    <w:p w14:paraId="78FFDD6D" w14:textId="77777777" w:rsidR="0013097D" w:rsidRDefault="0013097D"/>
    <w:p w14:paraId="7E00313A" w14:textId="6DF17E62" w:rsidR="00D04DB3" w:rsidRDefault="0013097D" w:rsidP="0013097D">
      <w:r w:rsidRPr="00B50231">
        <w:rPr>
          <w:noProof/>
          <w:sz w:val="32"/>
          <w:szCs w:val="32"/>
        </w:rPr>
        <w:lastRenderedPageBreak/>
        <w:drawing>
          <wp:anchor distT="0" distB="0" distL="114300" distR="114300" simplePos="0" relativeHeight="251670528" behindDoc="0" locked="0" layoutInCell="1" allowOverlap="1" wp14:anchorId="4DEDDAC9" wp14:editId="32699C1B">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8"/>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sidR="00D04DB3">
        <w:rPr>
          <w:b/>
          <w:bCs/>
        </w:rPr>
        <w:t>5</w:t>
      </w:r>
      <w:r w:rsidRPr="00B50231">
        <w:rPr>
          <w:b/>
          <w:bCs/>
        </w:rPr>
        <w:t>S:</w:t>
      </w:r>
      <w:r>
        <w:t xml:space="preserve"> </w:t>
      </w:r>
      <w:r w:rsidRPr="00B50231">
        <w:t xml:space="preserve">Visualization of the eigenvalues for each principal component in descending order. Principal components 1 through </w:t>
      </w:r>
      <w:r w:rsidR="00D04DB3">
        <w:t xml:space="preserve">3 </w:t>
      </w:r>
      <w:r w:rsidRPr="00B50231">
        <w:t>were used for analysis</w:t>
      </w:r>
      <w:r w:rsidR="00D04DB3">
        <w:t xml:space="preserve"> because they explain &gt;5% of the variation. </w:t>
      </w:r>
    </w:p>
    <w:p w14:paraId="4C9A8947" w14:textId="77777777" w:rsidR="00D04DB3" w:rsidRDefault="00D04DB3" w:rsidP="0013097D"/>
    <w:p w14:paraId="1A39C7BE" w14:textId="374BCBE6" w:rsidR="0013097D" w:rsidRDefault="0013097D"/>
    <w:sectPr w:rsidR="0013097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5-31T09:32:00Z" w:initials="JL">
    <w:p w14:paraId="242FCD2E" w14:textId="77777777" w:rsidR="007D7046" w:rsidRDefault="003F5E3D" w:rsidP="007D7046">
      <w:r>
        <w:rPr>
          <w:rStyle w:val="CommentReference"/>
        </w:rPr>
        <w:annotationRef/>
      </w:r>
      <w:r w:rsidR="007D7046">
        <w:rPr>
          <w:sz w:val="20"/>
          <w:szCs w:val="20"/>
        </w:rPr>
        <w:t xml:space="preserve">This is the part of the title I’m worried about stretching too far “response to temperature” can we claim it is a response if the modeling isn’t directional? We’ll need to stick with the “related to immunity” phrasing.  </w:t>
      </w:r>
    </w:p>
  </w:comment>
  <w:comment w:id="1" w:author="Lucore, Jordan" w:date="2025-06-01T15:51:00Z" w:initials="JL">
    <w:p w14:paraId="4C845FD0" w14:textId="77777777" w:rsidR="00C47F59" w:rsidRDefault="00C47F59" w:rsidP="00C47F59">
      <w:r>
        <w:rPr>
          <w:rStyle w:val="CommentReference"/>
        </w:rPr>
        <w:annotationRef/>
      </w:r>
      <w:r>
        <w:rPr>
          <w:color w:val="000000"/>
          <w:sz w:val="20"/>
          <w:szCs w:val="20"/>
        </w:rPr>
        <w:t>A more conservative title would be Gut microbiome relationship with temperature is associated with host immunity in a wild primate</w:t>
      </w:r>
    </w:p>
  </w:comment>
  <w:comment w:id="2" w:author="Lucore, Jordan" w:date="2025-06-01T15:53:00Z" w:initials="JL">
    <w:p w14:paraId="5B30FC5F" w14:textId="77777777" w:rsidR="00ED553A" w:rsidRDefault="00C47F59" w:rsidP="00ED553A">
      <w:r>
        <w:rPr>
          <w:rStyle w:val="CommentReference"/>
        </w:rPr>
        <w:annotationRef/>
      </w:r>
      <w:r w:rsidR="00ED553A">
        <w:rPr>
          <w:sz w:val="20"/>
          <w:szCs w:val="20"/>
        </w:rPr>
        <w:t>You’ll see this throughout where I say “host immunity” but I’m wondering if it is unnecessarily redundant because microbes don’t have their own immune system so “immunity” automatically refers to the host…. but I do wonder if it helps with readibility to keep host</w:t>
      </w:r>
    </w:p>
  </w:comment>
  <w:comment w:id="3" w:author="Lucore, Jordan" w:date="2025-06-01T19:52:00Z" w:initials="JL">
    <w:p w14:paraId="5B275A8D" w14:textId="753635C9" w:rsidR="00730ECF" w:rsidRDefault="00730ECF" w:rsidP="00730ECF">
      <w:r>
        <w:rPr>
          <w:rStyle w:val="CommentReference"/>
        </w:rPr>
        <w:annotationRef/>
      </w:r>
      <w:r>
        <w:rPr>
          <w:color w:val="000000"/>
          <w:sz w:val="20"/>
          <w:szCs w:val="20"/>
        </w:rPr>
        <w:t>I just threw everyone in here but order is tbd</w:t>
      </w:r>
    </w:p>
  </w:comment>
  <w:comment w:id="4" w:author="Lucore, Jordan" w:date="2025-05-31T09:30:00Z" w:initials="JL">
    <w:p w14:paraId="405FC7F5" w14:textId="200604F8" w:rsidR="003F5E3D" w:rsidRDefault="003F5E3D" w:rsidP="003F5E3D">
      <w:r>
        <w:rPr>
          <w:rStyle w:val="CommentReference"/>
        </w:rPr>
        <w:annotationRef/>
      </w:r>
      <w:r>
        <w:rPr>
          <w:color w:val="000000"/>
          <w:sz w:val="20"/>
          <w:szCs w:val="20"/>
        </w:rPr>
        <w:t xml:space="preserve">There are two main questions that would be helpful for the intro:  1. does it emphasize the novelty and big picture enough and 2. does it set you up for success to understand the results and discussion </w:t>
      </w:r>
    </w:p>
  </w:comment>
  <w:comment w:id="5" w:author="Lucore, Jordan" w:date="2025-06-02T07:56:00Z" w:initials="JL">
    <w:p w14:paraId="48FC4E76" w14:textId="6ABAE571" w:rsidR="00ED553A" w:rsidRDefault="00B47D94" w:rsidP="00ED553A">
      <w:r>
        <w:rPr>
          <w:rStyle w:val="CommentReference"/>
        </w:rPr>
        <w:annotationRef/>
      </w:r>
      <w:r w:rsidR="00ED553A">
        <w:rPr>
          <w:sz w:val="20"/>
          <w:szCs w:val="20"/>
        </w:rPr>
        <w:t>Also, the citations unfortunately aren’t done throughout the draft but you will see () where I plan to add them</w:t>
      </w:r>
    </w:p>
  </w:comment>
  <w:comment w:id="6" w:author="Lucore, Jordan" w:date="2025-06-01T12:13:00Z" w:initials="JL">
    <w:p w14:paraId="5F480A40" w14:textId="4511762D" w:rsidR="007D7046" w:rsidRDefault="007D7046" w:rsidP="007D7046">
      <w:r>
        <w:rPr>
          <w:rStyle w:val="CommentReference"/>
        </w:rPr>
        <w:annotationRef/>
      </w:r>
      <w:r>
        <w:rPr>
          <w:color w:val="000000"/>
          <w:sz w:val="20"/>
          <w:szCs w:val="20"/>
        </w:rPr>
        <w:t>Would it be weird to cite the diagram in the intro? It would probably need to stand alone if so because it’s combined with figure 3 right now</w:t>
      </w:r>
    </w:p>
  </w:comment>
  <w:comment w:id="7" w:author="Lucore, Jordan" w:date="2025-06-01T12:15:00Z" w:initials="JL">
    <w:p w14:paraId="30A127F9" w14:textId="77777777" w:rsidR="007D7046" w:rsidRDefault="007D7046" w:rsidP="007D7046">
      <w:r>
        <w:rPr>
          <w:rStyle w:val="CommentReference"/>
        </w:rPr>
        <w:annotationRef/>
      </w:r>
      <w:r>
        <w:rPr>
          <w:color w:val="000000"/>
          <w:sz w:val="20"/>
          <w:szCs w:val="20"/>
        </w:rPr>
        <w:t>I’m frustrated that this is the first place where I say what we are doing but I tried to fit it in earlier and I felt like it broke up the flow of the background info</w:t>
      </w:r>
    </w:p>
  </w:comment>
  <w:comment w:id="8" w:author="Lucore, Jordan" w:date="2025-06-01T18:51:00Z" w:initials="JL">
    <w:p w14:paraId="27112A4C" w14:textId="77777777" w:rsidR="003F0931" w:rsidRDefault="006B03C8" w:rsidP="003F0931">
      <w:r>
        <w:rPr>
          <w:rStyle w:val="CommentReference"/>
        </w:rPr>
        <w:annotationRef/>
      </w:r>
      <w:r w:rsidR="003F0931">
        <w:rPr>
          <w:sz w:val="20"/>
          <w:szCs w:val="20"/>
        </w:rPr>
        <w:t>I moved the methods to the end since writing this for a higher profile journal</w:t>
      </w:r>
    </w:p>
  </w:comment>
  <w:comment w:id="9" w:author="Lucore, Jordan" w:date="2025-06-01T14:22:00Z" w:initials="JL">
    <w:p w14:paraId="6B1FBA9F" w14:textId="77777777" w:rsidR="00A14DCC" w:rsidRDefault="006B4B63" w:rsidP="00A14DCC">
      <w:r>
        <w:rPr>
          <w:rStyle w:val="CommentReference"/>
        </w:rPr>
        <w:annotationRef/>
      </w:r>
      <w:r w:rsidR="00A14DCC">
        <w:rPr>
          <w:sz w:val="20"/>
          <w:szCs w:val="20"/>
        </w:rPr>
        <w:t>I know we talked about this wording a bit but is “fit” okay in this context?</w:t>
      </w:r>
    </w:p>
  </w:comment>
  <w:comment w:id="10" w:author="Lucore, Jordan" w:date="2025-06-01T16:39:00Z" w:initials="JL">
    <w:p w14:paraId="6EFD52A2" w14:textId="6E73FE0A" w:rsidR="005052A6" w:rsidRDefault="005052A6" w:rsidP="005052A6">
      <w:r>
        <w:rPr>
          <w:rStyle w:val="CommentReference"/>
        </w:rPr>
        <w:annotationRef/>
      </w:r>
      <w:r>
        <w:rPr>
          <w:color w:val="000000"/>
          <w:sz w:val="20"/>
          <w:szCs w:val="20"/>
        </w:rPr>
        <w:t>also, should this be past or present tense? I always get confused about this</w:t>
      </w:r>
    </w:p>
  </w:comment>
  <w:comment w:id="11" w:author="Lucore, Jordan" w:date="2025-06-01T16:18:00Z" w:initials="JL">
    <w:p w14:paraId="52B4B6AC" w14:textId="3E3D685D" w:rsidR="005B0D78" w:rsidRDefault="005B0D78" w:rsidP="005B0D78">
      <w:r>
        <w:rPr>
          <w:rStyle w:val="CommentReference"/>
        </w:rPr>
        <w:annotationRef/>
      </w:r>
      <w:r>
        <w:rPr>
          <w:color w:val="000000"/>
          <w:sz w:val="20"/>
          <w:szCs w:val="20"/>
        </w:rPr>
        <w:t xml:space="preserve">This is where I think I start riding the line between results and discussion… but I am trying to set you up for the discussion which will go more in depth. </w:t>
      </w:r>
    </w:p>
  </w:comment>
  <w:comment w:id="12" w:author="Lucore, Jordan" w:date="2025-06-01T16:29:00Z" w:initials="JL">
    <w:p w14:paraId="26A70EB3" w14:textId="77777777" w:rsidR="005B0D78" w:rsidRDefault="005B0D78" w:rsidP="005B0D78">
      <w:r>
        <w:rPr>
          <w:rStyle w:val="CommentReference"/>
        </w:rPr>
        <w:annotationRef/>
      </w:r>
      <w:r>
        <w:rPr>
          <w:color w:val="000000"/>
          <w:sz w:val="20"/>
          <w:szCs w:val="20"/>
        </w:rPr>
        <w:t>riding the line between results and discussion</w:t>
      </w:r>
    </w:p>
  </w:comment>
  <w:comment w:id="13" w:author="Lucore, Jordan" w:date="2025-06-01T16:52:00Z" w:initials="JL">
    <w:p w14:paraId="1D3F262C" w14:textId="35DAF71C" w:rsidR="008A1185" w:rsidRDefault="008A1185" w:rsidP="008A1185">
      <w:r>
        <w:rPr>
          <w:rStyle w:val="CommentReference"/>
        </w:rPr>
        <w:annotationRef/>
      </w:r>
      <w:r>
        <w:rPr>
          <w:color w:val="000000"/>
          <w:sz w:val="20"/>
          <w:szCs w:val="20"/>
        </w:rPr>
        <w:t>You can see here that I try to list examples of specific pathways shown in the figure without naming each specific one. This sacrifices total transparency of the results for the narrative… but I think it is okay because the pathway names are listed on the figure</w:t>
      </w:r>
    </w:p>
  </w:comment>
  <w:comment w:id="14" w:author="Lucore, Jordan" w:date="2025-06-01T16:50:00Z" w:initials="JL">
    <w:p w14:paraId="223041C5" w14:textId="77777777" w:rsidR="00A14DCC" w:rsidRDefault="008A1185" w:rsidP="00A14DCC">
      <w:r>
        <w:rPr>
          <w:rStyle w:val="CommentReference"/>
        </w:rPr>
        <w:annotationRef/>
      </w:r>
      <w:r w:rsidR="00A14DCC">
        <w:rPr>
          <w:sz w:val="20"/>
          <w:szCs w:val="20"/>
        </w:rPr>
        <w:t>statements like this I worry ride the line between discussion and results but without them I’m just listing things you can clearly see in the figure</w:t>
      </w:r>
    </w:p>
  </w:comment>
  <w:comment w:id="15" w:author="Lucore, Jordan" w:date="2025-06-01T16:53:00Z" w:initials="JL">
    <w:p w14:paraId="0A0D6DCD" w14:textId="3EFAF2D8" w:rsidR="008A1185" w:rsidRDefault="008A1185" w:rsidP="008A1185">
      <w:r>
        <w:rPr>
          <w:rStyle w:val="CommentReference"/>
        </w:rPr>
        <w:annotationRef/>
      </w:r>
      <w:r>
        <w:rPr>
          <w:color w:val="000000"/>
          <w:sz w:val="20"/>
          <w:szCs w:val="20"/>
        </w:rPr>
        <w:t>this is where the citations get tricky… these don’t list the exact pathway names but they explain why lipid synthesis and remodeling is important for membrane stability and how it relates to heat</w:t>
      </w:r>
    </w:p>
  </w:comment>
  <w:comment w:id="16" w:author="Lucore, Jordan" w:date="2025-06-01T17:40:00Z" w:initials="JL">
    <w:p w14:paraId="50287827" w14:textId="77777777" w:rsidR="000318C6" w:rsidRDefault="000318C6" w:rsidP="000318C6">
      <w:r>
        <w:rPr>
          <w:rStyle w:val="CommentReference"/>
        </w:rPr>
        <w:annotationRef/>
      </w:r>
      <w:r>
        <w:rPr>
          <w:color w:val="000000"/>
          <w:sz w:val="20"/>
          <w:szCs w:val="20"/>
        </w:rPr>
        <w:t xml:space="preserve">appropriate for results? you’ll see a lot of this in the next two paragraphs. </w:t>
      </w:r>
    </w:p>
  </w:comment>
  <w:comment w:id="17" w:author="Lucore, Jordan" w:date="2025-06-01T17:42:00Z" w:initials="JL">
    <w:p w14:paraId="5C877C9A" w14:textId="77777777" w:rsidR="000318C6" w:rsidRDefault="000318C6" w:rsidP="000318C6">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18" w:author="Lucore, Jordan" w:date="2025-06-01T17:44:00Z" w:initials="JL">
    <w:p w14:paraId="19632953" w14:textId="77777777" w:rsidR="000318C6" w:rsidRDefault="000318C6" w:rsidP="000318C6">
      <w:r>
        <w:rPr>
          <w:rStyle w:val="CommentReference"/>
        </w:rPr>
        <w:annotationRef/>
      </w:r>
      <w:r>
        <w:rPr>
          <w:color w:val="000000"/>
          <w:sz w:val="20"/>
          <w:szCs w:val="20"/>
        </w:rPr>
        <w:t xml:space="preserve">I made a choice not to go into the specific taxa/pathways in this section which is different from the previous section. Not sure if this inconsistency is strange? </w:t>
      </w:r>
    </w:p>
  </w:comment>
  <w:comment w:id="19" w:author="Lucore, Jordan" w:date="2025-06-01T18:06:00Z" w:initials="JL">
    <w:p w14:paraId="4717D7EA" w14:textId="77777777" w:rsidR="006B0E89" w:rsidRDefault="006B0E89" w:rsidP="006B0E89">
      <w:r>
        <w:rPr>
          <w:rStyle w:val="CommentReference"/>
        </w:rPr>
        <w:annotationRef/>
      </w:r>
      <w:r>
        <w:rPr>
          <w:color w:val="000000"/>
          <w:sz w:val="20"/>
          <w:szCs w:val="20"/>
        </w:rPr>
        <w:t>so in the results the heading is “gut microbiome is related to temperautre” but here I’m making it causal because it’s the discussion… might be stretching it too far</w:t>
      </w:r>
    </w:p>
  </w:comment>
  <w:comment w:id="20" w:author="Lucore, Jordan" w:date="2025-06-03T19:47:00Z" w:initials="JL">
    <w:p w14:paraId="29CC7AAB" w14:textId="77777777" w:rsidR="008D69D1" w:rsidRDefault="008D69D1" w:rsidP="008D69D1">
      <w:r>
        <w:rPr>
          <w:rStyle w:val="CommentReference"/>
        </w:rPr>
        <w:annotationRef/>
      </w:r>
      <w:r>
        <w:rPr>
          <w:color w:val="000000"/>
          <w:sz w:val="20"/>
          <w:szCs w:val="20"/>
        </w:rPr>
        <w:t>also, this first part of the discussion is the most fleshed out and is probably ready for more edits compared to the second subheading</w:t>
      </w:r>
    </w:p>
  </w:comment>
  <w:comment w:id="21" w:author="Lucore, Jordan" w:date="2025-06-01T19:33:00Z" w:initials="JL">
    <w:p w14:paraId="5862E2FF" w14:textId="528ED209" w:rsidR="000A55AD" w:rsidRDefault="000A55AD" w:rsidP="000A55AD">
      <w:r>
        <w:rPr>
          <w:rStyle w:val="CommentReference"/>
        </w:rPr>
        <w:annotationRef/>
      </w:r>
      <w:r>
        <w:rPr>
          <w:color w:val="000000"/>
          <w:sz w:val="20"/>
          <w:szCs w:val="20"/>
        </w:rPr>
        <w:t>So since I took a more interpret-y approach to the results, this is pretty repetitive to what I already explained in the results section. Maybe that’s not a bad thing though?</w:t>
      </w:r>
    </w:p>
  </w:comment>
  <w:comment w:id="22" w:author="Lucore, Jordan" w:date="2025-06-02T06:52:00Z" w:initials="JL">
    <w:p w14:paraId="7690B7A6" w14:textId="77777777" w:rsidR="004D0CA0" w:rsidRDefault="004D0CA0" w:rsidP="004D0CA0">
      <w:r>
        <w:rPr>
          <w:rStyle w:val="CommentReference"/>
        </w:rPr>
        <w:annotationRef/>
      </w:r>
      <w:r>
        <w:rPr>
          <w:color w:val="000000"/>
          <w:sz w:val="20"/>
          <w:szCs w:val="20"/>
        </w:rPr>
        <w:t>Fair warning that I’m still working through some of the physiology in this section but the main points are all there</w:t>
      </w:r>
    </w:p>
  </w:comment>
  <w:comment w:id="23" w:author="Lucore, Jordan" w:date="2025-06-03T21:07:00Z" w:initials="JL">
    <w:p w14:paraId="0B7E7B8D" w14:textId="77777777" w:rsidR="00EE58DE" w:rsidRDefault="00EE58DE" w:rsidP="00EE58DE">
      <w:r>
        <w:rPr>
          <w:rStyle w:val="CommentReference"/>
        </w:rPr>
        <w:annotationRef/>
      </w:r>
      <w:r>
        <w:rPr>
          <w:color w:val="000000"/>
          <w:sz w:val="20"/>
          <w:szCs w:val="20"/>
        </w:rPr>
        <w:t>overall I think this section needs to be refined more and is probably not ready for the same level of edits as the previous section</w:t>
      </w:r>
    </w:p>
  </w:comment>
  <w:comment w:id="24" w:author="Lucore, Jordan" w:date="2025-06-05T07:41:00Z" w:initials="JL">
    <w:p w14:paraId="574CFA45" w14:textId="77777777" w:rsidR="008F79F9" w:rsidRDefault="008F79F9" w:rsidP="008F79F9">
      <w:r>
        <w:rPr>
          <w:rStyle w:val="CommentReference"/>
        </w:rPr>
        <w:annotationRef/>
      </w:r>
      <w:r>
        <w:rPr>
          <w:color w:val="000000"/>
          <w:sz w:val="20"/>
          <w:szCs w:val="20"/>
        </w:rPr>
        <w:t>Andy I haven’t edited the methods at all, I need to add all of the pathway methods and still make your edits from the previous draft you read. I’ve pasted the old methods here with your comments just in case you need to look at them</w:t>
      </w:r>
    </w:p>
  </w:comment>
  <w:comment w:id="25" w:author="Lucore, Jordan" w:date="2025-06-05T08:07:00Z" w:initials="JL">
    <w:p w14:paraId="20F7FB43" w14:textId="77777777" w:rsidR="00D70FAD" w:rsidRDefault="00D70FAD" w:rsidP="00D70FAD">
      <w:r>
        <w:rPr>
          <w:rStyle w:val="CommentReference"/>
        </w:rPr>
        <w:annotationRef/>
      </w:r>
      <w:r>
        <w:rPr>
          <w:color w:val="000000"/>
          <w:sz w:val="20"/>
          <w:szCs w:val="20"/>
        </w:rPr>
        <w:t xml:space="preserve">I also need to make the supplementary figure with the flow chart for the analysis </w:t>
      </w:r>
    </w:p>
  </w:comment>
  <w:comment w:id="26" w:author="Marshall, Andrew" w:date="2025-04-22T16:06:00Z" w:initials="AM">
    <w:p w14:paraId="13C96C9B" w14:textId="2281A87F" w:rsidR="00A57FBF" w:rsidRDefault="00A57FBF" w:rsidP="00A57FBF">
      <w:r>
        <w:rPr>
          <w:rStyle w:val="CommentReference"/>
        </w:rPr>
        <w:annotationRef/>
      </w:r>
      <w:r>
        <w:rPr>
          <w:color w:val="000000"/>
          <w:sz w:val="20"/>
          <w:szCs w:val="20"/>
        </w:rPr>
        <w:t>This is almost exclusively in passive voice. I’d stick to active as much as possible, unless specifically directed by a journal’s style to do otherwise</w:t>
      </w:r>
    </w:p>
  </w:comment>
  <w:comment w:id="27" w:author="Lucore, Jordan" w:date="2025-06-05T07:26:00Z" w:initials="JL">
    <w:p w14:paraId="6EA799B9" w14:textId="77777777" w:rsidR="00BF7B11" w:rsidRDefault="00BF7B11" w:rsidP="00BF7B11">
      <w:r>
        <w:rPr>
          <w:rStyle w:val="CommentReference"/>
        </w:rPr>
        <w:annotationRef/>
      </w:r>
      <w:r>
        <w:rPr>
          <w:color w:val="000000"/>
          <w:sz w:val="20"/>
          <w:szCs w:val="20"/>
        </w:rPr>
        <w:t>will add shotgun methods to this section</w:t>
      </w:r>
    </w:p>
  </w:comment>
  <w:comment w:id="28" w:author="Marshall, Andrew" w:date="2025-04-22T16:10:00Z" w:initials="AM">
    <w:p w14:paraId="5FF639CC" w14:textId="208DF067" w:rsidR="00A57FBF" w:rsidRDefault="00A57FBF" w:rsidP="00A57FBF">
      <w:r>
        <w:rPr>
          <w:rStyle w:val="CommentReference"/>
        </w:rPr>
        <w:annotationRef/>
      </w:r>
      <w:r>
        <w:rPr>
          <w:color w:val="000000"/>
          <w:sz w:val="20"/>
          <w:szCs w:val="20"/>
        </w:rPr>
        <w:t>This is the second singular “data”, I prefer plural, but if you have a strong preference for singular I’ll go along– begrudgingly :)</w:t>
      </w:r>
    </w:p>
  </w:comment>
  <w:comment w:id="29" w:author="Marshall, Andrew" w:date="2025-04-22T16:20:00Z" w:initials="AM">
    <w:p w14:paraId="44BD0FA7" w14:textId="77777777" w:rsidR="00A57FBF" w:rsidRDefault="00A57FBF" w:rsidP="00A57FBF">
      <w:r>
        <w:rPr>
          <w:rStyle w:val="CommentReference"/>
        </w:rPr>
        <w:annotationRef/>
      </w:r>
      <w:r>
        <w:rPr>
          <w:color w:val="000000"/>
          <w:sz w:val="20"/>
          <w:szCs w:val="20"/>
        </w:rPr>
        <w:t>This seems like a sleight of hand. Are they actually less sensitive, or are the logged numbers just smaller so they look less? I am probably wrong about this, but this kind of thing often raises red flags for me</w:t>
      </w:r>
    </w:p>
  </w:comment>
  <w:comment w:id="30" w:author="Lucore, Jordan" w:date="2025-04-23T10:39:00Z" w:initials="JL">
    <w:p w14:paraId="240E43ED" w14:textId="77777777" w:rsidR="00BF7B11" w:rsidRDefault="00A57FBF" w:rsidP="00BF7B11">
      <w:r>
        <w:rPr>
          <w:rStyle w:val="CommentReference"/>
        </w:rPr>
        <w:annotationRef/>
      </w:r>
      <w:r w:rsidR="00BF7B11">
        <w:rPr>
          <w:sz w:val="20"/>
          <w:szCs w:val="20"/>
        </w:rPr>
        <w:t>working on this edit</w:t>
      </w:r>
    </w:p>
  </w:comment>
  <w:comment w:id="31" w:author="Marshall, Andrew" w:date="2025-04-22T16:24:00Z" w:initials="AM">
    <w:p w14:paraId="79D742F6" w14:textId="77777777" w:rsidR="00A57FBF" w:rsidRDefault="00A57FBF" w:rsidP="00A57FBF">
      <w:r>
        <w:rPr>
          <w:rStyle w:val="CommentReference"/>
        </w:rPr>
        <w:annotationRef/>
      </w:r>
      <w:r>
        <w:rPr>
          <w:color w:val="000000"/>
          <w:sz w:val="20"/>
          <w:szCs w:val="20"/>
        </w:rPr>
        <w:t>A strong statement! I’m not sure I would put it quite like this</w:t>
      </w:r>
    </w:p>
  </w:comment>
  <w:comment w:id="32" w:author="Lucore, Jordan" w:date="2025-05-16T12:49:00Z" w:initials="JL">
    <w:p w14:paraId="35385FE4" w14:textId="77777777" w:rsidR="00A57FBF" w:rsidRDefault="00A57FBF" w:rsidP="00A57FBF">
      <w:r>
        <w:rPr>
          <w:rStyle w:val="CommentReference"/>
        </w:rPr>
        <w:annotationRef/>
      </w:r>
      <w:r>
        <w:rPr>
          <w:color w:val="000000"/>
          <w:sz w:val="20"/>
          <w:szCs w:val="20"/>
        </w:rPr>
        <w:t xml:space="preserve">the wording is too critical, less confrontational wording </w:t>
      </w:r>
    </w:p>
  </w:comment>
  <w:comment w:id="33" w:author="Lucore, Jordan" w:date="2025-05-16T12:50:00Z" w:initials="JL">
    <w:p w14:paraId="4EC38FAF" w14:textId="77777777" w:rsidR="00A57FBF" w:rsidRDefault="00A57FBF" w:rsidP="00A57FBF">
      <w:r>
        <w:rPr>
          <w:rStyle w:val="CommentReference"/>
        </w:rPr>
        <w:annotationRef/>
      </w:r>
      <w:r>
        <w:rPr>
          <w:color w:val="000000"/>
          <w:sz w:val="20"/>
          <w:szCs w:val="20"/>
        </w:rPr>
        <w:t xml:space="preserve">don’t need to make strong claims about that </w:t>
      </w:r>
    </w:p>
  </w:comment>
  <w:comment w:id="34" w:author="Lucore, Jordan" w:date="2025-06-05T07:27:00Z" w:initials="JL">
    <w:p w14:paraId="73636967" w14:textId="77777777" w:rsidR="00BF7B11" w:rsidRDefault="00BF7B11" w:rsidP="00BF7B11">
      <w:r>
        <w:rPr>
          <w:rStyle w:val="CommentReference"/>
        </w:rPr>
        <w:annotationRef/>
      </w:r>
      <w:r>
        <w:rPr>
          <w:color w:val="000000"/>
          <w:sz w:val="20"/>
          <w:szCs w:val="20"/>
        </w:rPr>
        <w:t>working on this edit</w:t>
      </w:r>
    </w:p>
  </w:comment>
  <w:comment w:id="35" w:author="Marshall, Andrew" w:date="2025-04-22T16:25:00Z" w:initials="AM">
    <w:p w14:paraId="3F6C0EF5" w14:textId="6E16710B" w:rsidR="00A57FBF" w:rsidRDefault="00A57FBF" w:rsidP="00A57FBF">
      <w:r>
        <w:rPr>
          <w:rStyle w:val="CommentReference"/>
        </w:rPr>
        <w:annotationRef/>
      </w:r>
      <w:r>
        <w:rPr>
          <w:color w:val="000000"/>
          <w:sz w:val="20"/>
          <w:szCs w:val="20"/>
        </w:rPr>
        <w:t>reword</w:t>
      </w:r>
    </w:p>
  </w:comment>
  <w:comment w:id="36" w:author="Lucore, Jordan" w:date="2025-04-23T10:42:00Z" w:initials="JL">
    <w:p w14:paraId="2F869370" w14:textId="77777777" w:rsidR="00A57FBF" w:rsidRDefault="00A57FBF" w:rsidP="00A57FBF">
      <w:r>
        <w:rPr>
          <w:rStyle w:val="CommentReference"/>
        </w:rPr>
        <w:annotationRef/>
      </w:r>
      <w:r>
        <w:rPr>
          <w:color w:val="000000"/>
          <w:sz w:val="20"/>
          <w:szCs w:val="20"/>
        </w:rPr>
        <w:t>whats wrong with this wording</w:t>
      </w:r>
    </w:p>
  </w:comment>
  <w:comment w:id="37" w:author="Lucore, Jordan" w:date="2025-05-16T12:54:00Z" w:initials="JL">
    <w:p w14:paraId="58D2FFA3" w14:textId="77777777" w:rsidR="00A57FBF" w:rsidRDefault="00A57FBF" w:rsidP="00A57FBF">
      <w:r>
        <w:rPr>
          <w:rStyle w:val="CommentReference"/>
        </w:rPr>
        <w:annotationRef/>
      </w:r>
      <w:r>
        <w:rPr>
          <w:color w:val="000000"/>
          <w:sz w:val="20"/>
          <w:szCs w:val="20"/>
        </w:rPr>
        <w:t>grammatical</w:t>
      </w:r>
    </w:p>
  </w:comment>
  <w:comment w:id="38" w:author="Marshall, Andrew" w:date="2025-04-22T16:28:00Z" w:initials="AM">
    <w:p w14:paraId="6CA98878" w14:textId="77777777" w:rsidR="00A57FBF" w:rsidRDefault="00A57FBF" w:rsidP="00A57FBF">
      <w:r>
        <w:rPr>
          <w:rStyle w:val="CommentReference"/>
        </w:rPr>
        <w:annotationRef/>
      </w:r>
      <w:r>
        <w:rPr>
          <w:color w:val="000000"/>
          <w:sz w:val="20"/>
          <w:szCs w:val="20"/>
        </w:rPr>
        <w:t>As you did above, state how this modeled (e.g., random intercept, random slope)</w:t>
      </w:r>
    </w:p>
  </w:comment>
  <w:comment w:id="39" w:author="Marshall, Andrew" w:date="2025-04-22T16:29:00Z" w:initials="AM">
    <w:p w14:paraId="3EE55A35" w14:textId="77777777" w:rsidR="00A57FBF" w:rsidRDefault="00A57FBF" w:rsidP="00A57FBF">
      <w:r>
        <w:rPr>
          <w:rStyle w:val="CommentReference"/>
        </w:rPr>
        <w:annotationRef/>
      </w:r>
      <w:r>
        <w:rPr>
          <w:color w:val="000000"/>
          <w:sz w:val="20"/>
          <w:szCs w:val="20"/>
        </w:rPr>
        <w:t>“taxon” for singular, “taxa” for plural. (cf genus / genera)</w:t>
      </w:r>
    </w:p>
  </w:comment>
  <w:comment w:id="40" w:author="Lucore, Jordan" w:date="2025-06-02T08:32:00Z" w:initials="JL">
    <w:p w14:paraId="07B52CE1" w14:textId="19FA735E" w:rsidR="00F03201" w:rsidRDefault="00F03201" w:rsidP="00F0320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CD2E" w15:done="0"/>
  <w15:commentEx w15:paraId="4C845FD0" w15:paraIdParent="242FCD2E" w15:done="0"/>
  <w15:commentEx w15:paraId="5B30FC5F" w15:done="0"/>
  <w15:commentEx w15:paraId="5B275A8D" w15:done="0"/>
  <w15:commentEx w15:paraId="405FC7F5" w15:done="0"/>
  <w15:commentEx w15:paraId="48FC4E76" w15:paraIdParent="405FC7F5" w15:done="0"/>
  <w15:commentEx w15:paraId="5F480A40" w15:done="0"/>
  <w15:commentEx w15:paraId="30A127F9" w15:done="0"/>
  <w15:commentEx w15:paraId="27112A4C" w15:done="0"/>
  <w15:commentEx w15:paraId="6B1FBA9F" w15:done="0"/>
  <w15:commentEx w15:paraId="6EFD52A2" w15:paraIdParent="6B1FBA9F" w15:done="0"/>
  <w15:commentEx w15:paraId="52B4B6AC" w15:done="0"/>
  <w15:commentEx w15:paraId="26A70EB3" w15:done="0"/>
  <w15:commentEx w15:paraId="1D3F262C" w15:done="0"/>
  <w15:commentEx w15:paraId="223041C5" w15:done="0"/>
  <w15:commentEx w15:paraId="0A0D6DCD" w15:done="0"/>
  <w15:commentEx w15:paraId="50287827" w15:done="0"/>
  <w15:commentEx w15:paraId="5C877C9A" w15:done="0"/>
  <w15:commentEx w15:paraId="19632953" w15:done="0"/>
  <w15:commentEx w15:paraId="4717D7EA" w15:done="0"/>
  <w15:commentEx w15:paraId="29CC7AAB" w15:paraIdParent="4717D7EA" w15:done="0"/>
  <w15:commentEx w15:paraId="5862E2FF" w15:done="0"/>
  <w15:commentEx w15:paraId="7690B7A6" w15:done="0"/>
  <w15:commentEx w15:paraId="0B7E7B8D" w15:paraIdParent="7690B7A6" w15:done="0"/>
  <w15:commentEx w15:paraId="574CFA45" w15:done="0"/>
  <w15:commentEx w15:paraId="20F7FB43" w15:paraIdParent="574CFA45" w15:done="0"/>
  <w15:commentEx w15:paraId="13C96C9B" w15:done="0"/>
  <w15:commentEx w15:paraId="6EA799B9" w15:done="0"/>
  <w15:commentEx w15:paraId="5FF639CC" w15:done="0"/>
  <w15:commentEx w15:paraId="44BD0FA7" w15:done="0"/>
  <w15:commentEx w15:paraId="240E43ED" w15:paraIdParent="44BD0FA7" w15:done="0"/>
  <w15:commentEx w15:paraId="79D742F6" w15:done="0"/>
  <w15:commentEx w15:paraId="35385FE4" w15:paraIdParent="79D742F6" w15:done="0"/>
  <w15:commentEx w15:paraId="4EC38FAF" w15:paraIdParent="35385FE4" w15:done="0"/>
  <w15:commentEx w15:paraId="73636967" w15:paraIdParent="79D742F6" w15:done="0"/>
  <w15:commentEx w15:paraId="3F6C0EF5" w15:done="0"/>
  <w15:commentEx w15:paraId="2F869370" w15:paraIdParent="3F6C0EF5" w15:done="0"/>
  <w15:commentEx w15:paraId="58D2FFA3" w15:paraIdParent="3F6C0EF5" w15:done="0"/>
  <w15:commentEx w15:paraId="6CA98878" w15:done="0"/>
  <w15:commentEx w15:paraId="3EE55A35" w15:done="0"/>
  <w15:commentEx w15:paraId="07B52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8400AE" w16cex:dateUtc="2025-05-31T13:32:00Z"/>
  <w16cex:commentExtensible w16cex:durableId="6690AF65" w16cex:dateUtc="2025-06-01T19:51:00Z"/>
  <w16cex:commentExtensible w16cex:durableId="3715FEB9" w16cex:dateUtc="2025-06-01T19:53:00Z"/>
  <w16cex:commentExtensible w16cex:durableId="443931EB" w16cex:dateUtc="2025-06-01T23:52:00Z"/>
  <w16cex:commentExtensible w16cex:durableId="4C66CE22" w16cex:dateUtc="2025-05-31T13:30:00Z"/>
  <w16cex:commentExtensible w16cex:durableId="07962B68" w16cex:dateUtc="2025-06-02T11:56:00Z"/>
  <w16cex:commentExtensible w16cex:durableId="6CC5B4F1" w16cex:dateUtc="2025-06-01T16:13:00Z"/>
  <w16cex:commentExtensible w16cex:durableId="16331755" w16cex:dateUtc="2025-06-01T16:15:00Z"/>
  <w16cex:commentExtensible w16cex:durableId="14B0BA8E" w16cex:dateUtc="2025-06-01T22:51:00Z"/>
  <w16cex:commentExtensible w16cex:durableId="0FD8360E" w16cex:dateUtc="2025-06-01T18:22:00Z"/>
  <w16cex:commentExtensible w16cex:durableId="76FCF909" w16cex:dateUtc="2025-06-01T20:39:00Z"/>
  <w16cex:commentExtensible w16cex:durableId="615BCD52" w16cex:dateUtc="2025-06-01T20:18:00Z"/>
  <w16cex:commentExtensible w16cex:durableId="34E0E23D" w16cex:dateUtc="2025-06-01T20:29:00Z"/>
  <w16cex:commentExtensible w16cex:durableId="54A1ABE5" w16cex:dateUtc="2025-06-01T20:52:00Z"/>
  <w16cex:commentExtensible w16cex:durableId="518A5CF7" w16cex:dateUtc="2025-06-01T20:50:00Z"/>
  <w16cex:commentExtensible w16cex:durableId="79D837AD" w16cex:dateUtc="2025-06-01T20:53:00Z"/>
  <w16cex:commentExtensible w16cex:durableId="4E4F2F3C" w16cex:dateUtc="2025-06-01T21:40:00Z"/>
  <w16cex:commentExtensible w16cex:durableId="345A819D" w16cex:dateUtc="2025-06-01T21:42:00Z"/>
  <w16cex:commentExtensible w16cex:durableId="677A128C" w16cex:dateUtc="2025-06-01T21:44:00Z"/>
  <w16cex:commentExtensible w16cex:durableId="225FACA3" w16cex:dateUtc="2025-06-01T22:06:00Z"/>
  <w16cex:commentExtensible w16cex:durableId="232486EA" w16cex:dateUtc="2025-06-03T23:47:00Z"/>
  <w16cex:commentExtensible w16cex:durableId="0BE149AF" w16cex:dateUtc="2025-06-01T23:33:00Z"/>
  <w16cex:commentExtensible w16cex:durableId="0B474C42" w16cex:dateUtc="2025-06-02T10:52:00Z"/>
  <w16cex:commentExtensible w16cex:durableId="3CB1182A" w16cex:dateUtc="2025-06-04T01:07:00Z"/>
  <w16cex:commentExtensible w16cex:durableId="41DE7908" w16cex:dateUtc="2025-06-05T11:41:00Z"/>
  <w16cex:commentExtensible w16cex:durableId="30CD000A" w16cex:dateUtc="2025-06-05T12:07:00Z"/>
  <w16cex:commentExtensible w16cex:durableId="33407898" w16cex:dateUtc="2025-04-22T20:06:00Z"/>
  <w16cex:commentExtensible w16cex:durableId="063B2827" w16cex:dateUtc="2025-06-05T11:26:00Z"/>
  <w16cex:commentExtensible w16cex:durableId="0219CDA0" w16cex:dateUtc="2025-04-22T20:10:00Z"/>
  <w16cex:commentExtensible w16cex:durableId="350E320D" w16cex:dateUtc="2025-04-22T20:20:00Z"/>
  <w16cex:commentExtensible w16cex:durableId="366C6834" w16cex:dateUtc="2025-04-23T14:39:00Z"/>
  <w16cex:commentExtensible w16cex:durableId="7C12D4F3" w16cex:dateUtc="2025-04-22T20:24:00Z"/>
  <w16cex:commentExtensible w16cex:durableId="3F91603C" w16cex:dateUtc="2025-05-16T16:49:00Z"/>
  <w16cex:commentExtensible w16cex:durableId="2B08306F" w16cex:dateUtc="2025-05-16T16:50:00Z"/>
  <w16cex:commentExtensible w16cex:durableId="768AAB6B" w16cex:dateUtc="2025-06-05T11:27:00Z"/>
  <w16cex:commentExtensible w16cex:durableId="27F12724" w16cex:dateUtc="2025-04-22T20:25:00Z"/>
  <w16cex:commentExtensible w16cex:durableId="2C0CFA7D" w16cex:dateUtc="2025-04-23T14:42:00Z"/>
  <w16cex:commentExtensible w16cex:durableId="2F5C8A90" w16cex:dateUtc="2025-05-16T16:54:00Z"/>
  <w16cex:commentExtensible w16cex:durableId="29876A41" w16cex:dateUtc="2025-04-22T20:28:00Z"/>
  <w16cex:commentExtensible w16cex:durableId="2CDB691D" w16cex:dateUtc="2025-04-22T20:29:00Z"/>
  <w16cex:commentExtensible w16cex:durableId="72A60159" w16cex:dateUtc="2025-06-02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CD2E" w16cid:durableId="608400AE"/>
  <w16cid:commentId w16cid:paraId="4C845FD0" w16cid:durableId="6690AF65"/>
  <w16cid:commentId w16cid:paraId="5B30FC5F" w16cid:durableId="3715FEB9"/>
  <w16cid:commentId w16cid:paraId="5B275A8D" w16cid:durableId="443931EB"/>
  <w16cid:commentId w16cid:paraId="405FC7F5" w16cid:durableId="4C66CE22"/>
  <w16cid:commentId w16cid:paraId="48FC4E76" w16cid:durableId="07962B68"/>
  <w16cid:commentId w16cid:paraId="5F480A40" w16cid:durableId="6CC5B4F1"/>
  <w16cid:commentId w16cid:paraId="30A127F9" w16cid:durableId="16331755"/>
  <w16cid:commentId w16cid:paraId="27112A4C" w16cid:durableId="14B0BA8E"/>
  <w16cid:commentId w16cid:paraId="6B1FBA9F" w16cid:durableId="0FD8360E"/>
  <w16cid:commentId w16cid:paraId="6EFD52A2" w16cid:durableId="76FCF909"/>
  <w16cid:commentId w16cid:paraId="52B4B6AC" w16cid:durableId="615BCD52"/>
  <w16cid:commentId w16cid:paraId="26A70EB3" w16cid:durableId="34E0E23D"/>
  <w16cid:commentId w16cid:paraId="1D3F262C" w16cid:durableId="54A1ABE5"/>
  <w16cid:commentId w16cid:paraId="223041C5" w16cid:durableId="518A5CF7"/>
  <w16cid:commentId w16cid:paraId="0A0D6DCD" w16cid:durableId="79D837AD"/>
  <w16cid:commentId w16cid:paraId="50287827" w16cid:durableId="4E4F2F3C"/>
  <w16cid:commentId w16cid:paraId="5C877C9A" w16cid:durableId="345A819D"/>
  <w16cid:commentId w16cid:paraId="19632953" w16cid:durableId="677A128C"/>
  <w16cid:commentId w16cid:paraId="4717D7EA" w16cid:durableId="225FACA3"/>
  <w16cid:commentId w16cid:paraId="29CC7AAB" w16cid:durableId="232486EA"/>
  <w16cid:commentId w16cid:paraId="5862E2FF" w16cid:durableId="0BE149AF"/>
  <w16cid:commentId w16cid:paraId="7690B7A6" w16cid:durableId="0B474C42"/>
  <w16cid:commentId w16cid:paraId="0B7E7B8D" w16cid:durableId="3CB1182A"/>
  <w16cid:commentId w16cid:paraId="574CFA45" w16cid:durableId="41DE7908"/>
  <w16cid:commentId w16cid:paraId="20F7FB43" w16cid:durableId="30CD000A"/>
  <w16cid:commentId w16cid:paraId="13C96C9B" w16cid:durableId="33407898"/>
  <w16cid:commentId w16cid:paraId="6EA799B9" w16cid:durableId="063B2827"/>
  <w16cid:commentId w16cid:paraId="5FF639CC" w16cid:durableId="0219CDA0"/>
  <w16cid:commentId w16cid:paraId="44BD0FA7" w16cid:durableId="350E320D"/>
  <w16cid:commentId w16cid:paraId="240E43ED" w16cid:durableId="366C6834"/>
  <w16cid:commentId w16cid:paraId="79D742F6" w16cid:durableId="7C12D4F3"/>
  <w16cid:commentId w16cid:paraId="35385FE4" w16cid:durableId="3F91603C"/>
  <w16cid:commentId w16cid:paraId="4EC38FAF" w16cid:durableId="2B08306F"/>
  <w16cid:commentId w16cid:paraId="73636967" w16cid:durableId="768AAB6B"/>
  <w16cid:commentId w16cid:paraId="3F6C0EF5" w16cid:durableId="27F12724"/>
  <w16cid:commentId w16cid:paraId="2F869370" w16cid:durableId="2C0CFA7D"/>
  <w16cid:commentId w16cid:paraId="58D2FFA3" w16cid:durableId="2F5C8A90"/>
  <w16cid:commentId w16cid:paraId="6CA98878" w16cid:durableId="29876A41"/>
  <w16cid:commentId w16cid:paraId="3EE55A35" w16cid:durableId="2CDB691D"/>
  <w16cid:commentId w16cid:paraId="07B52CE1" w16cid:durableId="72A601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52"/>
    <w:rsid w:val="0000253A"/>
    <w:rsid w:val="000318C6"/>
    <w:rsid w:val="000365B2"/>
    <w:rsid w:val="00056CFB"/>
    <w:rsid w:val="00074A66"/>
    <w:rsid w:val="00084CDE"/>
    <w:rsid w:val="000A55AD"/>
    <w:rsid w:val="000B1D63"/>
    <w:rsid w:val="000C4B47"/>
    <w:rsid w:val="000D25ED"/>
    <w:rsid w:val="000D5023"/>
    <w:rsid w:val="0013097D"/>
    <w:rsid w:val="00141665"/>
    <w:rsid w:val="001B7A29"/>
    <w:rsid w:val="00235BE1"/>
    <w:rsid w:val="002438D2"/>
    <w:rsid w:val="0026661D"/>
    <w:rsid w:val="002705B2"/>
    <w:rsid w:val="002B3FF9"/>
    <w:rsid w:val="002E2534"/>
    <w:rsid w:val="002E2E73"/>
    <w:rsid w:val="002E4868"/>
    <w:rsid w:val="002F0B1C"/>
    <w:rsid w:val="00302774"/>
    <w:rsid w:val="003041F4"/>
    <w:rsid w:val="00307354"/>
    <w:rsid w:val="00337EBD"/>
    <w:rsid w:val="003556B4"/>
    <w:rsid w:val="003563E7"/>
    <w:rsid w:val="00367C74"/>
    <w:rsid w:val="003F0931"/>
    <w:rsid w:val="003F42D0"/>
    <w:rsid w:val="003F5E3D"/>
    <w:rsid w:val="00411A24"/>
    <w:rsid w:val="0043088E"/>
    <w:rsid w:val="004577D5"/>
    <w:rsid w:val="00461B82"/>
    <w:rsid w:val="00473DBA"/>
    <w:rsid w:val="004845F6"/>
    <w:rsid w:val="004A3485"/>
    <w:rsid w:val="004D0CA0"/>
    <w:rsid w:val="004E0079"/>
    <w:rsid w:val="00502816"/>
    <w:rsid w:val="005052A6"/>
    <w:rsid w:val="005105B0"/>
    <w:rsid w:val="005551F2"/>
    <w:rsid w:val="00593C7F"/>
    <w:rsid w:val="005B0D78"/>
    <w:rsid w:val="00622318"/>
    <w:rsid w:val="00651561"/>
    <w:rsid w:val="00670FF0"/>
    <w:rsid w:val="006B03C8"/>
    <w:rsid w:val="006B0E89"/>
    <w:rsid w:val="006B4B63"/>
    <w:rsid w:val="006C5E10"/>
    <w:rsid w:val="006D5772"/>
    <w:rsid w:val="006D79F1"/>
    <w:rsid w:val="006F2D56"/>
    <w:rsid w:val="00705B64"/>
    <w:rsid w:val="00730ECF"/>
    <w:rsid w:val="00745806"/>
    <w:rsid w:val="00746114"/>
    <w:rsid w:val="00752B2B"/>
    <w:rsid w:val="0076510D"/>
    <w:rsid w:val="00765ACF"/>
    <w:rsid w:val="00797A66"/>
    <w:rsid w:val="007B0B58"/>
    <w:rsid w:val="007B1452"/>
    <w:rsid w:val="007C4D96"/>
    <w:rsid w:val="007D20C6"/>
    <w:rsid w:val="007D498D"/>
    <w:rsid w:val="007D7046"/>
    <w:rsid w:val="00813BF5"/>
    <w:rsid w:val="008631EB"/>
    <w:rsid w:val="00895406"/>
    <w:rsid w:val="008A00E6"/>
    <w:rsid w:val="008A1185"/>
    <w:rsid w:val="008D0DD0"/>
    <w:rsid w:val="008D69D1"/>
    <w:rsid w:val="008F0E41"/>
    <w:rsid w:val="008F79F9"/>
    <w:rsid w:val="008F7FFC"/>
    <w:rsid w:val="009133A1"/>
    <w:rsid w:val="009435E8"/>
    <w:rsid w:val="00943CE1"/>
    <w:rsid w:val="00944A27"/>
    <w:rsid w:val="00973225"/>
    <w:rsid w:val="009C1F91"/>
    <w:rsid w:val="00A10218"/>
    <w:rsid w:val="00A10304"/>
    <w:rsid w:val="00A14DCC"/>
    <w:rsid w:val="00A25FFE"/>
    <w:rsid w:val="00A57FBF"/>
    <w:rsid w:val="00A7764E"/>
    <w:rsid w:val="00A835F8"/>
    <w:rsid w:val="00AA6C73"/>
    <w:rsid w:val="00AB6F8B"/>
    <w:rsid w:val="00AB75B9"/>
    <w:rsid w:val="00B02831"/>
    <w:rsid w:val="00B13BEC"/>
    <w:rsid w:val="00B13FCB"/>
    <w:rsid w:val="00B27094"/>
    <w:rsid w:val="00B47D94"/>
    <w:rsid w:val="00B7462D"/>
    <w:rsid w:val="00BB0775"/>
    <w:rsid w:val="00BB225A"/>
    <w:rsid w:val="00BB3915"/>
    <w:rsid w:val="00BE39BB"/>
    <w:rsid w:val="00BF7B11"/>
    <w:rsid w:val="00C47F59"/>
    <w:rsid w:val="00C66119"/>
    <w:rsid w:val="00CA25BE"/>
    <w:rsid w:val="00CA7452"/>
    <w:rsid w:val="00CB4D72"/>
    <w:rsid w:val="00CC03E6"/>
    <w:rsid w:val="00CD7A73"/>
    <w:rsid w:val="00CF040A"/>
    <w:rsid w:val="00CF2FB2"/>
    <w:rsid w:val="00D04DB3"/>
    <w:rsid w:val="00D215F8"/>
    <w:rsid w:val="00D2792A"/>
    <w:rsid w:val="00D4068F"/>
    <w:rsid w:val="00D42C81"/>
    <w:rsid w:val="00D5269A"/>
    <w:rsid w:val="00D64F41"/>
    <w:rsid w:val="00D70FAD"/>
    <w:rsid w:val="00DA2C3B"/>
    <w:rsid w:val="00DA3092"/>
    <w:rsid w:val="00E063DD"/>
    <w:rsid w:val="00E2183B"/>
    <w:rsid w:val="00E356F2"/>
    <w:rsid w:val="00E5084D"/>
    <w:rsid w:val="00E81C03"/>
    <w:rsid w:val="00EA0E04"/>
    <w:rsid w:val="00ED553A"/>
    <w:rsid w:val="00EE58DE"/>
    <w:rsid w:val="00EF5780"/>
    <w:rsid w:val="00F03201"/>
    <w:rsid w:val="00F15DC6"/>
    <w:rsid w:val="00F35441"/>
    <w:rsid w:val="00F45F95"/>
    <w:rsid w:val="00F54A57"/>
    <w:rsid w:val="00F7655F"/>
    <w:rsid w:val="00F86AC3"/>
    <w:rsid w:val="00FC509E"/>
    <w:rsid w:val="00FE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066C"/>
  <w15:chartTrackingRefBased/>
  <w15:docId w15:val="{FA22B9A3-33E5-974C-A871-531A4EB8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9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B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52"/>
    <w:rPr>
      <w:rFonts w:eastAsiaTheme="majorEastAsia" w:cstheme="majorBidi"/>
      <w:color w:val="272727" w:themeColor="text1" w:themeTint="D8"/>
    </w:rPr>
  </w:style>
  <w:style w:type="paragraph" w:styleId="Title">
    <w:name w:val="Title"/>
    <w:basedOn w:val="Normal"/>
    <w:next w:val="Normal"/>
    <w:link w:val="TitleChar"/>
    <w:uiPriority w:val="10"/>
    <w:qFormat/>
    <w:rsid w:val="007B14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52"/>
    <w:pPr>
      <w:spacing w:before="160"/>
      <w:jc w:val="center"/>
    </w:pPr>
    <w:rPr>
      <w:i/>
      <w:iCs/>
      <w:color w:val="404040" w:themeColor="text1" w:themeTint="BF"/>
    </w:rPr>
  </w:style>
  <w:style w:type="character" w:customStyle="1" w:styleId="QuoteChar">
    <w:name w:val="Quote Char"/>
    <w:basedOn w:val="DefaultParagraphFont"/>
    <w:link w:val="Quote"/>
    <w:uiPriority w:val="29"/>
    <w:rsid w:val="007B1452"/>
    <w:rPr>
      <w:i/>
      <w:iCs/>
      <w:color w:val="404040" w:themeColor="text1" w:themeTint="BF"/>
    </w:rPr>
  </w:style>
  <w:style w:type="paragraph" w:styleId="ListParagraph">
    <w:name w:val="List Paragraph"/>
    <w:basedOn w:val="Normal"/>
    <w:uiPriority w:val="34"/>
    <w:qFormat/>
    <w:rsid w:val="007B1452"/>
    <w:pPr>
      <w:ind w:left="720"/>
      <w:contextualSpacing/>
    </w:pPr>
  </w:style>
  <w:style w:type="character" w:styleId="IntenseEmphasis">
    <w:name w:val="Intense Emphasis"/>
    <w:basedOn w:val="DefaultParagraphFont"/>
    <w:uiPriority w:val="21"/>
    <w:qFormat/>
    <w:rsid w:val="007B1452"/>
    <w:rPr>
      <w:i/>
      <w:iCs/>
      <w:color w:val="0F4761" w:themeColor="accent1" w:themeShade="BF"/>
    </w:rPr>
  </w:style>
  <w:style w:type="paragraph" w:styleId="IntenseQuote">
    <w:name w:val="Intense Quote"/>
    <w:basedOn w:val="Normal"/>
    <w:next w:val="Normal"/>
    <w:link w:val="IntenseQuoteChar"/>
    <w:uiPriority w:val="30"/>
    <w:qFormat/>
    <w:rsid w:val="007B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52"/>
    <w:rPr>
      <w:i/>
      <w:iCs/>
      <w:color w:val="0F4761" w:themeColor="accent1" w:themeShade="BF"/>
    </w:rPr>
  </w:style>
  <w:style w:type="character" w:styleId="IntenseReference">
    <w:name w:val="Intense Reference"/>
    <w:basedOn w:val="DefaultParagraphFont"/>
    <w:uiPriority w:val="32"/>
    <w:qFormat/>
    <w:rsid w:val="007B1452"/>
    <w:rPr>
      <w:b/>
      <w:bCs/>
      <w:smallCaps/>
      <w:color w:val="0F4761" w:themeColor="accent1" w:themeShade="BF"/>
      <w:spacing w:val="5"/>
    </w:rPr>
  </w:style>
  <w:style w:type="paragraph" w:styleId="NormalWeb">
    <w:name w:val="Normal (Web)"/>
    <w:basedOn w:val="Normal"/>
    <w:uiPriority w:val="99"/>
    <w:unhideWhenUsed/>
    <w:rsid w:val="00D2792A"/>
    <w:pPr>
      <w:spacing w:before="100" w:beforeAutospacing="1" w:after="100" w:afterAutospacing="1"/>
    </w:pPr>
  </w:style>
  <w:style w:type="character" w:styleId="CommentReference">
    <w:name w:val="annotation reference"/>
    <w:basedOn w:val="DefaultParagraphFont"/>
    <w:uiPriority w:val="99"/>
    <w:semiHidden/>
    <w:unhideWhenUsed/>
    <w:rsid w:val="003F5E3D"/>
    <w:rPr>
      <w:sz w:val="16"/>
      <w:szCs w:val="16"/>
    </w:rPr>
  </w:style>
  <w:style w:type="paragraph" w:styleId="CommentText">
    <w:name w:val="annotation text"/>
    <w:basedOn w:val="Normal"/>
    <w:link w:val="CommentTextChar"/>
    <w:uiPriority w:val="99"/>
    <w:semiHidden/>
    <w:unhideWhenUsed/>
    <w:rsid w:val="003F5E3D"/>
    <w:rPr>
      <w:sz w:val="20"/>
      <w:szCs w:val="20"/>
    </w:rPr>
  </w:style>
  <w:style w:type="character" w:customStyle="1" w:styleId="CommentTextChar">
    <w:name w:val="Comment Text Char"/>
    <w:basedOn w:val="DefaultParagraphFont"/>
    <w:link w:val="CommentText"/>
    <w:uiPriority w:val="99"/>
    <w:semiHidden/>
    <w:rsid w:val="003F5E3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F5E3D"/>
    <w:rPr>
      <w:b/>
      <w:bCs/>
    </w:rPr>
  </w:style>
  <w:style w:type="character" w:customStyle="1" w:styleId="CommentSubjectChar">
    <w:name w:val="Comment Subject Char"/>
    <w:basedOn w:val="CommentTextChar"/>
    <w:link w:val="CommentSubject"/>
    <w:uiPriority w:val="99"/>
    <w:semiHidden/>
    <w:rsid w:val="003F5E3D"/>
    <w:rPr>
      <w:rFonts w:ascii="Times New Roman" w:eastAsia="Times New Roman" w:hAnsi="Times New Roman" w:cs="Times New Roman"/>
      <w:b/>
      <w:bCs/>
      <w:kern w:val="0"/>
      <w:sz w:val="20"/>
      <w:szCs w:val="20"/>
      <w14:ligatures w14:val="none"/>
    </w:rPr>
  </w:style>
  <w:style w:type="character" w:styleId="Strong">
    <w:name w:val="Strong"/>
    <w:basedOn w:val="DefaultParagraphFont"/>
    <w:uiPriority w:val="22"/>
    <w:qFormat/>
    <w:rsid w:val="00C47F59"/>
    <w:rPr>
      <w:b/>
      <w:bCs/>
    </w:rPr>
  </w:style>
  <w:style w:type="character" w:styleId="Emphasis">
    <w:name w:val="Emphasis"/>
    <w:basedOn w:val="DefaultParagraphFont"/>
    <w:uiPriority w:val="20"/>
    <w:qFormat/>
    <w:rsid w:val="006B0E89"/>
    <w:rPr>
      <w:i/>
      <w:iCs/>
    </w:rPr>
  </w:style>
  <w:style w:type="character" w:styleId="Hyperlink">
    <w:name w:val="Hyperlink"/>
    <w:basedOn w:val="DefaultParagraphFont"/>
    <w:uiPriority w:val="99"/>
    <w:unhideWhenUsed/>
    <w:rsid w:val="00A57F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890">
      <w:bodyDiv w:val="1"/>
      <w:marLeft w:val="0"/>
      <w:marRight w:val="0"/>
      <w:marTop w:val="0"/>
      <w:marBottom w:val="0"/>
      <w:divBdr>
        <w:top w:val="none" w:sz="0" w:space="0" w:color="auto"/>
        <w:left w:val="none" w:sz="0" w:space="0" w:color="auto"/>
        <w:bottom w:val="none" w:sz="0" w:space="0" w:color="auto"/>
        <w:right w:val="none" w:sz="0" w:space="0" w:color="auto"/>
      </w:divBdr>
    </w:div>
    <w:div w:id="659193330">
      <w:bodyDiv w:val="1"/>
      <w:marLeft w:val="0"/>
      <w:marRight w:val="0"/>
      <w:marTop w:val="0"/>
      <w:marBottom w:val="0"/>
      <w:divBdr>
        <w:top w:val="none" w:sz="0" w:space="0" w:color="auto"/>
        <w:left w:val="none" w:sz="0" w:space="0" w:color="auto"/>
        <w:bottom w:val="none" w:sz="0" w:space="0" w:color="auto"/>
        <w:right w:val="none" w:sz="0" w:space="0" w:color="auto"/>
      </w:divBdr>
    </w:div>
    <w:div w:id="78770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arthmicrobiome.org" TargetMode="Externa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8/08/relationships/commentsExtensible" Target="commentsExtensible.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image" Target="media/image8.emf"/><Relationship Id="rId20"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3.emf"/><Relationship Id="rId5" Type="http://schemas.microsoft.com/office/2011/relationships/commentsExtended" Target="commentsExtended.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25</Pages>
  <Words>65585</Words>
  <Characters>373839</Characters>
  <Application>Microsoft Office Word</Application>
  <DocSecurity>0</DocSecurity>
  <Lines>3115</Lines>
  <Paragraphs>877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cp:revision>
  <dcterms:created xsi:type="dcterms:W3CDTF">2025-06-05T11:52:00Z</dcterms:created>
  <dcterms:modified xsi:type="dcterms:W3CDTF">2025-06-05T12:11:00Z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id="xan27hqi"/&gt;&lt;style id="http://www.zotero.org/styles/apa" locale="en-US" hasBibliography="1" bibliographyStyleHasBeenSet="0"/&gt;&lt;prefs&gt;&lt;pref name="fieldType" value="Field"/&gt;&lt;/prefs&gt;&lt;/data&gt;</vt:lpwstr>
  </property>
</Properties>
</file>