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E828" w14:textId="2B0C243D" w:rsidR="005B5DB4" w:rsidRDefault="00DE097D" w:rsidP="00FD15B2">
      <w:r w:rsidRPr="00DE097D">
        <w:t>Heat-induced physiological cascade affects</w:t>
      </w:r>
      <w:r w:rsidR="00C177E1">
        <w:t xml:space="preserve"> </w:t>
      </w:r>
      <w:r>
        <w:t xml:space="preserve">gut </w:t>
      </w:r>
      <w:r w:rsidRPr="00DE097D">
        <w:t>microbiome</w:t>
      </w:r>
      <w:r w:rsidR="00C177E1">
        <w:t xml:space="preserve"> composition </w:t>
      </w:r>
      <w:r w:rsidRPr="00DE097D">
        <w:t xml:space="preserve">and disrupts </w:t>
      </w:r>
      <w:r w:rsidR="00C177E1">
        <w:t>microbiome-</w:t>
      </w:r>
      <w:r w:rsidRPr="00DE097D">
        <w:t xml:space="preserve">immune homeostasis in a wild </w:t>
      </w:r>
      <w:commentRangeStart w:id="0"/>
      <w:r w:rsidRPr="00DE097D">
        <w:t>primate</w:t>
      </w:r>
      <w:commentRangeEnd w:id="0"/>
      <w:r w:rsidR="00C177E1">
        <w:rPr>
          <w:rStyle w:val="CommentReference"/>
        </w:rPr>
        <w:commentReference w:id="0"/>
      </w:r>
    </w:p>
    <w:p w14:paraId="7E4ED15B" w14:textId="77777777" w:rsidR="005B5DB4" w:rsidRDefault="005B5DB4" w:rsidP="00FD15B2"/>
    <w:p w14:paraId="1019926C" w14:textId="77777777" w:rsidR="00DE097D" w:rsidRPr="004F6BDC" w:rsidRDefault="00DE097D" w:rsidP="00DE097D">
      <w:r w:rsidRPr="004F6BDC">
        <w:t>Jordan M. Lucore</w:t>
      </w:r>
      <w:r w:rsidRPr="004F6BDC">
        <w:rPr>
          <w:vertAlign w:val="superscript"/>
        </w:rPr>
        <w:t>1,2</w:t>
      </w:r>
      <w:r w:rsidRPr="004F6BDC">
        <w:t>, Marcela E. Benítez</w:t>
      </w:r>
      <w:r w:rsidRPr="004F6BDC">
        <w:rPr>
          <w:vertAlign w:val="superscript"/>
        </w:rPr>
        <w:t>2,</w:t>
      </w:r>
      <w:r>
        <w:rPr>
          <w:vertAlign w:val="superscript"/>
        </w:rPr>
        <w:t xml:space="preserve">3, </w:t>
      </w:r>
      <w:r>
        <w:t>,</w:t>
      </w:r>
      <w:r w:rsidRPr="004F6BDC">
        <w:t xml:space="preserve"> Amy F. White</w:t>
      </w:r>
      <w:r w:rsidRPr="004F6BDC">
        <w:rPr>
          <w:vertAlign w:val="superscript"/>
        </w:rPr>
        <w:t>2,4</w:t>
      </w:r>
      <w:r w:rsidRPr="004F6BDC">
        <w:t>, Juan Carlos Ordoñez</w:t>
      </w:r>
      <w:r w:rsidRPr="004F6BDC">
        <w:rPr>
          <w:vertAlign w:val="superscript"/>
        </w:rPr>
        <w:t>2</w:t>
      </w:r>
      <w:r w:rsidRPr="004F6BDC">
        <w:t>, Jacinta C. Beehner</w:t>
      </w:r>
      <w:r w:rsidRPr="004F6BDC">
        <w:rPr>
          <w:vertAlign w:val="superscript"/>
        </w:rPr>
        <w:t>1,2,</w:t>
      </w:r>
      <w:r>
        <w:rPr>
          <w:vertAlign w:val="superscript"/>
        </w:rPr>
        <w:t>5</w:t>
      </w:r>
      <w:r>
        <w:t xml:space="preserve">, </w:t>
      </w:r>
      <w:r w:rsidRPr="004F6BDC">
        <w:t>Thore J. Bergman</w:t>
      </w:r>
      <w:r w:rsidRPr="004F6BDC">
        <w:rPr>
          <w:vertAlign w:val="superscript"/>
        </w:rPr>
        <w:t>2,</w:t>
      </w:r>
      <w:r>
        <w:rPr>
          <w:vertAlign w:val="superscript"/>
        </w:rPr>
        <w:t>5</w:t>
      </w:r>
      <w:r w:rsidRPr="004F6BDC">
        <w:rPr>
          <w:vertAlign w:val="superscript"/>
        </w:rPr>
        <w:t>,6</w:t>
      </w:r>
      <w:r>
        <w:t xml:space="preserve">, </w:t>
      </w:r>
      <w:commentRangeStart w:id="1"/>
      <w:r>
        <w:t>Maria Luisa Savo Sardaro</w:t>
      </w:r>
      <w:r>
        <w:rPr>
          <w:vertAlign w:val="superscript"/>
        </w:rPr>
        <w:t>7,8</w:t>
      </w:r>
      <w:r>
        <w:t>, Katherine R. Amato</w:t>
      </w:r>
      <w:r>
        <w:rPr>
          <w:vertAlign w:val="superscript"/>
        </w:rPr>
        <w:t>7</w:t>
      </w:r>
      <w:r>
        <w:t xml:space="preserve">, </w:t>
      </w:r>
      <w:commentRangeEnd w:id="1"/>
      <w:r w:rsidR="00735745">
        <w:rPr>
          <w:rStyle w:val="CommentReference"/>
        </w:rPr>
        <w:commentReference w:id="1"/>
      </w:r>
      <w:r w:rsidRPr="004F6BDC">
        <w:t>Andrew J. Marshall</w:t>
      </w:r>
      <w:r w:rsidRPr="004F6BDC">
        <w:rPr>
          <w:vertAlign w:val="superscript"/>
        </w:rPr>
        <w:t>1,6,</w:t>
      </w:r>
      <w:r>
        <w:rPr>
          <w:vertAlign w:val="superscript"/>
        </w:rPr>
        <w:t xml:space="preserve">9, 10, 11 </w:t>
      </w:r>
    </w:p>
    <w:p w14:paraId="3455DE61" w14:textId="77777777" w:rsidR="005B5DB4" w:rsidRDefault="005B5DB4" w:rsidP="00FD15B2"/>
    <w:p w14:paraId="1FE71BA5" w14:textId="77777777" w:rsidR="00DE097D" w:rsidRPr="00B27094" w:rsidRDefault="00DE097D" w:rsidP="00DE097D">
      <w:r w:rsidRPr="004F6BDC">
        <w:rPr>
          <w:vertAlign w:val="superscript"/>
        </w:rPr>
        <w:t>1</w:t>
      </w:r>
      <w:r w:rsidRPr="004F6BDC">
        <w:t xml:space="preserve">Department of Anthropology, University of Michigan, Ann Arbor, MI, United States, </w:t>
      </w:r>
      <w:r w:rsidRPr="004F6BDC">
        <w:rPr>
          <w:vertAlign w:val="superscript"/>
        </w:rPr>
        <w:t>2</w:t>
      </w:r>
      <w:r w:rsidRPr="004F6BDC">
        <w:t xml:space="preserve">Capuchinos de </w:t>
      </w:r>
      <w:proofErr w:type="spellStart"/>
      <w:r w:rsidRPr="004F6BDC">
        <w:t>Taboga</w:t>
      </w:r>
      <w:proofErr w:type="spellEnd"/>
      <w:r w:rsidRPr="004F6BDC">
        <w:t xml:space="preserve"> Research Project, </w:t>
      </w:r>
      <w:proofErr w:type="spellStart"/>
      <w:r w:rsidRPr="004F6BDC">
        <w:t>Taboga</w:t>
      </w:r>
      <w:proofErr w:type="spellEnd"/>
      <w:r w:rsidRPr="004F6BDC">
        <w:t xml:space="preserve"> Forest Reserve, Guanacaste, Costa Rica,</w:t>
      </w:r>
      <w:r>
        <w:t xml:space="preserve"> </w:t>
      </w:r>
      <w:r>
        <w:rPr>
          <w:vertAlign w:val="superscript"/>
        </w:rPr>
        <w:t>3</w:t>
      </w:r>
      <w:r w:rsidRPr="004F6BDC">
        <w:t xml:space="preserve">Department of Anthropology, Durham University, Durham, UK, </w:t>
      </w:r>
      <w:r>
        <w:rPr>
          <w:vertAlign w:val="superscript"/>
        </w:rPr>
        <w:t>4</w:t>
      </w:r>
      <w:r w:rsidRPr="004F6BDC">
        <w:t>Department of Anthropology, Emory University, Atlanta, GA, United States,</w:t>
      </w:r>
      <w:r>
        <w:rPr>
          <w:vertAlign w:val="superscript"/>
        </w:rPr>
        <w:t xml:space="preserve"> 5</w:t>
      </w:r>
      <w:r w:rsidRPr="004F6BDC">
        <w:t>Department of Anthropology, Durham University, Durham, UK,</w:t>
      </w:r>
      <w:r>
        <w:t xml:space="preserve"> </w:t>
      </w:r>
      <w:r>
        <w:rPr>
          <w:vertAlign w:val="superscript"/>
        </w:rPr>
        <w:t>5</w:t>
      </w:r>
      <w:r w:rsidRPr="004F6BDC">
        <w:t xml:space="preserve">Department of Psychology, University of Michigan, Ann Arbor, MI, United States, </w:t>
      </w:r>
      <w:r w:rsidRPr="004F6BDC">
        <w:rPr>
          <w:vertAlign w:val="superscript"/>
        </w:rPr>
        <w:t>6</w:t>
      </w:r>
      <w:r w:rsidRPr="004F6BDC">
        <w:t>Department of Ecology and Evolutionary Biology, University of Michigan, Ann Arbor, MI, United States,</w:t>
      </w:r>
      <w:r>
        <w:t xml:space="preserve"> </w:t>
      </w:r>
      <w:r>
        <w:rPr>
          <w:vertAlign w:val="superscript"/>
        </w:rPr>
        <w:t>7</w:t>
      </w:r>
      <w:r w:rsidRPr="00B27094">
        <w:t>Department of Anthropology, Northwestern University, Evanston, Illinois</w:t>
      </w:r>
      <w:r>
        <w:t xml:space="preserve">, </w:t>
      </w:r>
      <w:r>
        <w:rPr>
          <w:vertAlign w:val="superscript"/>
        </w:rPr>
        <w:t>8</w:t>
      </w:r>
      <w:r w:rsidRPr="00B27094">
        <w:t>Department for the Promotion of Human Sciences and Quality of Life, San Raffaele University, 00166 Rome, Italy</w:t>
      </w:r>
      <w:r>
        <w:t xml:space="preserve">, </w:t>
      </w:r>
      <w:r>
        <w:rPr>
          <w:vertAlign w:val="superscript"/>
        </w:rPr>
        <w:t>9</w:t>
      </w:r>
      <w:r w:rsidRPr="004F6BDC">
        <w:t xml:space="preserve">Program in the Environment, University of Michigan, Ann Arbor, MI, United States, </w:t>
      </w:r>
      <w:r>
        <w:rPr>
          <w:vertAlign w:val="superscript"/>
        </w:rPr>
        <w:t>10</w:t>
      </w:r>
      <w:r w:rsidRPr="004F6BDC">
        <w:t xml:space="preserve">School for Environment and Sustainability, University of Michigan, Ann Arbor, MI, United States, </w:t>
      </w:r>
      <w:r>
        <w:rPr>
          <w:vertAlign w:val="superscript"/>
        </w:rPr>
        <w:t>11</w:t>
      </w:r>
      <w:r w:rsidRPr="004F6BDC">
        <w:t xml:space="preserve">Program in Computing for the Arts and Sciences, University of Michigan, Ann Arbor, MI, United States </w:t>
      </w:r>
    </w:p>
    <w:p w14:paraId="21C7044B" w14:textId="77777777" w:rsidR="005B5DB4" w:rsidRDefault="005B5DB4" w:rsidP="00FD15B2"/>
    <w:p w14:paraId="74EF427B" w14:textId="77777777" w:rsidR="005B5DB4" w:rsidRDefault="005B5DB4" w:rsidP="00FD15B2"/>
    <w:p w14:paraId="6BDC4284" w14:textId="77777777" w:rsidR="00B85B7C" w:rsidRDefault="00B85B7C" w:rsidP="00B85B7C">
      <w:commentRangeStart w:id="2"/>
      <w:r>
        <w:t xml:space="preserve">Results: </w:t>
      </w:r>
      <w:commentRangeEnd w:id="2"/>
      <w:r w:rsidR="00735745">
        <w:rPr>
          <w:rStyle w:val="CommentReference"/>
        </w:rPr>
        <w:commentReference w:id="2"/>
      </w:r>
    </w:p>
    <w:p w14:paraId="7BF0C513" w14:textId="4151B6E1" w:rsidR="00B85B7C" w:rsidRDefault="0060068F" w:rsidP="00B85B7C">
      <w:pPr>
        <w:rPr>
          <w:u w:val="single"/>
        </w:rPr>
      </w:pPr>
      <w:r>
        <w:rPr>
          <w:u w:val="single"/>
        </w:rPr>
        <w:t>Temperature affects g</w:t>
      </w:r>
      <w:r w:rsidR="00B85B7C" w:rsidRPr="00AE374C">
        <w:rPr>
          <w:u w:val="single"/>
        </w:rPr>
        <w:t>ut microbiome</w:t>
      </w:r>
      <w:r w:rsidR="00B85B7C">
        <w:rPr>
          <w:u w:val="single"/>
        </w:rPr>
        <w:t xml:space="preserve"> taxonomic </w:t>
      </w:r>
      <w:r w:rsidR="00B85B7C">
        <w:rPr>
          <w:u w:val="single"/>
        </w:rPr>
        <w:t xml:space="preserve">composition </w:t>
      </w:r>
      <w:r w:rsidR="00B85B7C">
        <w:rPr>
          <w:u w:val="single"/>
        </w:rPr>
        <w:t xml:space="preserve">and </w:t>
      </w:r>
      <w:r w:rsidR="00B85B7C">
        <w:rPr>
          <w:u w:val="single"/>
        </w:rPr>
        <w:t>functional capacity</w:t>
      </w:r>
    </w:p>
    <w:p w14:paraId="5EC56528" w14:textId="77777777" w:rsidR="00B85B7C" w:rsidRPr="00991E79" w:rsidRDefault="00B85B7C" w:rsidP="00B85B7C">
      <w:r w:rsidRPr="00991E79">
        <w:rPr>
          <w:i/>
          <w:iCs/>
        </w:rPr>
        <w:t>Community-level</w:t>
      </w:r>
      <w:r>
        <w:rPr>
          <w:i/>
          <w:iCs/>
        </w:rPr>
        <w:t xml:space="preserve"> results</w:t>
      </w:r>
    </w:p>
    <w:p w14:paraId="55C6A817" w14:textId="02B2E18C" w:rsidR="00B85B7C" w:rsidRDefault="00B85B7C" w:rsidP="00B85B7C">
      <w:r>
        <w:tab/>
        <w:t>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w:t>
      </w:r>
      <w:r w:rsidR="00325A7B">
        <w:t xml:space="preserve"> (Fig 1S)</w:t>
      </w:r>
      <w:r>
        <w:t xml:space="preserve">. </w:t>
      </w:r>
      <w:r w:rsidR="00101852">
        <w:t>We measured alpha diversity using Shannon’s diversity index and observed richness</w:t>
      </w:r>
      <w:r w:rsidR="00101852">
        <w:t xml:space="preserve"> </w:t>
      </w:r>
      <w:r w:rsidR="00101852">
        <w:t>(the total number of ASVs or pathways in a sample), and characterized beta diversity using the first three principal coordinates (PC1–PC3) from a principal coordinate analysis to capture major axes of variation in community composition.</w:t>
      </w:r>
      <w:r w:rsidR="00101852">
        <w:t xml:space="preserve"> </w:t>
      </w:r>
      <w:r>
        <w:t xml:space="preserve">For taxonomic community composition, the model including temperature provided the best fit (controlling for model complexity) across all community-level indices, accounting for 100% of the model weight for every principal component axis and alpha diversity metric (Fig 1B). The strong relationship between temperature and principal coordinate axes 1–3 suggests that temperature drives shifts in taxonomic composition that are substantial enough to affect community-level beta diversity. Both alpha diversity indices show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are small compared to the principal components, alpha diversity reliably declines with increasing temperatures (Fig </w:t>
      </w:r>
      <w:r w:rsidR="00325A7B">
        <w:t>2</w:t>
      </w:r>
      <w:r>
        <w:t>S). This suggests that higher temperatures are associated with reductions in both taxonomic richness and evenness, as</w:t>
      </w:r>
      <w:r w:rsidRPr="006B4B63">
        <w:t xml:space="preserve"> </w:t>
      </w:r>
      <w:r>
        <w:t xml:space="preserve">observed richness reflects the total number of ASVs while Shannon’s diversity considers both richness and evenness. </w:t>
      </w:r>
    </w:p>
    <w:p w14:paraId="412B5E29" w14:textId="77777777" w:rsidR="00B85B7C" w:rsidRDefault="00B85B7C" w:rsidP="00B85B7C">
      <w:pPr>
        <w:ind w:firstLine="720"/>
      </w:pPr>
      <w:r>
        <w:t xml:space="preserve">For metabolic functional composition, the temperature model provided the best fit for every principal component axis and the total number of observed pathways, accounting for at least 96% of the model weight. In contrast, the baseline model provided the best fit for </w:t>
      </w:r>
      <w:r>
        <w:lastRenderedPageBreak/>
        <w:t xml:space="preserve">Shannon’s diversity, accounting for 77% of the model weight (Fig. 1D). Therefore, temperature is associated with shifts in individual metabolic pathways substantial enough to affect community-level beta diversity, but the relationship between temperature functional alpha diversity is less clear. Temperature was negatively associated with the total number of unique pathways (Observed: </w:t>
      </w:r>
      <w:r w:rsidRPr="00887114">
        <w:t>β</w:t>
      </w:r>
      <w:r>
        <w:rPr>
          <w:vertAlign w:val="subscript"/>
        </w:rPr>
        <w:t>temp</w:t>
      </w:r>
      <w:r>
        <w:t xml:space="preserve"> = -35.05), but the magnitude and direction of this effect are uncertain due to the wide confidence intervals that include zero. The effect size for Shannon’s diversity (</w:t>
      </w:r>
      <w:r w:rsidRPr="00887114">
        <w:t>β</w:t>
      </w:r>
      <w:r>
        <w:rPr>
          <w:vertAlign w:val="subscript"/>
        </w:rPr>
        <w:t>temp</w:t>
      </w:r>
      <w:r>
        <w:t xml:space="preserve"> = -0.27) is much smaller, and the confidence intervals also include zero. (Fig. 1C). Together, these results suggest that higher temperatures may reduce the number of unique metabolic pathways but are not associated with changes in pathway evenness.</w:t>
      </w:r>
    </w:p>
    <w:p w14:paraId="507FE9DA" w14:textId="77777777" w:rsidR="005B5DB4" w:rsidRDefault="005B5DB4" w:rsidP="00FD15B2"/>
    <w:p w14:paraId="35D9D7AD" w14:textId="77777777" w:rsidR="005B5DB4" w:rsidRDefault="005B5DB4" w:rsidP="00FD15B2"/>
    <w:p w14:paraId="3DD914F2" w14:textId="77777777" w:rsidR="005B5DB4" w:rsidRDefault="005B5DB4" w:rsidP="00FD15B2"/>
    <w:p w14:paraId="06F6D592" w14:textId="77777777" w:rsidR="005B5DB4" w:rsidRDefault="005B5DB4" w:rsidP="00FD15B2"/>
    <w:p w14:paraId="3AA21C5E" w14:textId="77777777" w:rsidR="005B5DB4" w:rsidRDefault="005B5DB4" w:rsidP="005B5DB4">
      <w:commentRangeStart w:id="3"/>
      <w:r>
        <w:t xml:space="preserve">Discussion: </w:t>
      </w:r>
      <w:commentRangeEnd w:id="3"/>
      <w:r w:rsidR="00CC71B6">
        <w:rPr>
          <w:rStyle w:val="CommentReference"/>
        </w:rPr>
        <w:commentReference w:id="3"/>
      </w:r>
    </w:p>
    <w:p w14:paraId="78270355" w14:textId="77777777" w:rsidR="005B5DB4" w:rsidRDefault="005B5DB4" w:rsidP="005B5DB4">
      <w:pPr>
        <w:rPr>
          <w:u w:val="single"/>
        </w:rPr>
      </w:pPr>
      <w:r w:rsidRPr="00C64C3B">
        <w:rPr>
          <w:u w:val="single"/>
        </w:rPr>
        <w:t xml:space="preserve">Gut microbiome </w:t>
      </w:r>
      <w:r>
        <w:rPr>
          <w:u w:val="single"/>
        </w:rPr>
        <w:t>response to</w:t>
      </w:r>
      <w:r w:rsidRPr="00C64C3B">
        <w:rPr>
          <w:u w:val="single"/>
        </w:rPr>
        <w:t xml:space="preserve"> temperature</w:t>
      </w:r>
    </w:p>
    <w:p w14:paraId="0BB7D522" w14:textId="016D27A1" w:rsidR="005B5DB4" w:rsidRDefault="005B5DB4" w:rsidP="005B5DB4">
      <w:r>
        <w:t xml:space="preserve">The gut microbiome’s response to high temperatures may affect its role in conferring colonization resistance— the ability to protect the host from exogenous pathogens. Colonization resistance arises from direct competition with pathogens for resources and microbial support for host immunity </w:t>
      </w:r>
      <w:r>
        <w:fldChar w:fldCharType="begin"/>
      </w:r>
      <w:r>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Pr>
          <w:noProof/>
        </w:rPr>
        <w:t>(Caballero-Flores et al., 2023)</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compete with pathogens </w:t>
      </w:r>
      <w:r>
        <w:fldChar w:fldCharType="begin"/>
      </w:r>
      <w:r>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Pr>
          <w:noProof/>
        </w:rPr>
        <w:t>(Spragge et al., 2023)</w:t>
      </w:r>
      <w:r>
        <w:fldChar w:fldCharType="end"/>
      </w:r>
      <w:r>
        <w:t xml:space="preserve">. High temperatures are also associated with the decline of taxa known to support host immunity including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rPr>
          <w:i/>
          <w:iCs/>
        </w:rPr>
        <w:t xml:space="preserve"> </w:t>
      </w:r>
      <w:r>
        <w:t xml:space="preserve">which promote anti-inflammatory signaling </w:t>
      </w:r>
      <w:r>
        <w:fldChar w:fldCharType="begin"/>
      </w:r>
      <w:r>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fldChar w:fldCharType="separate"/>
      </w:r>
      <w:r w:rsidRPr="00D87FEE">
        <w:t>(Corrêa-Oliveira et al., 2016; Jacobson et al., 2018)</w:t>
      </w:r>
      <w:r>
        <w:fldChar w:fldCharType="end"/>
      </w:r>
      <w:r w:rsidR="00E344E1">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instrText xml:space="preserve"> ADDIN ZOTERO_ITEM CSL_CITATION {"citationID":"hwQmyei2","properties":{"formattedCitation":"(Louca et al., 2018)","plainCitation":"(Louca et al., 2018)","noteIndex":0},"citationItems":[{"id":3181,"uris":["http://zotero.org/users/13901503/items/N5RMCRXY"],"itemData":{"id":3181,"type":"article-journal","abstract":"Microbial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Pr>
          <w:noProof/>
        </w:rPr>
        <w:t>(Louca et al., 2018)</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sustained high temperatures may continue to erode both taxonomic and functional diversity, eventually increasing the host’s vulnerability to infection. </w:t>
      </w:r>
    </w:p>
    <w:p w14:paraId="26783991" w14:textId="3E8A504A" w:rsidR="005B5DB4" w:rsidRDefault="005B5DB4" w:rsidP="005B5DB4">
      <w:pPr>
        <w:ind w:firstLine="720"/>
      </w:pPr>
      <w:r>
        <w:t xml:space="preserve">Metabolic restructuring suggests that the gut microbiome’s response to rising temperatures may help sustain community stability during short-term heat exposure, but indicates potential vulnerabilities that could compromise function during prolonged periods of high temperatures. A key example is the changes in lipid metabolism. The increase in lipid synthesis and remodeling pathways may reflect cytoplasmic membrane restructuring, a process bacteria use to preserve membrane stability at high temperatures </w:t>
      </w:r>
      <w:r>
        <w:fldChar w:fldCharType="begin"/>
      </w:r>
      <w:r>
        <w:instrText xml:space="preserve"> ADDIN ZOTERO_ITEM CSL_CITATION {"citationID":"SIOKOfLi","properties":{"formattedCitation":"(Mansilla et al., 2004; S\\uc0\\u225{}enz, 2015)","plainCitation":"(Mansilla et al., 2004; Sáenz, 2015)","noteIndex":0},"citationItems":[{"id":3378,"uris":["http://zotero.org/users/13901503/items/TZK8TZFH"],"itemData":{"id":3378,"type":"article-journal","container-title":"Journal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webpage","language":"en","note":"DOI: 10.1073/pnas.1515607112","title":"Hopanoids as functional analogues of cholesterol in bacterial membranes","URL":"https://www.pnas.org/doi/epdf/10.1073/pnas.1515607112","author":[{"family":"Sáenz","given":"James"}],"accessed":{"date-parts":[["2025",5,14]]},"issued":{"date-parts":[["2015"]]}}}],"schema":"https://github.com/citation-style-language/schema/raw/master/csl-citation.json"} </w:instrText>
      </w:r>
      <w:r>
        <w:fldChar w:fldCharType="separate"/>
      </w:r>
      <w:r w:rsidRPr="00FE5B3B">
        <w:t>(Mansilla et al., 2004; Sáenz, 2015)</w:t>
      </w:r>
      <w:r>
        <w:fldChar w:fldCharType="end"/>
      </w:r>
      <w:r>
        <w:t xml:space="preserve">(Fig 3A). However, these changes may be insufficient to maintain membrane integrity during extended periods of high temperatures because the decline in lipid catabolism and recycling pathways likely compromises membrane repair mechanisms </w:t>
      </w:r>
      <w:r>
        <w:fldChar w:fldCharType="begin"/>
      </w:r>
      <w:r>
        <w:instrText xml:space="preserve"> ADDIN ZOTERO_ITEM CSL_CITATION {"citationID":"0Z2ejPon","properties":{"formattedCitation":"(Y.-M. Zhang &amp; Rock, 2008)","plainCitation":"(Y.-M. Zhang &amp; Rock, 2008)","noteIndex":0},"citationItems":[{"id":3286,"uris":["http://zotero.org/users/13901503/items/VXSZL448"],"itemData":{"id":3286,"type":"article-journal","abstract":"The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(Y.-M. Zhang &amp; Rock, 2008)</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rsidR="006B2306">
        <w:t xml:space="preserve">ROS </w:t>
      </w:r>
      <w:r w:rsidR="006B2306">
        <w:fldChar w:fldCharType="begin"/>
      </w:r>
      <w:r w:rsidR="006B2306">
        <w:instrText xml:space="preserve"> ADDIN ZOTERO_ITEM CSL_CITATION {"citationID":"XWxqevTe","properties":{"formattedCitation":"(Belhadj Slimen et al., 2014; Lin et al., 2006)","plainCitation":"(Belhadj Slimen et al., 2014; Lin et al., 2006)","noteIndex":0},"citationItems":[{"id":3717,"uris":["http://zotero.org/users/13901503/items/UEK27R7E"],"itemData":{"id":3717,"type":"article-journal","abstract":"In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Slimen","given":"Imen"},{"family":"","given":"Najar ,Taha"},{"family":"","given":"Ghram ,Abdeljelil"},{"family":"","given":"Dabbebi ,Hajer"},{"family":"","given":"Ben Mrad ,Moncef"},{"family":"Abdrabbah","given":"Manef","non-dropping-particle":"and"}],"issued":{"date-parts":[["2014",11,1]]}}},{"id":3669,"uris":["http://zotero.org/users/13901503/items/BF6XKP7S"],"itemData":{"id":3669,"type":"article-journal","abstract":"The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6B2306">
        <w:fldChar w:fldCharType="separate"/>
      </w:r>
      <w:r w:rsidR="006B2306">
        <w:rPr>
          <w:noProof/>
        </w:rPr>
        <w:t>(Belhadj Slimen et al., 2014; Lin et al., 2006)</w:t>
      </w:r>
      <w:r w:rsidR="006B2306">
        <w:fldChar w:fldCharType="end"/>
      </w:r>
      <w:r>
        <w:t>. Similarly,</w:t>
      </w:r>
      <w:r w:rsidRPr="00E81C03">
        <w:t xml:space="preserve"> </w:t>
      </w:r>
      <w:r>
        <w:t>the increase in anaerobic metabolic pathways</w:t>
      </w:r>
      <w:r w:rsidRPr="00E81C03">
        <w:t xml:space="preserve"> </w:t>
      </w:r>
      <w:r>
        <w:t>and the decline in aerobic pathways likely reflect a response to maintain energy production under changing oxygen gradients from redirected blood flow for thermoregulation during short-term heat exposure (Fig 3B)</w:t>
      </w:r>
      <w:r>
        <w:fldChar w:fldCharType="begin"/>
      </w:r>
      <w:r>
        <w:instrText xml:space="preserve"> ADDIN ZOTERO_ITEM CSL_CITATION {"citationID":"MA64tDiH","properties":{"formattedCitation":"(Hall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Pr>
          <w:rFonts w:ascii="Cambria Math" w:hAnsi="Cambria Math" w:cs="Cambria Math"/>
        </w:rPr>
        <w:instrText>𝑃</w:instrText>
      </w:r>
      <w:r>
        <w:instrText xml:space="preserve">⁢CO2P⁢CO2, while decreasing venous O2 saturation and venous pH. One hour after heat exposure, liver glycogen levels were decreased </w:instrText>
      </w:r>
      <w:r>
        <w:rPr>
          <w:rFonts w:ascii="Cambria Math" w:hAnsi="Cambria Math" w:cs="Cambria Math"/>
        </w:rPr>
        <w:instrText>∼</w:instrText>
      </w:r>
      <w:r>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Pr>
          <w:noProof/>
        </w:rPr>
        <w:t xml:space="preserve">(Hall et al., </w:t>
      </w:r>
      <w:r>
        <w:rPr>
          <w:noProof/>
        </w:rPr>
        <w:lastRenderedPageBreak/>
        <w:t>1999)</w:t>
      </w:r>
      <w:r>
        <w:fldChar w:fldCharType="end"/>
      </w:r>
      <w:r>
        <w:t>.</w:t>
      </w:r>
      <w:r w:rsidRPr="00765ACF">
        <w:t xml:space="preserve"> </w:t>
      </w:r>
      <w:r>
        <w:t xml:space="preserve">However, these anaerobic pathways are primarily involved in simple carbohydrate metabolism typical of facultative taxa </w:t>
      </w:r>
      <w:r w:rsidR="0081565D">
        <w:fldChar w:fldCharType="begin"/>
      </w:r>
      <w:r w:rsidR="0081565D">
        <w:instrText xml:space="preserve"> ADDIN ZOTERO_ITEM CSL_CITATION {"citationID":"mHntz9tf","properties":{"formattedCitation":"(Ng et al., 2013; Zeng et al., 2017)","plainCitation":"(Ng et al., 2013; Zeng et al., 2017)","noteIndex":0},"citationItems":[{"id":3719,"uris":["http://zotero.org/users/13901503/items/ZGBKX69N"],"itemData":{"id":3719,"type":"article-journal","abstract":"Antibiotic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rsidR="0081565D">
        <w:fldChar w:fldCharType="separate"/>
      </w:r>
      <w:r w:rsidR="0081565D">
        <w:rPr>
          <w:noProof/>
        </w:rPr>
        <w:t>(Ng et al., 2013; Zeng et al., 2017)</w:t>
      </w:r>
      <w:r w:rsidR="0081565D">
        <w:fldChar w:fldCharType="end"/>
      </w:r>
      <w:r>
        <w:t xml:space="preserve">, and coincide with a decline in complex polysaccharide fermentation typical of obligate taxa </w:t>
      </w:r>
      <w:r w:rsidR="00933031">
        <w:fldChar w:fldCharType="begin"/>
      </w:r>
      <w:r w:rsidR="00933031">
        <w:instrText xml:space="preserve"> ADDIN ZOTERO_ITEM CSL_CITATION {"citationID":"6JZhxnlI","properties":{"formattedCitation":"(Flint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rsidR="00933031">
        <w:fldChar w:fldCharType="separate"/>
      </w:r>
      <w:r w:rsidR="00933031">
        <w:rPr>
          <w:noProof/>
        </w:rPr>
        <w:t>(Flint et al., 2012; Hooper et al., 2002; Maier et al., 2014)</w:t>
      </w:r>
      <w:r w:rsidR="00933031">
        <w:fldChar w:fldCharType="end"/>
      </w:r>
      <w:r>
        <w:t xml:space="preserve">, suggesting that this shift is driven by the relative persistence of facultative versus obligate anaerobes at high temperatures. While this may be manageable for short-term energy production, an extended shift away from fiber fermentation is likely to have downstream consequences for host energy balance and immune regulation because fiber fermentation generates short-chain fatty acids (SCFA) that are an essential energy source for the host </w:t>
      </w:r>
      <w:r w:rsidR="00933031">
        <w:fldChar w:fldCharType="begin"/>
      </w:r>
      <w:r w:rsidR="00933031">
        <w:instrText xml:space="preserve"> ADDIN ZOTERO_ITEM CSL_CITATION {"citationID":"GyT07F19","properties":{"formattedCitation":"(Donohoe et al., 2011)","plainCitation":"(Donohoe et al., 2011)","noteIndex":0},"citationItems":[{"id":3688,"uris":["http://zotero.org/users/13901503/items/45UWS9R3"],"itemData":{"id":3688,"type":"article-journal","container-title":"Cell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rsidR="00933031">
        <w:fldChar w:fldCharType="separate"/>
      </w:r>
      <w:r w:rsidR="00933031">
        <w:rPr>
          <w:noProof/>
        </w:rPr>
        <w:t>(Donohoe et al., 2011)</w:t>
      </w:r>
      <w:r w:rsidR="00933031">
        <w:fldChar w:fldCharType="end"/>
      </w:r>
      <w:r>
        <w:t xml:space="preserve"> and important immunomodulators </w:t>
      </w:r>
      <w:r w:rsidR="00933031">
        <w:fldChar w:fldCharType="begin"/>
      </w:r>
      <w:r w:rsidR="00933031">
        <w:instrText xml:space="preserve"> ADDIN ZOTERO_ITEM CSL_CITATION {"citationID":"Hv06f1In","properties":{"formattedCitation":"(Furusawa et al., 2013; Klampfer et al., 2003)","plainCitation":"(Furusawa et al., 2013; Klampfer et al., 2003)","noteIndex":0},"citationItems":[{"id":3264,"uris":["http://zotero.org/users/13901503/items/8XXJ4CBR"],"itemData":{"id":3264,"type":"article-journal","abstract":"The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933031">
        <w:fldChar w:fldCharType="separate"/>
      </w:r>
      <w:r w:rsidR="00933031">
        <w:rPr>
          <w:noProof/>
        </w:rPr>
        <w:t>(Furusawa et al., 2013; Klampfer et al., 2003)</w:t>
      </w:r>
      <w:r w:rsidR="00933031">
        <w:fldChar w:fldCharType="end"/>
      </w:r>
      <w:r>
        <w:t xml:space="preserve">. Therefore,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and may have consequences for host energy balance and immune function. Given that temperatures in Northwestern Costa Rica have been rising over the past 40 years and will continue to increase </w:t>
      </w:r>
      <w:r>
        <w:fldChar w:fldCharType="begin"/>
      </w:r>
      <w:r>
        <w:instrText xml:space="preserve"> ADDIN ZOTERO_ITEM CSL_CITATION {"citationID":"UCuqtT4b","properties":{"formattedCitation":"(Lucore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capuchins are likely to face longer and more intense periods of heat, emphasizing the potential of climate change to affect the health and longevity of wild animal populations through microbiome-mediated mechanisms. </w:t>
      </w:r>
    </w:p>
    <w:p w14:paraId="6D453CB3" w14:textId="5575DE93" w:rsidR="005B5DB4" w:rsidRDefault="005B5DB4" w:rsidP="005B5DB4">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obligates, </w:t>
      </w:r>
      <w:proofErr w:type="spellStart"/>
      <w:r>
        <w:t>Bacteroidota</w:t>
      </w:r>
      <w:proofErr w:type="spellEnd"/>
      <w:r>
        <w:t xml:space="preserve"> and Firmicutes, including essential obligate taxa such as </w:t>
      </w:r>
      <w:r w:rsidRPr="006915F0">
        <w:rPr>
          <w:i/>
          <w:iCs/>
        </w:rPr>
        <w:t xml:space="preserve">Bacteroides, Parabacteroides, Clostridium, </w:t>
      </w:r>
      <w:proofErr w:type="spellStart"/>
      <w:r w:rsidRPr="006915F0">
        <w:rPr>
          <w:i/>
          <w:iCs/>
        </w:rPr>
        <w:t>Ruminococcus</w:t>
      </w:r>
      <w:proofErr w:type="spellEnd"/>
      <w:r w:rsidRPr="006915F0">
        <w:rPr>
          <w:i/>
          <w:iCs/>
        </w:rPr>
        <w:t xml:space="preserve">, Eubacterium, </w:t>
      </w:r>
      <w:proofErr w:type="spellStart"/>
      <w:r w:rsidRPr="006915F0">
        <w:rPr>
          <w:i/>
          <w:iCs/>
        </w:rPr>
        <w:t>Blautia</w:t>
      </w:r>
      <w:proofErr w:type="spellEnd"/>
      <w:r w:rsidRPr="006915F0">
        <w:rPr>
          <w:i/>
          <w:iCs/>
        </w:rPr>
        <w:t xml:space="preserve">, </w:t>
      </w:r>
      <w:proofErr w:type="spellStart"/>
      <w:r w:rsidRPr="006915F0">
        <w:rPr>
          <w:i/>
          <w:iCs/>
        </w:rPr>
        <w:t>Anaerostipes</w:t>
      </w:r>
      <w:proofErr w:type="spellEnd"/>
      <w:r w:rsidRPr="006915F0">
        <w:rPr>
          <w:i/>
          <w:iCs/>
        </w:rPr>
        <w:t xml:space="preserve">, </w:t>
      </w:r>
      <w:r w:rsidRPr="006915F0">
        <w:t>and</w:t>
      </w:r>
      <w:r w:rsidRPr="006915F0">
        <w:rPr>
          <w:i/>
          <w:iCs/>
        </w:rPr>
        <w:t xml:space="preserve"> </w:t>
      </w:r>
      <w:proofErr w:type="spellStart"/>
      <w:r w:rsidRPr="006915F0">
        <w:rPr>
          <w:i/>
          <w:iCs/>
        </w:rPr>
        <w:t>Alistipes</w:t>
      </w:r>
      <w:proofErr w:type="spellEnd"/>
      <w:r>
        <w:rPr>
          <w:i/>
          <w:iCs/>
        </w:rPr>
        <w:t xml:space="preserve"> </w:t>
      </w:r>
      <w:r>
        <w:t>(Fig 2).</w:t>
      </w:r>
      <w:r>
        <w:rPr>
          <w:i/>
          <w:iCs/>
        </w:rPr>
        <w:t xml:space="preserve"> </w:t>
      </w:r>
      <w:r>
        <w:t xml:space="preserve">In contrast, Proteobacteria, comprised of primarily facultative taxa </w:t>
      </w:r>
      <w:r w:rsidR="00C74079">
        <w:fldChar w:fldCharType="begin"/>
      </w:r>
      <w:r w:rsidR="00C74079">
        <w:instrText xml:space="preserve"> ADDIN ZOTERO_ITEM CSL_CITATION {"citationID":"hywOAMMP","properties":{"formattedCitation":"(Albenberg et al., 2014; Shin et al., 2015)","plainCitation":"(Albenberg et al., 2014; Shin et al., 2015)","noteIndex":0},"citationItems":[{"id":3399,"uris":["http://zotero.org/users/13901503/items/9SHPRSI6"],"itemData":{"id":3399,"type":"article-journal","abstract":"Background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C74079">
        <w:fldChar w:fldCharType="separate"/>
      </w:r>
      <w:r w:rsidR="00C74079">
        <w:rPr>
          <w:noProof/>
        </w:rPr>
        <w:t>(Albenberg et al., 2014; Shin et al., 2015)</w:t>
      </w:r>
      <w:r w:rsidR="00C74079">
        <w:fldChar w:fldCharType="end"/>
      </w:r>
      <w:r>
        <w:t>, are relatively stable in response to rising temperature</w:t>
      </w:r>
      <w:r w:rsidR="00C74079">
        <w:t>s</w:t>
      </w:r>
      <w:r>
        <w:t xml:space="preserve">. These patterns mirror compositional changes in response to heat stress in a wide range of vertebrates [e.g., fish </w:t>
      </w:r>
      <w:r>
        <w:fldChar w:fldCharType="begin"/>
      </w:r>
      <w:r>
        <w:instrText xml:space="preserve"> ADDIN ZOTERO_ITEM CSL_CITATION {"citationID":"25zGiPQC","properties":{"formattedCitation":"(Neuman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Pr>
          <w:noProof/>
        </w:rPr>
        <w:t>(Neuman et al., 2016; Soriano et al., 2018)</w:t>
      </w:r>
      <w:r>
        <w:fldChar w:fldCharType="end"/>
      </w:r>
      <w:r>
        <w:t xml:space="preserve">, reptiles </w:t>
      </w:r>
      <w:r>
        <w:fldChar w:fldCharType="begin"/>
      </w:r>
      <w:r>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Pr>
          <w:noProof/>
        </w:rPr>
        <w:t>(Bestion et al., 2017; Moeller et al., 2020)</w:t>
      </w:r>
      <w:r>
        <w:fldChar w:fldCharType="end"/>
      </w:r>
      <w:r>
        <w:t xml:space="preserve">, amphibians </w:t>
      </w:r>
      <w:r>
        <w:fldChar w:fldCharType="begin"/>
      </w:r>
      <w:r>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Pr>
          <w:noProof/>
        </w:rPr>
        <w:t>(Kohl &amp; Yahn, 2016)</w:t>
      </w:r>
      <w:r>
        <w:fldChar w:fldCharType="end"/>
      </w:r>
      <w:r>
        <w:t xml:space="preserve">, mammals </w:t>
      </w:r>
      <w:r>
        <w:fldChar w:fldCharType="begin"/>
      </w:r>
      <w:r>
        <w:instrText xml:space="preserve"> ADDIN ZOTERO_ITEM CSL_CITATION {"citationID":"Li5YwQ3H","properties":{"formattedCitation":"(Bai et al., 2022; Tajima et al., 2007)","plainCitation":"(Bai et al., 2022; Tajima et al., 2007)","noteIndex":0},"citationItems":[{"id":3042,"uris":["http://zotero.org/users/13901503/items/AZMFVA5Z"],"itemData":{"id":3042,"type":"article-journal","abstract":"Heat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(Bai et al., 2022; Tajima et al., 2007)</w:t>
      </w:r>
      <w:r>
        <w:fldChar w:fldCharType="end"/>
      </w:r>
      <w:r>
        <w:t xml:space="preserve">, and birds </w:t>
      </w:r>
      <w:r>
        <w:fldChar w:fldCharType="begin"/>
      </w:r>
      <w:r>
        <w:instrText xml:space="preserve"> ADDIN ZOTERO_ITEM CSL_CITATION {"citationID":"o7W8eHcU","properties":{"formattedCitation":"(Zhu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(Zhu et al., 2019)</w:t>
      </w:r>
      <w:r>
        <w:fldChar w:fldCharType="end"/>
      </w:r>
      <w:r>
        <w:t>].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w:t>
      </w:r>
      <w:r w:rsidR="00C74079">
        <w:t xml:space="preserve"> </w:t>
      </w:r>
      <w:r w:rsidR="00C74079">
        <w:fldChar w:fldCharType="begin"/>
      </w:r>
      <w:r w:rsidR="00C74079">
        <w:instrText xml:space="preserve"> ADDIN ZOTERO_ITEM CSL_CITATION {"citationID":"li75gYnN","properties":{"formattedCitation":"(Lu et al., 2018; McCord et al., 1971)","plainCitation":"(Lu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C74079">
        <w:fldChar w:fldCharType="separate"/>
      </w:r>
      <w:r w:rsidR="00C74079">
        <w:rPr>
          <w:noProof/>
        </w:rPr>
        <w:t>(Lu et al., 2018; McCord et al., 1971)</w:t>
      </w:r>
      <w:r w:rsidR="00C74079">
        <w:fldChar w:fldCharType="end"/>
      </w:r>
      <w:r>
        <w:t xml:space="preserve">. Although direct markers of redox balance are needed to assess the gut’s redox environment, the observed decline in redox-maintenance pathways suggests that rising temperatures impair microbial antioxidant capacity which can disrupt the redox environment </w:t>
      </w:r>
      <w:r w:rsidR="00C74079">
        <w:fldChar w:fldCharType="begin"/>
      </w:r>
      <w:r w:rsidR="00C74079">
        <w:instrText xml:space="preserve"> ADDIN ZOTERO_ITEM CSL_CITATION {"citationID":"yxSWjnfP","properties":{"formattedCitation":"(Kunst et al., 2023; Sun et al., 2024; Yardeni et al., 2019)","plainCitation":"(Kunst et al., 2023; Sun et al., 2024; Yardeni et al., 2019)","noteIndex":0},"citationItems":[{"id":3255,"uris":["http://zotero.org/users/13901503/items/FQ9APYWZ"],"itemData":{"id":3255,"type":"article-journal","abstract":"The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C74079">
        <w:fldChar w:fldCharType="separate"/>
      </w:r>
      <w:r w:rsidR="00C74079">
        <w:rPr>
          <w:noProof/>
        </w:rPr>
        <w:t>(Kunst et al., 2023; Sun et al., 2024; Yardeni et al., 2019)</w:t>
      </w:r>
      <w:r w:rsidR="00C74079">
        <w:fldChar w:fldCharType="end"/>
      </w:r>
      <w:r>
        <w:t>. We also observe an increase in DNA repair pathways that suggests cellular damage from the accumulation of ROS</w:t>
      </w:r>
      <w:r w:rsidR="00C74079">
        <w:t xml:space="preserve"> </w:t>
      </w:r>
      <w:r w:rsidR="00C74079">
        <w:fldChar w:fldCharType="begin"/>
      </w:r>
      <w:r w:rsidR="00C74079">
        <w:instrText xml:space="preserve"> ADDIN ZOTERO_ITEM CSL_CITATION {"citationID":"6OoDTMXc","properties":{"formattedCitation":"(Imlay,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00C74079">
        <w:fldChar w:fldCharType="separate"/>
      </w:r>
      <w:r w:rsidR="00C74079">
        <w:rPr>
          <w:noProof/>
        </w:rPr>
        <w:t>(Imlay, 2013)</w:t>
      </w:r>
      <w:r w:rsidR="00C74079">
        <w:fldChar w:fldCharType="end"/>
      </w:r>
      <w:r>
        <w:t xml:space="preserve">(Fig 3 C &amp; D). Together, these results provide compelling evidence that capuchins experience periods of redox imbalance at high temperatures that drive shifts in the relative abundance of facultative versus obligate anaerobes. These findings also parallel physiological and microbiome compositional changes typically associated with heat stress </w:t>
      </w:r>
      <w:r w:rsidR="00C74079">
        <w:fldChar w:fldCharType="begin"/>
      </w:r>
      <w:r w:rsidR="00C74079">
        <w:instrText xml:space="preserve"> ADDIN ZOTERO_ITEM CSL_CITATION {"citationID":"bZu282tA","properties":{"formattedCitation":"(Fang et al., 2023; Liu et al., 2023; Sepulveda &amp; Moeller, 2020)","plainCitation":"(Fang et al., 2023; Liu et al., 2023; Sepulveda &amp; Moeller, 2020)","noteIndex":0},"citationItems":[{"id":3187,"uris":["http://zotero.org/users/13901503/items/DHD4XMP5"],"itemData":{"id":3187,"type":"article-journal","abstract":"Tsinling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C74079">
        <w:fldChar w:fldCharType="separate"/>
      </w:r>
      <w:r w:rsidR="00C74079">
        <w:rPr>
          <w:noProof/>
        </w:rPr>
        <w:t>(Fang et al., 2023; Liu et al., 2023; Sepulveda &amp; Moeller, 2020)</w:t>
      </w:r>
      <w:r w:rsidR="00C74079">
        <w:fldChar w:fldCharType="end"/>
      </w:r>
      <w:r>
        <w:t>, suggesting that capuchins are experiencing periods of temperature that exceed the upper limit of their thermal tolerance. This trend is especially concerning given that capuchins in Northwestern Costa Rica</w:t>
      </w:r>
      <w:r w:rsidR="00204905">
        <w:t xml:space="preserve"> </w:t>
      </w:r>
      <w:r>
        <w:t>are endemic to highly seasonal forests</w:t>
      </w:r>
      <w:r w:rsidR="00204905">
        <w:t xml:space="preserve"> and </w:t>
      </w:r>
      <w:r>
        <w:t xml:space="preserve">likely adapted to a broader temperature range than many tropical </w:t>
      </w:r>
      <w:r>
        <w:lastRenderedPageBreak/>
        <w:t xml:space="preserve">specialists </w:t>
      </w:r>
      <w:r>
        <w:fldChar w:fldCharType="begin"/>
      </w:r>
      <w:r>
        <w:instrText xml:space="preserve"> ADDIN ZOTERO_ITEM CSL_CITATION {"citationID":"xhoCHL1h","properties":{"formattedCitation":"(Campos &amp; Fedigan, 2009; Orkin et al., 2021)","plainCitation":"(Campos &amp; Fedigan, 2009; Orkin et al., 2021)","noteIndex":0},"citationItems":[{"id":545,"uris":["http://zotero.org/users/13901503/items/DK9CP8XR"],"itemData":{"id":545,"type":"article-journal","abstract":"We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Pr>
          <w:rFonts w:ascii="Cambria Math" w:hAnsi="Cambria Math" w:cs="Cambria Math"/>
        </w:rPr>
        <w:instrText>∼</w:instrText>
      </w:r>
      <w: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Pr>
          <w:noProof/>
        </w:rPr>
        <w:t>(Campos &amp; Fedigan, 2009; Orkin et al., 2021)</w:t>
      </w:r>
      <w:r>
        <w:fldChar w:fldCharType="end"/>
      </w:r>
      <w:r w:rsidR="00204905">
        <w:t>.</w:t>
      </w:r>
      <w:r>
        <w:t xml:space="preserve"> </w:t>
      </w:r>
      <w:r w:rsidR="00204905">
        <w:t xml:space="preserve">This indicates that </w:t>
      </w:r>
      <w:r>
        <w:t>other species may be experiencing even longer and more severe periods of heat stress with global climate change.</w:t>
      </w:r>
    </w:p>
    <w:p w14:paraId="143694BE" w14:textId="25E8939B" w:rsidR="005B5DB4" w:rsidRDefault="005B5DB4" w:rsidP="005B5DB4">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instrText xml:space="preserve"> ADDIN ZOTERO_ITEM CSL_CITATION {"citationID":"MC4WygPl","properties":{"formattedCitation":"(Arpaia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Pr>
          <w:noProof/>
        </w:rPr>
        <w:t>(Arpaia et al., 2013; Furusawa et al., 2013)</w:t>
      </w:r>
      <w:r>
        <w:fldChar w:fldCharType="end"/>
      </w:r>
      <w:r>
        <w:t xml:space="preserve"> and the suppression of proinflammatory cytokine signaling </w:t>
      </w:r>
      <w:r>
        <w:fldChar w:fldCharType="begin"/>
      </w:r>
      <w:r>
        <w:instrText xml:space="preserve"> ADDIN ZOTERO_ITEM CSL_CITATION {"citationID":"auQ74j9g","properties":{"formattedCitation":"(Hung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(Hung et al., 2023; Klampfer et al., 2003)</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rsidR="00C74079">
        <w:fldChar w:fldCharType="begin"/>
      </w:r>
      <w:r w:rsidR="00204905">
        <w:instrText xml:space="preserve"> ADDIN ZOTERO_ITEM CSL_CITATION {"citationID":"1C9evp4M","properties":{"formattedCitation":"(Nathan &amp; Cunningham-Bussel, 2013)","plainCitation":"(Nathan &amp; Cunningham-Bussel, 2013)","noteIndex":0},"citationItems":[{"id":3724,"uris":["http://zotero.org/users/13901503/items/IM2TT9E8"],"itemData":{"id":3724,"type":"article-journal","abstract":"Reactive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rsidR="00C74079">
        <w:fldChar w:fldCharType="separate"/>
      </w:r>
      <w:r w:rsidR="00204905">
        <w:rPr>
          <w:noProof/>
        </w:rPr>
        <w:t>(Nathan &amp; Cunningham-Bussel, 2013)</w:t>
      </w:r>
      <w:r w:rsidR="00C74079">
        <w:fldChar w:fldCharType="end"/>
      </w:r>
      <w:r>
        <w:t xml:space="preserve">. 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instrText xml:space="preserve"> ADDIN ZOTERO_ITEM CSL_CITATION {"citationID":"ZVo4Iuph","properties":{"formattedCitation":"(Li et al., 2023; Mostafavi Abdolmaleky &amp; Zhou, 2024)","plainCitation":"(Li et al., 2023; Mostafavi Abdolmaleky &amp; Zhou, 2024)","noteIndex":0},"citationItems":[{"id":3497,"uris":["http://zotero.org/users/13901503/items/RMY7RJ4R"],"itemData":{"id":3497,"type":"article-journal","abstract":"Inflammatory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Pr>
          <w:noProof/>
        </w:rPr>
        <w:t>(Li et al., 2023; Mostafavi Abdolmaleky &amp; Zhou, 2024)</w:t>
      </w:r>
      <w:r>
        <w:fldChar w:fldCharType="end"/>
      </w:r>
      <w:r>
        <w:t xml:space="preserve">, our findings provide the first evidence of this mechanism in a natural population in response to environmental change. Our results highlight the crucial role of temperature in shaping essential gut microbiome functions in a wild endotherm species and offer insight into how rising temperatures due to climate change may affect wild animals via microbiome-mediated mechanisms. </w:t>
      </w:r>
    </w:p>
    <w:p w14:paraId="36439FCD" w14:textId="77777777" w:rsidR="005B5DB4" w:rsidRDefault="005B5DB4" w:rsidP="00FD15B2"/>
    <w:p w14:paraId="6829AC78" w14:textId="49D0AD6C" w:rsidR="005B5DB4" w:rsidRDefault="005B5DB4" w:rsidP="005B5DB4">
      <w:pPr>
        <w:rPr>
          <w:u w:val="single"/>
        </w:rPr>
      </w:pPr>
      <w:r w:rsidRPr="00C64C3B">
        <w:rPr>
          <w:u w:val="single"/>
        </w:rPr>
        <w:t xml:space="preserve">Gut microbiome </w:t>
      </w:r>
      <w:r>
        <w:rPr>
          <w:u w:val="single"/>
        </w:rPr>
        <w:t xml:space="preserve">response to temperature </w:t>
      </w:r>
      <w:r w:rsidR="00253872">
        <w:rPr>
          <w:u w:val="single"/>
        </w:rPr>
        <w:t>affects microbiome-immune homeostasis</w:t>
      </w:r>
    </w:p>
    <w:p w14:paraId="02C41618" w14:textId="77777777" w:rsidR="00CC71B6" w:rsidRDefault="005B5DB4" w:rsidP="00CC71B6">
      <w:r>
        <w:t xml:space="preserve">The interaction between temperature and immune activation supports the idea that heat-driven taxonomic shifts influence the relationship between the gut microbiome and host immunity. Specifically, the decline in obligate anaerobes at high temperatures </w:t>
      </w:r>
      <w:r w:rsidR="00DE097D">
        <w:t xml:space="preserve">may </w:t>
      </w:r>
      <w:r>
        <w:t xml:space="preserve">disrupt microbiome-immune homeostasis by reducing anti-inflammatory signaling that typically promotes immune tolerance toward the microbiome. For example, stronger declines in obligate genera </w:t>
      </w:r>
      <w:r>
        <w:rPr>
          <w:rStyle w:val="Emphasis"/>
          <w:rFonts w:eastAsiaTheme="majorEastAsia"/>
        </w:rPr>
        <w:t>Parabacteroides</w:t>
      </w:r>
      <w:r>
        <w:t xml:space="preserve"> and </w:t>
      </w:r>
      <w:proofErr w:type="spellStart"/>
      <w:r>
        <w:rPr>
          <w:rStyle w:val="Emphasis"/>
          <w:rFonts w:eastAsiaTheme="majorEastAsia"/>
        </w:rPr>
        <w:t>Alistipes</w:t>
      </w:r>
      <w:proofErr w:type="spellEnd"/>
      <w:r>
        <w:rPr>
          <w:rStyle w:val="Emphasis"/>
          <w:rFonts w:eastAsiaTheme="majorEastAsia"/>
        </w:rPr>
        <w:t xml:space="preserve"> </w:t>
      </w:r>
      <w:r w:rsidRPr="00DE097D">
        <w:rPr>
          <w:rStyle w:val="Emphasis"/>
          <w:rFonts w:eastAsiaTheme="majorEastAsia"/>
          <w:i w:val="0"/>
          <w:iCs w:val="0"/>
        </w:rPr>
        <w:t>that contribute to anti-inflammatory signaling through the production of SCFAs</w:t>
      </w:r>
      <w:r>
        <w:rPr>
          <w:rStyle w:val="Emphasis"/>
          <w:rFonts w:eastAsiaTheme="majorEastAsia"/>
        </w:rPr>
        <w:t xml:space="preserve"> </w:t>
      </w:r>
      <w:r>
        <w:fldChar w:fldCharType="begin"/>
      </w:r>
      <w:r>
        <w:instrText xml:space="preserve"> ADDIN ZOTERO_ITEM CSL_CITATION {"citationID":"wESsU6it","properties":{"formattedCitation":"(Hiippala et al., 2020; Parker et al., 2020)","plainCitation":"(Hiippala et al., 2020; Parker et al., 2020)","noteIndex":0},"citationItems":[{"id":2193,"uris":["http://zotero.org/users/13901503/items/TK9QBJNS"],"itemData":{"id":2193,"type":"article-journal","abstract":"Altered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Pr>
          <w:noProof/>
        </w:rPr>
        <w:t>(Hiippala et al., 2020; Parker et al., 2020)</w:t>
      </w:r>
      <w:r>
        <w:fldChar w:fldCharType="end"/>
      </w:r>
      <w:r>
        <w:t xml:space="preserve"> </w:t>
      </w:r>
      <w:r w:rsidRPr="00DE097D">
        <w:rPr>
          <w:rStyle w:val="Emphasis"/>
          <w:rFonts w:eastAsiaTheme="majorEastAsia"/>
          <w:i w:val="0"/>
          <w:iCs w:val="0"/>
        </w:rPr>
        <w:t>are associated with higher neopterin levels</w:t>
      </w:r>
      <w:r>
        <w:rPr>
          <w:rStyle w:val="Emphasis"/>
          <w:rFonts w:eastAsiaTheme="majorEastAsia"/>
        </w:rPr>
        <w:t xml:space="preserve"> </w:t>
      </w:r>
      <w:r w:rsidRPr="00DE097D">
        <w:rPr>
          <w:rStyle w:val="Emphasis"/>
          <w:rFonts w:eastAsiaTheme="majorEastAsia"/>
          <w:i w:val="0"/>
          <w:iCs w:val="0"/>
        </w:rPr>
        <w:t>(Fig 4A), suggesting that their decline may reduce immune tolerance towards the gut microbiome and trigger increased macrophage activity. Similarly, stronger declines in metabolic pathways that produce anti-inflammatory immunomodulators, including the</w:t>
      </w:r>
      <w:r>
        <w:rPr>
          <w:rStyle w:val="Emphasis"/>
          <w:rFonts w:eastAsiaTheme="majorEastAsia"/>
        </w:rPr>
        <w:t xml:space="preserve"> </w:t>
      </w:r>
      <w:r>
        <w:t xml:space="preserve">synthesis of monounsaturated fatty acids </w:t>
      </w:r>
      <w:r>
        <w:fldChar w:fldCharType="begin"/>
      </w:r>
      <w:r>
        <w:instrText xml:space="preserve"> ADDIN ZOTERO_ITEM CSL_CITATION {"citationID":"Yyg97aqJ","properties":{"formattedCitation":"(Hung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Pr>
          <w:noProof/>
        </w:rPr>
        <w:t>(Hung et al., 2023)</w:t>
      </w:r>
      <w:r>
        <w:fldChar w:fldCharType="end"/>
      </w:r>
      <w:r>
        <w:t xml:space="preserve"> and the amino acid derivatives tryptophan </w:t>
      </w:r>
      <w:r>
        <w:fldChar w:fldCharType="begin"/>
      </w:r>
      <w:r>
        <w:instrText xml:space="preserve"> ADDIN ZOTERO_ITEM CSL_CITATION {"citationID":"kcrryZeu","properties":{"formattedCitation":"(Zelante et al., 2013)","plainCitation":"(Zelante et al., 2013)","noteIndex":0},"citationItems":[{"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fldChar w:fldCharType="separate"/>
      </w:r>
      <w:r>
        <w:rPr>
          <w:noProof/>
        </w:rPr>
        <w:t>(Zelante et al., 2013)</w:t>
      </w:r>
      <w:r>
        <w:fldChar w:fldCharType="end"/>
      </w:r>
      <w:r>
        <w:t xml:space="preserve">, are also associated with high neopterin (Fig 5D &amp; E). Notably, the synthesis of tryptophan is characteristic of obligate taxa </w:t>
      </w:r>
      <w:r>
        <w:fldChar w:fldCharType="begin"/>
      </w:r>
      <w:r>
        <w:instrText xml:space="preserve"> ADDIN ZOTERO_ITEM CSL_CITATION {"citationID":"nHC3GdEJ","properties":{"formattedCitation":"(Dodd et al., 2017)","plainCitation":"(Dodd et al., 2017)","noteIndex":0},"citationItems":[{"id":3659,"uris":["http://zotero.org/users/13901503/items/WFUC2V8A"],"itemData":{"id":3659,"type":"article-journal","abstract":"A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L."}],"issued":{"date-parts":[["2017",11]]}}}],"schema":"https://github.com/citation-style-language/schema/raw/master/csl-citation.json"} </w:instrText>
      </w:r>
      <w:r>
        <w:fldChar w:fldCharType="separate"/>
      </w:r>
      <w:r>
        <w:rPr>
          <w:noProof/>
        </w:rPr>
        <w:t>(Dodd et al., 2017)</w:t>
      </w:r>
      <w:r>
        <w:fldChar w:fldCharType="end"/>
      </w:r>
      <w:r>
        <w:t>, reinforcing the idea that the loss of obligates at high temperatures reduces immune tolerance toward the gut microbiome. Together, these findings suggest that temperature-driven loss of obligate taxa disrupts gut-immune homeostasis and contributes to a risk of chronic inflammation during prolonged heat exposure due to increased immune activation</w:t>
      </w:r>
      <w:r w:rsidR="00786FBA">
        <w:t>.</w:t>
      </w:r>
    </w:p>
    <w:p w14:paraId="341CF87F" w14:textId="02474238" w:rsidR="00786FBA" w:rsidRDefault="005B5DB4" w:rsidP="00CC71B6">
      <w:pPr>
        <w:ind w:firstLine="720"/>
      </w:pPr>
      <w:r>
        <w:t xml:space="preserve">The interaction between temperature and neopterin also suggests that the combined effects of high temperatures and immune activation create particularly unfavorable conditions for obligate anaerobes. Taxa that exhibit stronger declines when neopterin is high are primarily from the phyla </w:t>
      </w:r>
      <w:proofErr w:type="spellStart"/>
      <w:r w:rsidRPr="00487066">
        <w:rPr>
          <w:rStyle w:val="Strong"/>
          <w:rFonts w:eastAsiaTheme="majorEastAsia"/>
          <w:b w:val="0"/>
          <w:bCs w:val="0"/>
        </w:rPr>
        <w:t>Bacteroidota</w:t>
      </w:r>
      <w:proofErr w:type="spellEnd"/>
      <w:r w:rsidRPr="00487066">
        <w:rPr>
          <w:b/>
          <w:bCs/>
        </w:rPr>
        <w:t xml:space="preserve"> </w:t>
      </w:r>
      <w:r w:rsidRPr="00487066">
        <w:t>and</w:t>
      </w:r>
      <w:r w:rsidRPr="00487066">
        <w:rPr>
          <w:b/>
          <w:bCs/>
        </w:rPr>
        <w:t xml:space="preserve"> </w:t>
      </w:r>
      <w:r w:rsidRPr="00487066">
        <w:rPr>
          <w:rStyle w:val="Strong"/>
          <w:rFonts w:eastAsiaTheme="majorEastAsia"/>
          <w:b w:val="0"/>
          <w:bCs w:val="0"/>
        </w:rPr>
        <w:t>Firmicutes</w:t>
      </w:r>
      <w:r>
        <w:t xml:space="preserve"> which include many obligate anaerobes (Fig 4A). We also observed a stronger decline in pathways commonly associated with obligate taxa</w:t>
      </w:r>
      <w:r w:rsidRPr="00A41196">
        <w:t xml:space="preserve"> </w:t>
      </w:r>
      <w:r>
        <w:t xml:space="preserve">including complex carb </w:t>
      </w:r>
      <w:r w:rsidRPr="00487066">
        <w:rPr>
          <w:rStyle w:val="Strong"/>
          <w:rFonts w:eastAsiaTheme="majorEastAsia"/>
          <w:b w:val="0"/>
          <w:bCs w:val="0"/>
        </w:rPr>
        <w:t xml:space="preserve">fermentation </w:t>
      </w:r>
      <w:r w:rsidRPr="00487066">
        <w:rPr>
          <w:rStyle w:val="Strong"/>
          <w:rFonts w:eastAsiaTheme="majorEastAsia"/>
          <w:b w:val="0"/>
          <w:bCs w:val="0"/>
        </w:rPr>
        <w:fldChar w:fldCharType="begin"/>
      </w:r>
      <w:r w:rsidRPr="00487066">
        <w:rPr>
          <w:rStyle w:val="Strong"/>
          <w:rFonts w:eastAsiaTheme="majorEastAsia"/>
          <w:b w:val="0"/>
          <w:bCs w:val="0"/>
        </w:rPr>
        <w:instrText xml:space="preserve"> ADDIN ZOTERO_ITEM CSL_CITATION {"citationID":"tuESI0A9","properties":{"formattedCitation":"(Flint et al., 2012)","plainCitation":"(Flint et al., 2012)","noteIndex":0},"citationItems":[{"id":3409,"uris":["http://zotero.org/users/13901503/items/73VRZX5M"],"itemData":{"id":3409,"type":"article-journal","abstract":"Bacteria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487066">
        <w:rPr>
          <w:rStyle w:val="Strong"/>
          <w:rFonts w:eastAsiaTheme="majorEastAsia"/>
          <w:b w:val="0"/>
          <w:bCs w:val="0"/>
        </w:rPr>
        <w:fldChar w:fldCharType="separate"/>
      </w:r>
      <w:r w:rsidRPr="00487066">
        <w:rPr>
          <w:rStyle w:val="Strong"/>
          <w:rFonts w:eastAsiaTheme="majorEastAsia"/>
          <w:b w:val="0"/>
          <w:bCs w:val="0"/>
          <w:noProof/>
        </w:rPr>
        <w:t>(Flint et al., 2012)</w:t>
      </w:r>
      <w:r w:rsidRPr="00487066">
        <w:rPr>
          <w:rStyle w:val="Strong"/>
          <w:rFonts w:eastAsiaTheme="majorEastAsia"/>
          <w:b w:val="0"/>
          <w:bCs w:val="0"/>
        </w:rPr>
        <w:fldChar w:fldCharType="end"/>
      </w:r>
      <w:r w:rsidR="00487066">
        <w:rPr>
          <w:b/>
          <w:bCs/>
        </w:rPr>
        <w:t xml:space="preserve"> </w:t>
      </w:r>
      <w:r w:rsidR="00487066">
        <w:t>and</w:t>
      </w:r>
      <w:r w:rsidRPr="00A41196">
        <w:rPr>
          <w:b/>
          <w:bCs/>
        </w:rPr>
        <w:t xml:space="preserve"> </w:t>
      </w:r>
      <w:r w:rsidRPr="00487066">
        <w:rPr>
          <w:rStyle w:val="Strong"/>
          <w:rFonts w:eastAsiaTheme="majorEastAsia"/>
          <w:b w:val="0"/>
          <w:bCs w:val="0"/>
        </w:rPr>
        <w:t>Gram-positive cell wall biosynthesis</w:t>
      </w:r>
      <w:r w:rsidR="00487066">
        <w:rPr>
          <w:rStyle w:val="Strong"/>
          <w:rFonts w:eastAsiaTheme="majorEastAsia"/>
          <w:b w:val="0"/>
          <w:bCs w:val="0"/>
        </w:rPr>
        <w:t xml:space="preserve"> </w:t>
      </w:r>
      <w:r w:rsidR="00505AA6">
        <w:rPr>
          <w:rStyle w:val="Strong"/>
          <w:rFonts w:eastAsiaTheme="majorEastAsia"/>
          <w:b w:val="0"/>
          <w:bCs w:val="0"/>
        </w:rPr>
        <w:lastRenderedPageBreak/>
        <w:t>characteristic</w:t>
      </w:r>
      <w:r w:rsidR="00487066">
        <w:rPr>
          <w:rStyle w:val="Strong"/>
          <w:rFonts w:eastAsiaTheme="majorEastAsia"/>
          <w:b w:val="0"/>
          <w:bCs w:val="0"/>
        </w:rPr>
        <w:t xml:space="preserve"> of obligates from the Firmicutes phylum </w:t>
      </w:r>
      <w:r w:rsidR="00487066">
        <w:rPr>
          <w:rStyle w:val="Strong"/>
          <w:rFonts w:eastAsiaTheme="majorEastAsia"/>
          <w:b w:val="0"/>
          <w:bCs w:val="0"/>
        </w:rPr>
        <w:fldChar w:fldCharType="begin"/>
      </w:r>
      <w:r w:rsidR="00487066">
        <w:rPr>
          <w:rStyle w:val="Strong"/>
          <w:rFonts w:eastAsiaTheme="majorEastAsia"/>
          <w:b w:val="0"/>
          <w:bCs w:val="0"/>
        </w:rPr>
        <w:instrText xml:space="preserve"> ADDIN ZOTERO_ITEM CSL_CITATION {"citationID":"yCxgcM3a","properties":{"formattedCitation":"(Rajili\\uc0\\u263{}-Stojanovi\\uc0\\u263{} &amp; de Vos, 2014)","plainCitation":"(Rajilić-Stojanović &amp; de Vos, 2014)","noteIndex":0},"citationItems":[{"id":3707,"uris":["http://zotero.org/users/13901503/items/DINXISI6"],"itemData":{"id":3707,"type":"article-journal","abstract":"The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487066">
        <w:rPr>
          <w:rStyle w:val="Strong"/>
          <w:rFonts w:eastAsiaTheme="majorEastAsia"/>
          <w:b w:val="0"/>
          <w:bCs w:val="0"/>
        </w:rPr>
        <w:fldChar w:fldCharType="separate"/>
      </w:r>
      <w:r w:rsidR="00487066" w:rsidRPr="00487066">
        <w:t>(</w:t>
      </w:r>
      <w:proofErr w:type="spellStart"/>
      <w:r w:rsidR="00487066" w:rsidRPr="00487066">
        <w:t>Rajilić</w:t>
      </w:r>
      <w:proofErr w:type="spellEnd"/>
      <w:r w:rsidR="00487066" w:rsidRPr="00487066">
        <w:t>-Stojanović &amp; de Vos, 2014)</w:t>
      </w:r>
      <w:r w:rsidR="00487066">
        <w:rPr>
          <w:rStyle w:val="Strong"/>
          <w:rFonts w:eastAsiaTheme="majorEastAsia"/>
          <w:b w:val="0"/>
          <w:bCs w:val="0"/>
        </w:rPr>
        <w:fldChar w:fldCharType="end"/>
      </w:r>
      <w:r w:rsidR="00487066">
        <w:rPr>
          <w:rStyle w:val="Strong"/>
          <w:rFonts w:eastAsiaTheme="majorEastAsia"/>
          <w:b w:val="0"/>
          <w:bCs w:val="0"/>
        </w:rPr>
        <w:t xml:space="preserve">(Fig 5D). </w:t>
      </w:r>
      <w:r>
        <w:t>Together these patterns suggest that the combination of high temperatures and macrophage activity contributes to the loss of obligate taxa, likely because immune activation exacerbates the redox imbalance initiated by high temperatures.</w:t>
      </w:r>
      <w:r w:rsidR="003F274E">
        <w:t xml:space="preserve"> </w:t>
      </w:r>
    </w:p>
    <w:p w14:paraId="779A5C21" w14:textId="06577C40" w:rsidR="003F274E" w:rsidRDefault="005B5DB4" w:rsidP="00253872">
      <w:pPr>
        <w:ind w:firstLine="720"/>
      </w:pPr>
      <w:r>
        <w:t xml:space="preserve">In contrast, facultative anaerobes </w:t>
      </w:r>
      <w:r w:rsidR="003F274E">
        <w:t>may be</w:t>
      </w:r>
      <w:r>
        <w:t xml:space="preserve"> more resilient to these conditions and </w:t>
      </w:r>
      <w:r w:rsidR="003F274E">
        <w:t>could</w:t>
      </w:r>
      <w:r>
        <w:t xml:space="preserve"> persist where obligates decline. </w:t>
      </w:r>
      <w:r w:rsidR="00455FE7">
        <w:t xml:space="preserve">For example, </w:t>
      </w:r>
      <w:proofErr w:type="spellStart"/>
      <w:r w:rsidR="00455FE7" w:rsidRPr="00487066">
        <w:rPr>
          <w:rStyle w:val="Strong"/>
          <w:rFonts w:eastAsiaTheme="majorEastAsia"/>
          <w:b w:val="0"/>
          <w:bCs w:val="0"/>
          <w:i/>
          <w:iCs/>
        </w:rPr>
        <w:t>Helicobacteraceae</w:t>
      </w:r>
      <w:proofErr w:type="spellEnd"/>
      <w:r w:rsidR="00455FE7" w:rsidRPr="00455FE7">
        <w:t xml:space="preserve"> </w:t>
      </w:r>
      <w:r w:rsidR="00455FE7">
        <w:t>exhibit</w:t>
      </w:r>
      <w:r w:rsidR="00505AA6">
        <w:t>s a</w:t>
      </w:r>
      <w:r w:rsidR="00455FE7">
        <w:t xml:space="preserve"> stronger increase in abundance when neopterin is high (Fig 4B</w:t>
      </w:r>
      <w:r w:rsidR="00455FE7">
        <w:t xml:space="preserve">), </w:t>
      </w:r>
      <w:r w:rsidR="00455FE7">
        <w:t>suggesting they are better able to tolerate redox imbalance, and may exploit niches vacated by the loss of obligates.</w:t>
      </w:r>
      <w:r w:rsidR="003F274E" w:rsidRPr="003F274E">
        <w:t xml:space="preserve"> </w:t>
      </w:r>
      <w:r w:rsidR="002708C3">
        <w:t>Further</w:t>
      </w:r>
      <w:r w:rsidR="003F274E">
        <w:t>, several pathways commonly associated with facultative taxa exhibit a stronger increase at high neopterin levels, suggesting that these taxa may be actively responding to changes in the gut environment (Fig 5B). For example, the glyoxylate cycle and Rubisco shunt both increase under high neopterin which likely supports energy conservation</w:t>
      </w:r>
      <w:r w:rsidR="003F274E" w:rsidRPr="009647C8">
        <w:t xml:space="preserve"> </w:t>
      </w:r>
      <w:r w:rsidR="003F274E">
        <w:t xml:space="preserve">under oxygen and energy-limited conditions </w:t>
      </w:r>
      <w:r w:rsidR="003F274E">
        <w:fldChar w:fldCharType="begin"/>
      </w:r>
      <w:r w:rsidR="003F274E">
        <w:instrText xml:space="preserve"> ADDIN ZOTERO_ITEM CSL_CITATION {"citationID":"PvilTIb8","properties":{"formattedCitation":"(Ahn et al., 2016; Badger &amp; Bek, 2008)","plainCitation":"(Ahn et al., 2016; Badger &amp; Bek, 2008)","noteIndex":0},"citationItems":[{"id":3666,"uris":["http://zotero.org/users/13901503/items/787C6UND"],"itemData":{"id":3666,"type":"article-journal","abstract":"&lt;p&gt;The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3F274E">
        <w:fldChar w:fldCharType="separate"/>
      </w:r>
      <w:r w:rsidR="003F274E">
        <w:rPr>
          <w:noProof/>
        </w:rPr>
        <w:t>(Ahn et al., 2016; Badger &amp; Bek, 2008)</w:t>
      </w:r>
      <w:r w:rsidR="003F274E">
        <w:fldChar w:fldCharType="end"/>
      </w:r>
      <w:r w:rsidR="003F274E">
        <w:t xml:space="preserve">. In addition, redox maintenance pathways such as ubiquinone biosynthesis also increase which helps facultative anaerobes neutralize ROS </w:t>
      </w:r>
      <w:r w:rsidR="003F274E">
        <w:fldChar w:fldCharType="begin"/>
      </w:r>
      <w:r w:rsidR="003F274E">
        <w:instrText xml:space="preserve"> ADDIN ZOTERO_ITEM CSL_CITATION {"citationID":"Fk5o5734","properties":{"formattedCitation":"(Bekker et al., 2007)","plainCitation":"(Bekker et al., 2007)","noteIndex":0},"citationItems":[{"id":3665,"uris":["http://zotero.org/users/13901503/items/NVUGIX64"],"itemData":{"id":3665,"type":"article-journal","container-title":"Microbiology","DOI":"10.1099/mic.0.2007/006098-0","ISSN":"1350-0872,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3F274E">
        <w:fldChar w:fldCharType="separate"/>
      </w:r>
      <w:r w:rsidR="003F274E">
        <w:rPr>
          <w:noProof/>
        </w:rPr>
        <w:t>(Bekker et al., 2007)</w:t>
      </w:r>
      <w:r w:rsidR="003F274E">
        <w:fldChar w:fldCharType="end"/>
      </w:r>
      <w:r w:rsidR="003F274E">
        <w:t>.</w:t>
      </w:r>
      <w:r w:rsidR="003F274E" w:rsidRPr="009647C8">
        <w:t xml:space="preserve"> </w:t>
      </w:r>
      <w:r w:rsidR="00E344E1">
        <w:t xml:space="preserve">Synthesis of </w:t>
      </w:r>
      <w:r w:rsidR="00E344E1">
        <w:t>enterobacterial common antigen (ECA)</w:t>
      </w:r>
      <w:r w:rsidR="00E344E1">
        <w:t xml:space="preserve"> also increases which is characteristic of </w:t>
      </w:r>
      <w:r w:rsidR="00E344E1" w:rsidRPr="00E344E1">
        <w:rPr>
          <w:i/>
          <w:iCs/>
        </w:rPr>
        <w:t>Enterobacteriaceae</w:t>
      </w:r>
      <w:r w:rsidR="00E344E1">
        <w:t xml:space="preserve"> </w:t>
      </w:r>
      <w:r w:rsidR="00E344E1">
        <w:fldChar w:fldCharType="begin"/>
      </w:r>
      <w:r w:rsidR="00786FBA">
        <w:instrText xml:space="preserve"> ADDIN ZOTERO_ITEM CSL_CITATION {"citationID":"FvN60f2B","properties":{"formattedCitation":"(Kuhn et al., 1988)","plainCitation":"(Kuhn et al., 1988)","noteIndex":0},"citationItems":[{"id":3712,"uris":["http://zotero.org/users/13901503/items/S8VNSY7N"],"itemData":{"id":3712,"type":"article-journal","abstract":"Enterobacterial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E344E1">
        <w:fldChar w:fldCharType="separate"/>
      </w:r>
      <w:r w:rsidR="00786FBA">
        <w:rPr>
          <w:noProof/>
        </w:rPr>
        <w:t>(Kuhn et al., 1988)</w:t>
      </w:r>
      <w:r w:rsidR="00E344E1">
        <w:fldChar w:fldCharType="end"/>
      </w:r>
      <w:r w:rsidR="00786FBA">
        <w:t xml:space="preserve">. </w:t>
      </w:r>
      <w:r w:rsidR="003F274E">
        <w:t xml:space="preserve">Together these patterns indicate that high temperatures and increased immune activity reinforce one another by shifting gut microbiome composition away from obligates and towards facultative taxa capable of tolerating and potentially exploiting these conditions. </w:t>
      </w:r>
    </w:p>
    <w:p w14:paraId="416C77A3" w14:textId="10F860AA" w:rsidR="002708C3" w:rsidRDefault="002708C3" w:rsidP="00786FBA">
      <w:pPr>
        <w:ind w:firstLine="720"/>
      </w:pPr>
      <w:r>
        <w:t>The shift towards facultative taxa at high temperatures likely contributes to increased immune activation and further disrupts gut-immune homeostasis.</w:t>
      </w:r>
      <w:r w:rsidRPr="002708C3">
        <w:t xml:space="preserve"> </w:t>
      </w:r>
      <w:r>
        <w:t xml:space="preserve">For example, </w:t>
      </w:r>
      <w:proofErr w:type="spellStart"/>
      <w:r>
        <w:rPr>
          <w:rStyle w:val="Emphasis"/>
          <w:rFonts w:eastAsiaTheme="majorEastAsia"/>
        </w:rPr>
        <w:t>Helicobacteraceae</w:t>
      </w:r>
      <w:proofErr w:type="spellEnd"/>
      <w:r w:rsidRPr="002708C3">
        <w:rPr>
          <w:rStyle w:val="Emphasis"/>
          <w:rFonts w:eastAsiaTheme="majorEastAsia"/>
          <w:i w:val="0"/>
          <w:iCs w:val="0"/>
        </w:rPr>
        <w:t>, is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instrText xml:space="preserve"> ADDIN ZOTERO_ITEM CSL_CITATION {"citationID":"cZJ2yfWg","properties":{"formattedCitation":"(Chu et al., 2003)","plainCitation":"(Chu et al., 2003)","noteIndex":0},"citationItems":[{"id":3644,"uris":["http://zotero.org/users/13901503/items/GZ2VQ6TK"],"itemData":{"id":3644,"type":"article-journal","abstract":"Abstract: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Pr>
          <w:noProof/>
        </w:rPr>
        <w:t>(Chu et al., 2003)</w:t>
      </w:r>
      <w:r>
        <w:fldChar w:fldCharType="end"/>
      </w:r>
      <w:r>
        <w:t>.</w:t>
      </w:r>
      <w:r>
        <w:t xml:space="preserve"> In addition, lipid A synthesis</w:t>
      </w:r>
      <w:r w:rsidR="0071461C">
        <w:t>, which is characteristic of many facultative taxa,</w:t>
      </w:r>
      <w:r>
        <w:t xml:space="preserve"> increases at higher neopterin and </w:t>
      </w:r>
      <w:r w:rsidR="0071461C">
        <w:t>form</w:t>
      </w:r>
      <w:r w:rsidR="0071461C">
        <w:t>s</w:t>
      </w:r>
      <w:r w:rsidR="0071461C">
        <w:t xml:space="preserve"> pathogen-associated molecular patterns (PAMPs) that are recognized by Toll-like receptors (TLRs) and can initiate pro-inflammatory signaling </w:t>
      </w:r>
      <w:r w:rsidR="0071461C">
        <w:fldChar w:fldCharType="begin"/>
      </w:r>
      <w:r w:rsidR="0071461C">
        <w:instrText xml:space="preserve"> ADDIN ZOTERO_ITEM CSL_CITATION {"citationID":"XLDjRCPa","properties":{"formattedCitation":"(Raetz &amp; Whitfield, 2002)","plainCitation":"(Raetz &amp; Whitfield, 2002)","noteIndex":0},"citationItems":[{"id":3710,"uris":["http://zotero.org/users/13901503/items/7XBTXUWV"],"itemData":{"id":3710,"type":"article-journal","abstract":"Bacterial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71461C">
        <w:fldChar w:fldCharType="separate"/>
      </w:r>
      <w:r w:rsidR="0071461C">
        <w:rPr>
          <w:noProof/>
        </w:rPr>
        <w:t>(Raetz &amp; Whitfield, 2002)</w:t>
      </w:r>
      <w:r w:rsidR="0071461C">
        <w:fldChar w:fldCharType="end"/>
      </w:r>
      <w:r w:rsidR="0071461C">
        <w:t>(Fig 5B).</w:t>
      </w:r>
      <w:r w:rsidR="00505AA6" w:rsidRPr="00505AA6">
        <w:t xml:space="preserve"> </w:t>
      </w:r>
      <w:r w:rsidR="00505AA6">
        <w:t>Thus, the increased abundance of facultative taxa may actively stimulate immune responses by triggering common inflammatory mechanisms. These shifts coupled with the loss of anti-inflammatory support from obligate anaerobes could lead to sustained immune activation and increase the risk of chronic inflammation at high temperatures.</w:t>
      </w:r>
    </w:p>
    <w:p w14:paraId="43E0A20A" w14:textId="2E1BC951" w:rsidR="00CC71B6" w:rsidRDefault="005B5DB4" w:rsidP="00CC71B6">
      <w:pPr>
        <w:ind w:firstLine="720"/>
      </w:pPr>
      <w:r w:rsidRPr="00973225">
        <w:t xml:space="preserve">Taken together, these findings provide robust support for a </w:t>
      </w:r>
      <w:bookmarkStart w:id="4" w:name="_Hlk200366020"/>
      <w:r w:rsidRPr="00973225">
        <w:t xml:space="preserve">heat-induced physiological cascade that affects microbiome composition and disrupts immune homeostasis </w:t>
      </w:r>
      <w:bookmarkEnd w:id="4"/>
      <w:r w:rsidRPr="00973225">
        <w:t xml:space="preserve">(Fig. 3F). The interaction effects reveal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 </w:t>
      </w:r>
      <w:r w:rsidR="00786FBA">
        <w:t xml:space="preserve">There are also indications that the gut microbiome may mount compensatory responses to counteract these effects and restore homeostasis. For example, we observe increased abundance of two known short-chain fatty acid (SCFA) producers, </w:t>
      </w:r>
      <w:proofErr w:type="spellStart"/>
      <w:r w:rsidR="00786FBA">
        <w:rPr>
          <w:rStyle w:val="Emphasis"/>
          <w:rFonts w:eastAsiaTheme="majorEastAsia"/>
        </w:rPr>
        <w:t>Phascolarctobacterium</w:t>
      </w:r>
      <w:proofErr w:type="spellEnd"/>
      <w:r w:rsidR="00786FBA">
        <w:t xml:space="preserve"> </w:t>
      </w:r>
      <w:r w:rsidR="005639BF">
        <w:fldChar w:fldCharType="begin"/>
      </w:r>
      <w:r w:rsidR="005639BF">
        <w:instrText xml:space="preserve"> ADDIN ZOTERO_ITEM CSL_CITATION {"citationID":"ubaxrLzX","properties":{"formattedCitation":"(Wu et al., 2017)","plainCitation":"(Wu et al., 2017)","noteIndex":0},"citationItems":[{"id":2168,"uris":["http://zotero.org/users/13901503/items/8KEM2KE5"],"itemData":{"id":2168,"type":"article-journal","abstract":"Phascolarctobacterium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rsidR="005639BF">
        <w:fldChar w:fldCharType="separate"/>
      </w:r>
      <w:r w:rsidR="005639BF">
        <w:rPr>
          <w:noProof/>
        </w:rPr>
        <w:t>(Wu et al., 2017)</w:t>
      </w:r>
      <w:r w:rsidR="005639BF">
        <w:fldChar w:fldCharType="end"/>
      </w:r>
      <w:r w:rsidR="005639BF">
        <w:t xml:space="preserve"> </w:t>
      </w:r>
      <w:r w:rsidR="00786FBA">
        <w:t xml:space="preserve">and </w:t>
      </w:r>
      <w:r w:rsidR="00786FBA" w:rsidRPr="006841BE">
        <w:rPr>
          <w:rStyle w:val="Emphasis"/>
          <w:rFonts w:eastAsiaTheme="majorEastAsia"/>
        </w:rPr>
        <w:t>Eubacterium</w:t>
      </w:r>
      <w:r w:rsidR="005639BF" w:rsidRPr="006841BE">
        <w:rPr>
          <w:rStyle w:val="Emphasis"/>
          <w:rFonts w:eastAsiaTheme="majorEastAsia"/>
          <w:i w:val="0"/>
          <w:iCs w:val="0"/>
        </w:rPr>
        <w:t xml:space="preserve"> </w:t>
      </w:r>
      <w:r w:rsidR="006841BE" w:rsidRPr="006841BE">
        <w:rPr>
          <w:rStyle w:val="Emphasis"/>
          <w:rFonts w:eastAsiaTheme="majorEastAsia"/>
          <w:i w:val="0"/>
          <w:iCs w:val="0"/>
        </w:rPr>
        <w:fldChar w:fldCharType="begin"/>
      </w:r>
      <w:r w:rsidR="006841BE" w:rsidRPr="006841BE">
        <w:rPr>
          <w:rStyle w:val="Emphasis"/>
          <w:rFonts w:eastAsiaTheme="majorEastAsia"/>
          <w:i w:val="0"/>
          <w:iCs w:val="0"/>
        </w:rPr>
        <w:instrText xml:space="preserve"> ADDIN ZOTERO_ITEM CSL_CITATION {"citationID":"ppO23vVe","properties":{"formattedCitation":"(Louis &amp; Flint, 2017)","plainCitation":"(Louis &amp; Flint, 2017)","noteIndex":0},"citationItems":[{"id":3715,"uris":["http://zotero.org/users/13901503/items/6SAKEANZ"],"itemData":{"id":3715,"type":"article-journal","abstract":"Summary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006841BE" w:rsidRPr="006841BE">
        <w:rPr>
          <w:rStyle w:val="Emphasis"/>
          <w:rFonts w:eastAsiaTheme="majorEastAsia"/>
          <w:i w:val="0"/>
          <w:iCs w:val="0"/>
        </w:rPr>
        <w:fldChar w:fldCharType="separate"/>
      </w:r>
      <w:r w:rsidR="006841BE" w:rsidRPr="006841BE">
        <w:rPr>
          <w:rStyle w:val="Emphasis"/>
          <w:rFonts w:eastAsiaTheme="majorEastAsia"/>
          <w:i w:val="0"/>
          <w:iCs w:val="0"/>
          <w:noProof/>
        </w:rPr>
        <w:t>(Louis &amp; Flint, 2017)</w:t>
      </w:r>
      <w:r w:rsidR="006841BE" w:rsidRPr="006841BE">
        <w:rPr>
          <w:rStyle w:val="Emphasis"/>
          <w:rFonts w:eastAsiaTheme="majorEastAsia"/>
          <w:i w:val="0"/>
          <w:iCs w:val="0"/>
        </w:rPr>
        <w:fldChar w:fldCharType="end"/>
      </w:r>
      <w:r w:rsidR="00786FBA">
        <w:t>, at high neopterin levels</w:t>
      </w:r>
      <w:r w:rsidR="00CC71B6">
        <w:t xml:space="preserve">, </w:t>
      </w:r>
      <w:r w:rsidR="00786FBA">
        <w:t>possibly reflecting an attempt to promote anti-inflammatory signaling. In addition, we see upregulation of several redox maintenance pathways, including the synthesis of B vitamins</w:t>
      </w:r>
      <w:r w:rsidR="006841BE">
        <w:t xml:space="preserve"> </w:t>
      </w:r>
      <w:r w:rsidR="006841BE">
        <w:fldChar w:fldCharType="begin"/>
      </w:r>
      <w:r w:rsidR="006841BE">
        <w:instrText xml:space="preserve"> ADDIN ZOTERO_ITEM CSL_CITATION {"citationID":"oWPRpQeE","properties":{"formattedCitation":"(Hellmann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6841BE">
        <w:fldChar w:fldCharType="separate"/>
      </w:r>
      <w:r w:rsidR="006841BE">
        <w:rPr>
          <w:noProof/>
        </w:rPr>
        <w:t>(Hellmann &amp; Mooney, 2010; Powers, 2003)</w:t>
      </w:r>
      <w:r w:rsidR="006841BE">
        <w:fldChar w:fldCharType="end"/>
      </w:r>
      <w:r w:rsidR="00786FBA">
        <w:t xml:space="preserve">, </w:t>
      </w:r>
      <w:proofErr w:type="spellStart"/>
      <w:r w:rsidR="00786FBA">
        <w:t>menaquinol</w:t>
      </w:r>
      <w:proofErr w:type="spellEnd"/>
      <w:r w:rsidR="006841BE">
        <w:t xml:space="preserve"> </w:t>
      </w:r>
      <w:r w:rsidR="006841BE">
        <w:fldChar w:fldCharType="begin"/>
      </w:r>
      <w:r w:rsidR="006841BE">
        <w:instrText xml:space="preserve"> ADDIN ZOTERO_ITEM CSL_CITATION {"citationID":"4f75BpHM","properties":{"formattedCitation":"(Gout,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6841BE">
        <w:fldChar w:fldCharType="separate"/>
      </w:r>
      <w:r w:rsidR="006841BE">
        <w:rPr>
          <w:noProof/>
        </w:rPr>
        <w:t>(Gout, 2018)</w:t>
      </w:r>
      <w:r w:rsidR="006841BE">
        <w:fldChar w:fldCharType="end"/>
      </w:r>
      <w:r w:rsidR="00786FBA">
        <w:t>, and NADPH</w:t>
      </w:r>
      <w:r w:rsidR="006841BE">
        <w:t xml:space="preserve"> </w:t>
      </w:r>
      <w:r w:rsidR="006841BE">
        <w:fldChar w:fldCharType="begin"/>
      </w:r>
      <w:r w:rsidR="006841BE">
        <w:instrText xml:space="preserve"> ADDIN ZOTERO_ITEM CSL_CITATION {"citationID":"ie0Y7lhz","properties":{"formattedCitation":"(Ying, 2008)","plainCitation":"(Ying, 2008)","noteIndex":0},"citationItems":[{"id":3239,"uris":["http://zotero.org/users/13901503/items/F8CEHMIS"],"itemData":{"id":3239,"type":"article-journal","abstract":"Accumulating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6841BE">
        <w:fldChar w:fldCharType="separate"/>
      </w:r>
      <w:r w:rsidR="006841BE">
        <w:rPr>
          <w:noProof/>
        </w:rPr>
        <w:t>(Ying, 2008)</w:t>
      </w:r>
      <w:r w:rsidR="006841BE">
        <w:fldChar w:fldCharType="end"/>
      </w:r>
      <w:r w:rsidR="00786FBA">
        <w:t xml:space="preserve">, which may represent microbial efforts to </w:t>
      </w:r>
      <w:r w:rsidR="00CC71B6">
        <w:t xml:space="preserve">restore redox balance. </w:t>
      </w:r>
    </w:p>
    <w:p w14:paraId="4D4770F6" w14:textId="4D0F4A87" w:rsidR="005B5DB4" w:rsidRPr="00973225" w:rsidRDefault="005B5DB4" w:rsidP="005B5DB4">
      <w:pPr>
        <w:ind w:firstLine="720"/>
      </w:pPr>
      <w:r w:rsidRPr="00973225">
        <w:lastRenderedPageBreak/>
        <w:t xml:space="preserve">These results provide compelling evidence that capuchins are already experiencing episodes of heat stress that may impact long-term health and fitness by increasing the risk of chronic inflammatory disease. 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15F79F12" w14:textId="77777777" w:rsidR="005B5DB4" w:rsidRDefault="005B5DB4" w:rsidP="00FD15B2"/>
    <w:p w14:paraId="21255530" w14:textId="77777777" w:rsidR="00786FBA" w:rsidRDefault="00786FBA" w:rsidP="00786FBA">
      <w:pPr>
        <w:pStyle w:val="NormalWeb"/>
        <w:rPr>
          <w:u w:val="single"/>
        </w:rPr>
      </w:pPr>
      <w:r w:rsidRPr="00786FBA">
        <w:rPr>
          <w:u w:val="single"/>
        </w:rPr>
        <w:t xml:space="preserve">Conclusion: </w:t>
      </w:r>
    </w:p>
    <w:p w14:paraId="6F4544EF" w14:textId="115E19F9" w:rsidR="005B5DB4" w:rsidRDefault="00786FBA" w:rsidP="00CC71B6">
      <w:pPr>
        <w:pStyle w:val="NormalWeb"/>
      </w:pPr>
      <w:r>
        <w:t>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taxa and shifts in metabolic pathways, alongside their association with neopterin, suggest that capuchins are experiencing periods of heat stress that may disrupt microbiome–immune homeostasis.</w:t>
      </w:r>
      <w:r w:rsidRPr="00CF2FB2">
        <w:t xml:space="preserve"> </w:t>
      </w:r>
      <w:r>
        <w:t>If prolonged, these shifts could reduce host tolerance toward gut microbes and increase the risk of chronic gut inflammation. Our findings represent some of the earliest evidence of climate-induced heat stress mediated by the gut microbiome in a wild primate population.</w:t>
      </w:r>
      <w:r w:rsidRPr="00CF2FB2">
        <w:t xml:space="preserve"> </w:t>
      </w:r>
      <w:r>
        <w:t xml:space="preserve">They offer critical insight into how rising temperatures due to climate change may impact wild animals through their microbiomes.  </w:t>
      </w:r>
    </w:p>
    <w:p w14:paraId="2AA8CB8F" w14:textId="77777777" w:rsidR="00CC71B6" w:rsidRPr="00CC71B6" w:rsidRDefault="00CC71B6" w:rsidP="00CC71B6">
      <w:pPr>
        <w:pStyle w:val="NormalWeb"/>
        <w:rPr>
          <w:u w:val="single"/>
        </w:rPr>
      </w:pPr>
    </w:p>
    <w:p w14:paraId="362EED61" w14:textId="41798DE4" w:rsidR="00FD15B2" w:rsidRPr="00FD15B2" w:rsidRDefault="00FD15B2" w:rsidP="00FD15B2">
      <w:r w:rsidRPr="00FD15B2">
        <w:t xml:space="preserve">Methods: </w:t>
      </w:r>
    </w:p>
    <w:p w14:paraId="6E96B8F5" w14:textId="45B7C5E0" w:rsidR="00FD15B2" w:rsidRDefault="00FD15B2" w:rsidP="00FD15B2">
      <w:pPr>
        <w:rPr>
          <w:u w:val="single"/>
        </w:rPr>
      </w:pPr>
      <w:r w:rsidRPr="00487A6E">
        <w:rPr>
          <w:u w:val="single"/>
        </w:rPr>
        <w:t xml:space="preserve">Site information and </w:t>
      </w:r>
      <w:r>
        <w:rPr>
          <w:u w:val="single"/>
        </w:rPr>
        <w:t>data</w:t>
      </w:r>
      <w:r w:rsidRPr="00487A6E">
        <w:rPr>
          <w:u w:val="single"/>
        </w:rPr>
        <w:t xml:space="preserve"> collection</w:t>
      </w:r>
    </w:p>
    <w:p w14:paraId="27427F19" w14:textId="57035F39" w:rsidR="00FD15B2" w:rsidRDefault="00FD15B2" w:rsidP="00FD15B2">
      <w:r>
        <w:tab/>
        <w:t xml:space="preserve">We collected data from a wild population of </w:t>
      </w:r>
      <w:r w:rsidRPr="00487A6E">
        <w:rPr>
          <w:i/>
          <w:iCs/>
        </w:rPr>
        <w:t>C. imitator</w:t>
      </w:r>
      <w:r w:rsidR="00786FBA">
        <w:rPr>
          <w:i/>
          <w:iCs/>
        </w:rPr>
        <w:t>s</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D12B1BB" w14:textId="593A6369" w:rsidR="00FD15B2" w:rsidRPr="00AB188E" w:rsidRDefault="00FD15B2" w:rsidP="00FD15B2">
      <w:pPr>
        <w:ind w:firstLine="720"/>
        <w:rPr>
          <w:bCs/>
        </w:rPr>
      </w:pPr>
      <w:r>
        <w:lastRenderedPageBreak/>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t>
      </w:r>
      <w:r>
        <w:t>W</w:t>
      </w:r>
      <w:r>
        <w:t>e placed fecal samples into 4 mL of 98% ethanol</w:t>
      </w:r>
      <w:r>
        <w:t xml:space="preserve"> immediately after defecation</w:t>
      </w:r>
      <w:r>
        <w:t xml:space="preserve">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w:t>
      </w:r>
      <w:r>
        <w:t xml:space="preserve">We collected urine samples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Urine samples remained in the freezer until</w:t>
      </w:r>
      <w:r>
        <w:rPr>
          <w:bCs/>
        </w:rPr>
        <w:t xml:space="preserve"> we conducted</w:t>
      </w:r>
      <w:r>
        <w:rPr>
          <w:bCs/>
        </w:rPr>
        <w:t xml:space="preserve"> assay analysis onsite in the Capuchinos de </w:t>
      </w:r>
      <w:proofErr w:type="spellStart"/>
      <w:r>
        <w:rPr>
          <w:bCs/>
        </w:rPr>
        <w:t>Taboga</w:t>
      </w:r>
      <w:proofErr w:type="spellEnd"/>
      <w:r>
        <w:rPr>
          <w:bCs/>
        </w:rPr>
        <w:t xml:space="preserve">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p>
    <w:p w14:paraId="11392FFF" w14:textId="77777777" w:rsidR="00FD15B2" w:rsidRDefault="00FD15B2" w:rsidP="00FD15B2">
      <w:pPr>
        <w:ind w:firstLine="720"/>
      </w:pPr>
      <w:r>
        <w:t xml:space="preserve">Temperature observations for this analysis came from the </w:t>
      </w:r>
      <w:r w:rsidRPr="000A6861">
        <w:rPr>
          <w:rStyle w:val="Emphasis"/>
        </w:rPr>
        <w:t>Palo Verde</w:t>
      </w:r>
      <w:r>
        <w:t xml:space="preserve"> meteorological station, located at the </w:t>
      </w:r>
      <w:r w:rsidRPr="000A6861">
        <w:rPr>
          <w:rStyle w:val="Emphasis"/>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F2FB2">
        <w:rPr>
          <w:rStyle w:val="Emphasis"/>
        </w:rPr>
        <w:t>Taboga</w:t>
      </w:r>
      <w:proofErr w:type="spellEnd"/>
      <w:r w:rsidRPr="00CF2FB2">
        <w:rPr>
          <w:rStyle w:val="Emphasis"/>
        </w:rPr>
        <w:t xml:space="preserve"> Forest Reserve</w:t>
      </w:r>
      <w:r>
        <w:t xml:space="preserve">. Like </w:t>
      </w:r>
      <w:proofErr w:type="spellStart"/>
      <w:r w:rsidRPr="00CF2FB2">
        <w:rPr>
          <w:rStyle w:val="Emphasis"/>
        </w:rPr>
        <w:t>Taboga</w:t>
      </w:r>
      <w:proofErr w:type="spellEnd"/>
      <w:r w:rsidRPr="00CF2FB2">
        <w:rPr>
          <w:i/>
          <w:iCs/>
        </w:rPr>
        <w:t xml:space="preserve">, </w:t>
      </w:r>
      <w:r w:rsidRPr="00CF2FB2">
        <w:rPr>
          <w:rStyle w:val="Emphasis"/>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rPr>
        <w:t>Palo Verde</w:t>
      </w:r>
      <w:r>
        <w:t xml:space="preserve"> temperature data have been used in previous studies of the </w:t>
      </w:r>
      <w:proofErr w:type="spellStart"/>
      <w:r w:rsidRPr="00CF2FB2">
        <w:rPr>
          <w:rStyle w:val="Emphasis"/>
        </w:rPr>
        <w:t>Taboga</w:t>
      </w:r>
      <w:proofErr w:type="spellEnd"/>
      <w:r w:rsidRPr="00CF2FB2">
        <w:rPr>
          <w:i/>
          <w:iCs/>
        </w:rPr>
        <w:t xml:space="preserve"> </w:t>
      </w:r>
      <w:r w:rsidRPr="000A6861">
        <w:t>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32A0A9BF" w14:textId="77777777" w:rsidR="008631EB" w:rsidRDefault="008631EB"/>
    <w:p w14:paraId="158C46E6" w14:textId="77777777" w:rsidR="00FD15B2" w:rsidRDefault="00FD15B2" w:rsidP="00FD15B2">
      <w:pPr>
        <w:rPr>
          <w:u w:val="single"/>
        </w:rPr>
      </w:pPr>
      <w:r w:rsidRPr="00487A6E">
        <w:rPr>
          <w:u w:val="single"/>
        </w:rPr>
        <w:t>Neopterin analysis</w:t>
      </w:r>
    </w:p>
    <w:p w14:paraId="41888FBD" w14:textId="77777777" w:rsidR="00FD15B2" w:rsidRDefault="00FD15B2" w:rsidP="00FD15B2">
      <w:pPr>
        <w:ind w:firstLine="720"/>
      </w:pPr>
      <w:r>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2022, 2024)</w:t>
      </w:r>
      <w:r>
        <w:fldChar w:fldCharType="end"/>
      </w:r>
      <w:r>
        <w:t xml:space="preserve"> for details. </w:t>
      </w:r>
    </w:p>
    <w:p w14:paraId="6DC76576" w14:textId="77777777" w:rsidR="00FD15B2" w:rsidRDefault="00FD15B2"/>
    <w:p w14:paraId="519B66E0" w14:textId="59FD7BF3" w:rsidR="00FD15B2" w:rsidRDefault="00FD15B2" w:rsidP="00FD15B2">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51C67099" w14:textId="77777777" w:rsidR="00FD15B2" w:rsidRDefault="00FD15B2" w:rsidP="00FD15B2">
      <w:pPr>
        <w:rPr>
          <w:i/>
          <w:iCs/>
        </w:rPr>
      </w:pPr>
      <w:r w:rsidRPr="00147548">
        <w:rPr>
          <w:i/>
          <w:iCs/>
        </w:rPr>
        <w:t>DNA extraction</w:t>
      </w:r>
    </w:p>
    <w:p w14:paraId="37173711" w14:textId="534AF24E" w:rsidR="00FD15B2" w:rsidRPr="00147548" w:rsidRDefault="00FD15B2" w:rsidP="00FD15B2">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w:t>
      </w:r>
    </w:p>
    <w:p w14:paraId="49EB1124" w14:textId="10A85063" w:rsidR="00FD15B2" w:rsidRPr="00FD15B2" w:rsidRDefault="00FD15B2" w:rsidP="00FD15B2"/>
    <w:p w14:paraId="5F6ADFE3" w14:textId="5F83A7C8" w:rsidR="00FD15B2" w:rsidRDefault="00FD15B2" w:rsidP="00FD15B2">
      <w:pPr>
        <w:rPr>
          <w:i/>
          <w:iCs/>
        </w:rPr>
      </w:pPr>
      <w:r w:rsidRPr="00147548">
        <w:rPr>
          <w:i/>
          <w:iCs/>
        </w:rPr>
        <w:t xml:space="preserve">16s rRNA amplicon </w:t>
      </w:r>
      <w:r>
        <w:rPr>
          <w:i/>
          <w:iCs/>
        </w:rPr>
        <w:t>sequencing and data processing</w:t>
      </w:r>
    </w:p>
    <w:p w14:paraId="221BE26E" w14:textId="061685E2" w:rsidR="00FD15B2" w:rsidRDefault="00FD15B2" w:rsidP="00FD15B2">
      <w:r>
        <w:t xml:space="preserve">We used </w:t>
      </w:r>
      <w:r w:rsidRPr="006E7CF5">
        <w:t>16s rRNA</w:t>
      </w:r>
      <w:r>
        <w:t xml:space="preserve"> amplicon sequencing to describe the</w:t>
      </w:r>
      <w:r>
        <w:t xml:space="preserve"> gut microbiome</w:t>
      </w:r>
      <w:r>
        <w:t xml:space="preserve"> taxonomic composition</w:t>
      </w:r>
      <w:r>
        <w:t xml:space="preserve">. </w:t>
      </w:r>
      <w:r>
        <w:t xml:space="preserve">We amplified the hypervariable V4-V5 region of the 16s rRNA gene using the </w:t>
      </w:r>
      <w:r>
        <w:lastRenderedPageBreak/>
        <w:t xml:space="preserve">515F/926R primers from the Earth Microbiome Project </w:t>
      </w:r>
      <w:r w:rsidRPr="009C594A">
        <w:t>(</w:t>
      </w:r>
      <w:hyperlink r:id="rId9" w:history="1">
        <w:r w:rsidRPr="00383820">
          <w:rPr>
            <w:rStyle w:val="Hyperlink"/>
          </w:rPr>
          <w:t>www.earthmicrobiome.org</w:t>
        </w:r>
      </w:hyperlink>
      <w:r w:rsidRPr="009C594A">
        <w:t>)</w:t>
      </w:r>
      <w:r>
        <w:t xml:space="preserve"> and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22CA5D12" w14:textId="77777777" w:rsidR="00FD15B2" w:rsidRDefault="00FD15B2" w:rsidP="00FD15B2">
      <w:pPr>
        <w:ind w:firstLine="720"/>
      </w:pPr>
      <w:r>
        <w:t xml:space="preserve">We analyzed the resulting data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 which infers Amplicon Sequence Variants (ASVs) by identifying exact sequences. We assigned taxonomy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48613D7A" w14:textId="044F4EAF" w:rsidR="00FD15B2" w:rsidRDefault="00FD15B2" w:rsidP="00FD15B2">
      <w:pPr>
        <w:ind w:firstLine="720"/>
      </w:pPr>
      <w:r>
        <w:t xml:space="preserve">We imported the ASV count and taxonomy files generated by QIIME2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w:t>
      </w:r>
      <w:r>
        <w:t xml:space="preserve">them </w:t>
      </w:r>
      <w:r>
        <w:t xml:space="preserve">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Most ASV’s were found at </w:t>
      </w:r>
      <w:r w:rsidRPr="00590F44">
        <w:t>low frequencies (</w:t>
      </w:r>
      <w:r>
        <w:t>Fig 3S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60AC4BFC" w14:textId="77777777" w:rsidR="00FD15B2" w:rsidRPr="00147548" w:rsidRDefault="00FD15B2" w:rsidP="00FD15B2">
      <w:pPr>
        <w:rPr>
          <w:i/>
          <w:iCs/>
        </w:rPr>
      </w:pPr>
    </w:p>
    <w:p w14:paraId="5EDF4B0B" w14:textId="175B1345" w:rsidR="00FD15B2" w:rsidRDefault="00FD15B2" w:rsidP="00FD15B2">
      <w:pPr>
        <w:rPr>
          <w:i/>
          <w:iCs/>
        </w:rPr>
      </w:pPr>
      <w:commentRangeStart w:id="5"/>
      <w:r>
        <w:rPr>
          <w:i/>
          <w:iCs/>
        </w:rPr>
        <w:t>Shotgun metagenomic</w:t>
      </w:r>
      <w:r w:rsidRPr="00147548">
        <w:rPr>
          <w:i/>
          <w:iCs/>
        </w:rPr>
        <w:t xml:space="preserve"> </w:t>
      </w:r>
      <w:r>
        <w:rPr>
          <w:i/>
          <w:iCs/>
        </w:rPr>
        <w:t>sequencing and data processing</w:t>
      </w:r>
      <w:commentRangeEnd w:id="5"/>
      <w:r w:rsidR="00CC71B6">
        <w:rPr>
          <w:rStyle w:val="CommentReference"/>
        </w:rPr>
        <w:commentReference w:id="5"/>
      </w:r>
    </w:p>
    <w:p w14:paraId="03BA5D43" w14:textId="08ABE689" w:rsidR="00FD15B2" w:rsidRDefault="00FD15B2" w:rsidP="00FD15B2">
      <w:r>
        <w:t xml:space="preserve">We used metagenomic sequencing to </w:t>
      </w:r>
      <w:r>
        <w:t>characterize</w:t>
      </w:r>
      <w:r>
        <w:t xml:space="preserve"> </w:t>
      </w:r>
      <w:r>
        <w:t xml:space="preserve">the </w:t>
      </w:r>
      <w:r>
        <w:t>functional capacity</w:t>
      </w:r>
      <w:r>
        <w:t xml:space="preserve"> of the gut microbiome in a subset of 95 samples with sufficient DNA concentration for library preparation. </w:t>
      </w:r>
      <w:r>
        <w:t xml:space="preserve">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1F989488" w14:textId="72F35B3F" w:rsidR="00FD15B2" w:rsidRDefault="00FD15B2" w:rsidP="00FD15B2">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instrText xml:space="preserve"> ADDIN ZOTERO_ITEM CSL_CITATION {"citationID":"1Zg0y02O","properties":{"formattedCitation":"(Beghini et al., 2021)","plainCitation":"(Beghini et al., 2021)","noteIndex":0},"citationItems":[{"id":968,"uris":["http://zotero.org/users/13901503/items/9YGIV4WL"],"itemData":{"id":968,"type":"article-journal","abstract":"Culture-independent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Pr>
          <w:noProof/>
        </w:rPr>
        <w:t>(Beghini et al., 2021)</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w:t>
      </w:r>
      <w:r>
        <w:lastRenderedPageBreak/>
        <w:t xml:space="preserve">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instrText xml:space="preserve"> ADDIN ZOTERO_ITEM CSL_CITATION {"citationID":"e5PQThsy","properties":{"formattedCitation":"(Orkin et al., 2019)","plainCitation":"(Orkin et al., 2019)","noteIndex":0},"citationItems":[{"id":700,"uris":["http://zotero.org/users/13901503/items/HCYVY6PR"],"itemData":{"id":700,"type":"article-journal","abstract":"Research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Pr>
          <w:noProof/>
        </w:rPr>
        <w:t>(Orkin et al., 2019)</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w:t>
      </w:r>
      <w:r w:rsidR="00C57268">
        <w:t xml:space="preserve"> We performed all </w:t>
      </w:r>
      <w:r w:rsidR="00C57268">
        <w:t>subsequent analyses using R v4.3.1.</w:t>
      </w:r>
    </w:p>
    <w:p w14:paraId="75F4AB7E" w14:textId="77777777" w:rsidR="00FD15B2" w:rsidRDefault="00FD15B2" w:rsidP="00FD15B2">
      <w:pPr>
        <w:rPr>
          <w:i/>
          <w:iCs/>
        </w:rPr>
      </w:pPr>
    </w:p>
    <w:p w14:paraId="6BB57527" w14:textId="77777777" w:rsidR="00FD15B2" w:rsidRPr="00521E9D" w:rsidRDefault="00FD15B2" w:rsidP="00FD15B2">
      <w:pPr>
        <w:rPr>
          <w:u w:val="single"/>
        </w:rPr>
      </w:pPr>
      <w:r>
        <w:rPr>
          <w:u w:val="single"/>
        </w:rPr>
        <w:t>Metadata assembly</w:t>
      </w:r>
    </w:p>
    <w:p w14:paraId="2B5C4990" w14:textId="086312A0" w:rsidR="00FD15B2" w:rsidRDefault="00C57268" w:rsidP="00C57268">
      <w:r>
        <w:t>W</w:t>
      </w:r>
      <w:r w:rsidR="00FD15B2">
        <w:t xml:space="preserve">e matched each </w:t>
      </w:r>
      <w:r w:rsidR="00FD15B2">
        <w:t>16s rRNA and shotgun metagenomic</w:t>
      </w:r>
      <w:r w:rsidR="00FD15B2">
        <w:t xml:space="preserve"> sample with the </w:t>
      </w:r>
      <w:r w:rsidR="00FD15B2">
        <w:t xml:space="preserve">relevant metadata to facilitate subsequent analyses. </w:t>
      </w:r>
      <w:r w:rsidR="00FD15B2">
        <w:t>We paired s</w:t>
      </w:r>
      <w:r w:rsidR="00FD15B2">
        <w:t xml:space="preserve">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t>
      </w:r>
      <w:r w:rsidR="00FD15B2">
        <w:t xml:space="preserve">We also averaged </w:t>
      </w:r>
      <w:r>
        <w:t xml:space="preserve">the </w:t>
      </w:r>
      <w:r w:rsidR="00FD15B2">
        <w:t>m</w:t>
      </w:r>
      <w:r w:rsidR="00FD15B2">
        <w:t xml:space="preserve">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rsidR="00FD15B2">
        <w:fldChar w:fldCharType="begin"/>
      </w:r>
      <w:r w:rsidR="00FD15B2">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FD15B2">
        <w:fldChar w:fldCharType="separate"/>
      </w:r>
      <w:r w:rsidR="00FD15B2">
        <w:rPr>
          <w:noProof/>
        </w:rPr>
        <w:t>(Lucore et al., 2024)</w:t>
      </w:r>
      <w:r w:rsidR="00FD15B2">
        <w:fldChar w:fldCharType="end"/>
      </w:r>
      <w:r w:rsidR="00FD15B2">
        <w:t xml:space="preserve">. </w:t>
      </w:r>
    </w:p>
    <w:p w14:paraId="26080BFD" w14:textId="459DC8DC" w:rsidR="00C57268" w:rsidRDefault="00C57268" w:rsidP="00C57268">
      <w:pPr>
        <w:ind w:firstLine="720"/>
      </w:pPr>
      <w:r>
        <w:t>We also paired e</w:t>
      </w:r>
      <w:r w:rsidR="00FD15B2">
        <w:t xml:space="preserve">ach sample with all diet observations from the same individual within two weeks before sample collection, following time frames used in previous white-faced capuchin gut microbiome studies </w:t>
      </w:r>
      <w:r w:rsidR="00FD15B2">
        <w:fldChar w:fldCharType="begin"/>
      </w:r>
      <w:r w:rsidR="00FD15B2">
        <w:instrText xml:space="preserve"> ADDIN ZOTERO_ITEM CSL_CITATION {"citationID":"JR1jMbxd","properties":{"formattedCitation":"(E. K. Mallott et al., 2018; Orkin et al., 2019)","plainCitation":"(E. K. Mallott et al., 2018; Orkin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FD15B2">
        <w:fldChar w:fldCharType="separate"/>
      </w:r>
      <w:r w:rsidR="00FD15B2">
        <w:rPr>
          <w:noProof/>
        </w:rPr>
        <w:t>(E. K. Mallott et al., 2018; Orkin et al., 2019)</w:t>
      </w:r>
      <w:r w:rsidR="00FD15B2">
        <w:fldChar w:fldCharType="end"/>
      </w:r>
      <w:r w:rsidR="00FD15B2">
        <w:t xml:space="preserve">. </w:t>
      </w:r>
      <w:r>
        <w:t>We quantified d</w:t>
      </w:r>
      <w:r w:rsidR="00FD15B2">
        <w:t>iet diversity</w:t>
      </w:r>
      <w:r>
        <w:t xml:space="preserve"> </w:t>
      </w:r>
      <w:r w:rsidR="00FD15B2">
        <w:t xml:space="preserve">by modeling diet richness (i.e. the total number of unique food items recorded) as a function of the total number of feeding observations. </w:t>
      </w:r>
      <w:r>
        <w:t>We then used t</w:t>
      </w:r>
      <w:r w:rsidR="00FD15B2">
        <w:t xml:space="preserve">he residuals as a measure of diet diversity, with negative values indicating lower-than-expected diversity and positive values indicating higher-than-expected diversity </w:t>
      </w:r>
      <w:r w:rsidR="00FD15B2">
        <w:fldChar w:fldCharType="begin"/>
      </w:r>
      <w:r w:rsidR="00FD15B2">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rsidR="00FD15B2">
        <w:fldChar w:fldCharType="separate"/>
      </w:r>
      <w:r w:rsidR="00FD15B2">
        <w:rPr>
          <w:noProof/>
        </w:rPr>
        <w:t>(Marshall et al., 2021)</w:t>
      </w:r>
      <w:r w:rsidR="00FD15B2">
        <w:fldChar w:fldCharType="end"/>
      </w:r>
      <w:r w:rsidR="00FD15B2">
        <w:t>.</w:t>
      </w:r>
      <w:r>
        <w:t xml:space="preserve"> We calculated the</w:t>
      </w:r>
      <w:r w:rsidR="00FD15B2">
        <w:t xml:space="preserve"> </w:t>
      </w:r>
      <w:r>
        <w:t>p</w:t>
      </w:r>
      <w:r w:rsidR="00FD15B2">
        <w:t>ercent consumption of each food type by dividing the total number of feeding observations for each food category (animal, flower, fruit, fungi, insect, leaves, nectar, nurse, pith, seeds) by the total number of feeding observations.</w:t>
      </w:r>
      <w:r>
        <w:t xml:space="preserve"> We then plotted each food type </w:t>
      </w:r>
      <w:r>
        <w:t>against temperature to identify diet categories that vary with temperature to control for these factors when assessing the direct effect of temperature on the microbiome.</w:t>
      </w:r>
      <w:r w:rsidRPr="00C53131">
        <w:t xml:space="preserve"> </w:t>
      </w:r>
      <w:r>
        <w:t>We found that p</w:t>
      </w:r>
      <w:r>
        <w:t>ercent fruit consumption ha</w:t>
      </w:r>
      <w:r>
        <w:t xml:space="preserve">s </w:t>
      </w:r>
      <w:r>
        <w:t xml:space="preserve">a strong, positive relationship with temperature (Fig 4S) and controlled </w:t>
      </w:r>
      <w:r>
        <w:t xml:space="preserve">for this </w:t>
      </w:r>
      <w:r>
        <w:t>in subsequent analyses.</w:t>
      </w:r>
      <w:r>
        <w:t xml:space="preserve"> After matching each sample with the appropriate metadata, we were left with 277 16s rRNA samples and 71 shotgun metagenomic samples. </w:t>
      </w:r>
    </w:p>
    <w:p w14:paraId="2E74A400" w14:textId="1DC0A501" w:rsidR="00C57268" w:rsidRDefault="00C57268" w:rsidP="00FD15B2">
      <w:pPr>
        <w:ind w:firstLine="720"/>
      </w:pPr>
    </w:p>
    <w:p w14:paraId="5D5E5DD1" w14:textId="77777777" w:rsidR="00C57268" w:rsidRDefault="00C57268" w:rsidP="00C57268">
      <w:pPr>
        <w:rPr>
          <w:u w:val="single"/>
        </w:rPr>
      </w:pPr>
      <w:r w:rsidRPr="00D807D7">
        <w:rPr>
          <w:u w:val="single"/>
        </w:rPr>
        <w:t>Community</w:t>
      </w:r>
      <w:r>
        <w:rPr>
          <w:u w:val="single"/>
        </w:rPr>
        <w:t>-level composition a</w:t>
      </w:r>
      <w:r w:rsidRPr="00D807D7">
        <w:rPr>
          <w:u w:val="single"/>
        </w:rPr>
        <w:t>nalysis</w:t>
      </w:r>
    </w:p>
    <w:p w14:paraId="0257BF6B" w14:textId="06A96E95" w:rsidR="00E81A2E" w:rsidRDefault="00C57268" w:rsidP="001B23D4">
      <w:r>
        <w:t xml:space="preserve">To evaluate how gut microbiome </w:t>
      </w:r>
      <w:r>
        <w:t xml:space="preserve">taxonomic </w:t>
      </w:r>
      <w:r>
        <w:t>composition</w:t>
      </w:r>
      <w:r>
        <w:t xml:space="preserve"> and functional capacity</w:t>
      </w:r>
      <w:r>
        <w:t xml:space="preserve"> </w:t>
      </w:r>
      <w:r>
        <w:t>are</w:t>
      </w:r>
      <w:r>
        <w:t xml:space="preserve"> related to temperature, we generated metrics of community composition including alpha and beta diversity.</w:t>
      </w:r>
      <w:r w:rsidR="00F73CBB">
        <w:t xml:space="preserve"> </w:t>
      </w:r>
      <w:r>
        <w:t>To measure alpha diversity, we calculated two widely used indices: Shannon’s diversity index (which accounts for both richness and evenness) and observed richness (the total number of ASVs</w:t>
      </w:r>
      <w:r w:rsidR="00E81A2E">
        <w:t xml:space="preserve"> or </w:t>
      </w:r>
      <w:r>
        <w:t>pathways</w:t>
      </w:r>
      <w:r>
        <w:t xml:space="preserve"> in a sample) using the </w:t>
      </w:r>
      <w:proofErr w:type="spellStart"/>
      <w:r>
        <w:t>estimate_richness</w:t>
      </w:r>
      <w:proofErr w:type="spellEnd"/>
      <w:r>
        <w:t>() function from the</w:t>
      </w:r>
      <w:r w:rsidR="00E81A2E">
        <w:t xml:space="preserve"> </w:t>
      </w:r>
      <w:r>
        <w:t>{</w:t>
      </w:r>
      <w:proofErr w:type="spellStart"/>
      <w:r>
        <w:t>phyloseq</w:t>
      </w:r>
      <w:proofErr w:type="spellEnd"/>
      <w:r>
        <w:t xml:space="preserve">} package. To measure beta diversity (i.e. community dissimilarity between samples), we </w:t>
      </w:r>
      <w:r>
        <w:lastRenderedPageBreak/>
        <w:t>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w:t>
      </w:r>
      <w:r w:rsidR="00E81A2E">
        <w:t>We added a</w:t>
      </w:r>
      <w:r>
        <w:t xml:space="preserve">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w:t>
      </w:r>
      <w:proofErr w:type="spellStart"/>
      <w:r w:rsidRPr="00FB297C">
        <w:t>Palarea</w:t>
      </w:r>
      <w:proofErr w:type="spellEnd"/>
      <w:r w:rsidRPr="00FB297C">
        <w:t>-Albaladejo &amp; Martín-Fernández, 2015)</w:t>
      </w:r>
      <w:r w:rsidRPr="00FB297C">
        <w:fldChar w:fldCharType="end"/>
      </w:r>
      <w:r w:rsidRPr="00FB297C">
        <w:t>.</w:t>
      </w:r>
      <w:r w:rsidR="001B23D4">
        <w:t xml:space="preserve"> </w:t>
      </w:r>
      <w:r w:rsidR="00E81A2E">
        <w:t xml:space="preserve">We used Aitchison distances because </w:t>
      </w:r>
      <w:r w:rsidR="00E81A2E">
        <w:t xml:space="preserve">microbiome datasets are compositional, meaning that observed read counts are constrained by sequencing depth and do not reflect absolute DNA abundances </w:t>
      </w:r>
      <w:r w:rsidR="00E81A2E">
        <w:fldChar w:fldCharType="begin"/>
      </w:r>
      <w:r w:rsidR="00E81A2E">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rsidR="00E81A2E">
        <w:fldChar w:fldCharType="separate"/>
      </w:r>
      <w:r w:rsidR="00E81A2E">
        <w:rPr>
          <w:noProof/>
        </w:rPr>
        <w:t>(Gloor &amp; Reid, 2016)</w:t>
      </w:r>
      <w:r w:rsidR="00E81A2E">
        <w:fldChar w:fldCharType="end"/>
      </w:r>
      <w:r w:rsidR="00E81A2E">
        <w:t>.</w:t>
      </w:r>
      <w:r w:rsidR="00E81A2E" w:rsidRPr="00E81A2E">
        <w:t xml:space="preserve"> </w:t>
      </w:r>
      <w:r w:rsidR="00E81A2E">
        <w:t xml:space="preserve">Unlike traditional beta diversity metrics that </w:t>
      </w:r>
      <w:r w:rsidR="00E81A2E">
        <w:t>were designed for absolute</w:t>
      </w:r>
      <w:r w:rsidR="00E81A2E">
        <w:t xml:space="preserve"> counts (e.g., Bray-Curtis, </w:t>
      </w:r>
      <w:proofErr w:type="spellStart"/>
      <w:r w:rsidR="00E81A2E">
        <w:t>Unifrac</w:t>
      </w:r>
      <w:proofErr w:type="spellEnd"/>
      <w:r w:rsidR="00E81A2E">
        <w:t>, Jensen-Shannon divergence),</w:t>
      </w:r>
      <w:r w:rsidR="00F73CBB">
        <w:t xml:space="preserve"> </w:t>
      </w:r>
      <w:r w:rsidR="001B23D4">
        <w:t xml:space="preserve">the </w:t>
      </w:r>
      <w:proofErr w:type="spellStart"/>
      <w:r w:rsidR="001B23D4">
        <w:t>clr</w:t>
      </w:r>
      <w:proofErr w:type="spellEnd"/>
      <w:r w:rsidR="001B23D4">
        <w:t xml:space="preserve"> </w:t>
      </w:r>
      <w:r w:rsidR="001B23D4">
        <w:t>transformation projects samples into Euclidean space where distances reflect log-ratio relationships among taxa</w:t>
      </w:r>
      <w:r w:rsidR="001B23D4">
        <w:t>,</w:t>
      </w:r>
      <w:r w:rsidR="001B23D4" w:rsidRPr="001B23D4">
        <w:t xml:space="preserve"> </w:t>
      </w:r>
      <w:r w:rsidR="001B23D4">
        <w:t>avoiding misinterpretation</w:t>
      </w:r>
      <w:r w:rsidR="001B23D4">
        <w:t>s</w:t>
      </w:r>
      <w:r w:rsidR="001B23D4">
        <w:t xml:space="preserve"> that </w:t>
      </w:r>
      <w:r w:rsidR="001B23D4">
        <w:t>may</w:t>
      </w:r>
      <w:r w:rsidR="001B23D4">
        <w:t xml:space="preserve"> arise from </w:t>
      </w:r>
      <w:r w:rsidR="001B23D4">
        <w:t>using</w:t>
      </w:r>
      <w:r w:rsidR="001B23D4">
        <w:t xml:space="preserve"> absolute differences to</w:t>
      </w:r>
      <w:r w:rsidR="001B23D4">
        <w:t xml:space="preserve"> interpret</w:t>
      </w:r>
      <w:r w:rsidR="001B23D4">
        <w:t xml:space="preserve"> compositional data</w:t>
      </w:r>
      <w:r w:rsidR="001B23D4">
        <w:t xml:space="preserve"> </w:t>
      </w:r>
      <w:r w:rsidR="001B23D4">
        <w:fldChar w:fldCharType="begin"/>
      </w:r>
      <w:r w:rsidR="001B23D4">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rsidR="001B23D4">
        <w:fldChar w:fldCharType="separate"/>
      </w:r>
      <w:r w:rsidR="001B23D4">
        <w:rPr>
          <w:noProof/>
        </w:rPr>
        <w:t>(Gloor et al., 2017)</w:t>
      </w:r>
      <w:r w:rsidR="001B23D4">
        <w:fldChar w:fldCharType="end"/>
      </w:r>
      <w:r w:rsidR="001B23D4">
        <w:t>.</w:t>
      </w:r>
      <w:r w:rsidR="001B23D4">
        <w:t xml:space="preserve"> We then performed a </w:t>
      </w:r>
      <w:r>
        <w:t xml:space="preserve">Principle Components Analysis on the Aitchison distance matrix and </w:t>
      </w:r>
      <w:r w:rsidR="001B23D4">
        <w:t xml:space="preserve">extracted the </w:t>
      </w:r>
      <w:r>
        <w:t xml:space="preserve">scores for the first </w:t>
      </w:r>
      <w:r w:rsidR="001B23D4">
        <w:t>three</w:t>
      </w:r>
      <w:r>
        <w:t xml:space="preserve"> principal components (PC1–PC3) to capture major axes of variation in community composition. Components PC1-PC3 were selected because they explained greater than 5% of the variation (Fig 5S)</w:t>
      </w:r>
      <w:r w:rsidR="008950FC">
        <w:t>.</w:t>
      </w:r>
    </w:p>
    <w:p w14:paraId="50345E7B" w14:textId="7F297810" w:rsidR="00C57268" w:rsidRDefault="00C57268" w:rsidP="00C57268">
      <w:pPr>
        <w:ind w:firstLine="720"/>
      </w:pPr>
      <w:r>
        <w:t xml:space="preserve">To evaluate the relationship between temperature and community composition, we built mixed models using alpha diversity indices and the first </w:t>
      </w:r>
      <w:r w:rsidR="001B23D4">
        <w:t>three</w:t>
      </w:r>
      <w:r>
        <w:t xml:space="preserve"> principal components as the outcome variables. </w:t>
      </w:r>
      <w:r w:rsidR="001B23D4">
        <w:t>We modeled e</w:t>
      </w:r>
      <w:r>
        <w:t xml:space="preserve">ach community metric twice, and </w:t>
      </w:r>
      <w:r w:rsidR="001B23D4">
        <w:t xml:space="preserve">compared </w:t>
      </w:r>
      <w:r>
        <w:t>model fit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w:t>
      </w:r>
      <w:r w:rsidR="00903A8C">
        <w:t>baseline</w:t>
      </w:r>
      <w:r>
        <w:t xml:space="preserve"> model, </w:t>
      </w:r>
      <w:proofErr w:type="spellStart"/>
      <w:r w:rsidRPr="00B133A3">
        <w:rPr>
          <w:i/>
          <w:iCs/>
        </w:rPr>
        <w:t>m_main</w:t>
      </w:r>
      <w:proofErr w:type="spellEnd"/>
      <w:r>
        <w:t xml:space="preserve">, included predictors for social group, age, sex, rainfall, diet diversity and fruit consumption. The </w:t>
      </w:r>
      <w:r w:rsidR="00903A8C">
        <w:t>temperature</w:t>
      </w:r>
      <w:r>
        <w:t xml:space="preserve"> model, </w:t>
      </w:r>
      <w:proofErr w:type="spellStart"/>
      <w:r w:rsidRPr="00B133A3">
        <w:rPr>
          <w:i/>
          <w:iCs/>
        </w:rPr>
        <w:t>m_full</w:t>
      </w:r>
      <w:proofErr w:type="spellEnd"/>
      <w:r>
        <w:t xml:space="preserve">, included all of the same predictors with an additional predictor for temperature. Both models included a random intercept for individual to control for repeated sampling and an offset for the log-transformed number of reads to control for differences in sequencing depth between samples. </w:t>
      </w:r>
      <w:r w:rsidR="001B23D4">
        <w:t>We included f</w:t>
      </w:r>
      <w:r>
        <w:t>ruit consumption</w:t>
      </w:r>
      <w:r w:rsidR="001B23D4">
        <w:t xml:space="preserve"> </w:t>
      </w:r>
      <w:r>
        <w:t xml:space="preserve">as a predictor because it increased with rising temperatures (Fig 4S), and we wanted to control for this effect to better isolate the relationship between temperature and community features. We scaled all continuous predictors (i.e. age, rainfall, diet diversity, fruit consumption, temperature) for ease of coefficient interpretation. </w:t>
      </w:r>
      <w:r w:rsidR="001B23D4">
        <w:t>We fit a</w:t>
      </w:r>
      <w:r>
        <w:t xml:space="preserve">ll models as linear mixed models (LMM’s) with a Gaussian distribution except for observed </w:t>
      </w:r>
      <w:r w:rsidR="008950FC">
        <w:t xml:space="preserve">taxonomic </w:t>
      </w:r>
      <w:r>
        <w:t xml:space="preserve">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4D04732D" w14:textId="100C6F7E" w:rsidR="00866B5F" w:rsidRDefault="00866B5F" w:rsidP="00866B5F">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w:t>
      </w:r>
      <w:r>
        <w:t xml:space="preserve"> (i.e., </w:t>
      </w:r>
      <w:proofErr w:type="spellStart"/>
      <w:r>
        <w:t>clr</w:t>
      </w:r>
      <w:proofErr w:type="spellEnd"/>
      <w:r>
        <w:t xml:space="preserve"> transformation</w:t>
      </w:r>
      <w:r>
        <w:t>, modeled offset for sequencing depth,). Fu</w:t>
      </w:r>
      <w:r w:rsidR="008950FC">
        <w:t>r</w:t>
      </w:r>
      <w:r>
        <w:t>ther, w</w:t>
      </w:r>
      <w:r w:rsidR="00C57268">
        <w:t xml:space="preserve">e chose to use an Information-theoretic approach for our analysis because, unlike null-hypothesis significance testing, it allows for the comparison of multiple alternative hypotheses to assess biological significance </w:t>
      </w:r>
      <w:r w:rsidR="00C57268">
        <w:fldChar w:fldCharType="begin"/>
      </w:r>
      <w:r w:rsidR="00C57268">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C57268">
        <w:fldChar w:fldCharType="separate"/>
      </w:r>
      <w:r w:rsidR="00C57268">
        <w:rPr>
          <w:noProof/>
        </w:rPr>
        <w:t>(Anderson et al., 2000; Burnham et al., 2011)</w:t>
      </w:r>
      <w:r w:rsidR="00C57268">
        <w:fldChar w:fldCharType="end"/>
      </w:r>
      <w:r w:rsidR="00C57268">
        <w:t>.</w:t>
      </w:r>
      <w:r>
        <w:t xml:space="preserve"> This allowed us to evaluate if adding temperature to our model improved the explanation of community-level taxonomic and metabolic diversity compared to other known predictors of microbiome composition. </w:t>
      </w:r>
    </w:p>
    <w:p w14:paraId="152143C0" w14:textId="77777777" w:rsidR="00C57268" w:rsidRDefault="00C57268" w:rsidP="00FC0FFC"/>
    <w:p w14:paraId="3D7D2010" w14:textId="77777777" w:rsidR="00D070A3" w:rsidRDefault="00D070A3" w:rsidP="00D070A3">
      <w:pPr>
        <w:rPr>
          <w:u w:val="single"/>
        </w:rPr>
      </w:pPr>
      <w:r>
        <w:rPr>
          <w:u w:val="single"/>
        </w:rPr>
        <w:t>Temperature d</w:t>
      </w:r>
      <w:r w:rsidRPr="00A32281">
        <w:rPr>
          <w:u w:val="single"/>
        </w:rPr>
        <w:t xml:space="preserve">ifferential abundance </w:t>
      </w:r>
      <w:r>
        <w:rPr>
          <w:u w:val="single"/>
        </w:rPr>
        <w:t>analysis</w:t>
      </w:r>
    </w:p>
    <w:p w14:paraId="723DA95D" w14:textId="0A8A3D72" w:rsidR="00D070A3" w:rsidRPr="00FB4C69" w:rsidRDefault="00D070A3" w:rsidP="00FC0FFC">
      <w:r>
        <w:lastRenderedPageBreak/>
        <w:t xml:space="preserve">We </w:t>
      </w:r>
      <w:r>
        <w:t xml:space="preserve">also </w:t>
      </w:r>
      <w:r>
        <w:t>used a comparative modeling approach to identify taxa and metabolic pathways associated with temperature.</w:t>
      </w:r>
      <w:r>
        <w:t xml:space="preserve"> For the taxonomic analysis, we aggregated the number of reads per taxa on the </w:t>
      </w:r>
      <w:r>
        <w:t xml:space="preserve">family and genus levels using the </w:t>
      </w:r>
      <w:proofErr w:type="spellStart"/>
      <w:r>
        <w:t>tax_glom</w:t>
      </w:r>
      <w:proofErr w:type="spellEnd"/>
      <w:r>
        <w:t>() function in the {</w:t>
      </w:r>
      <w:proofErr w:type="spellStart"/>
      <w:r>
        <w:t>phyloseq</w:t>
      </w:r>
      <w:proofErr w:type="spellEnd"/>
      <w:r>
        <w:t>} package</w:t>
      </w:r>
      <w:r>
        <w:t>. We used this</w:t>
      </w:r>
      <w:r>
        <w:t xml:space="preserve"> to calculate the relative abundance of each taxon by dividing the number of reads per taxon by the total number of reads per sample</w:t>
      </w:r>
      <w:r>
        <w:t xml:space="preserve"> and removed t</w:t>
      </w:r>
      <w:r>
        <w:t>axa with less than 0.2% average relative abundance across all samples</w:t>
      </w:r>
      <w:r>
        <w:t xml:space="preserve"> </w:t>
      </w:r>
      <w:r>
        <w:t>to avoid analyzing extremely low abundance taxa</w:t>
      </w:r>
      <w:r>
        <w:t xml:space="preserve">. This resulted in </w:t>
      </w:r>
      <w:r>
        <w:t>134 genera and 79 families to be used for differential abundance testing.</w:t>
      </w:r>
      <w:r>
        <w:t xml:space="preserve"> </w:t>
      </w:r>
    </w:p>
    <w:p w14:paraId="72A396A9" w14:textId="345A6E8E" w:rsidR="001F07F9" w:rsidRDefault="00D070A3" w:rsidP="001F07F9">
      <w:pPr>
        <w:ind w:firstLine="720"/>
      </w:pPr>
      <w:r>
        <w:t xml:space="preserve">We built two generalized linear mixed models (GLMMs) using a negative binomial distribution with a log link function and used individual family and genera abundances as our outcome variables. </w:t>
      </w:r>
      <w:r w:rsidR="001F07F9">
        <w:t xml:space="preserve">We used </w:t>
      </w:r>
      <w:r>
        <w:t>Negative binomial GLMMs because they can effectively model over-dispersed count data with an abundance of zeros, a pattern typical of microbiome datasets</w:t>
      </w:r>
      <w:r w:rsidR="001F07F9">
        <w:t xml:space="preserve"> </w:t>
      </w:r>
      <w:r>
        <w:fldChar w:fldCharType="begin"/>
      </w:r>
      <w:r w:rsidR="00487066">
        <w:instrText xml:space="preserve"> ADDIN ZOTERO_ITEM CSL_CITATION {"citationID":"rVFSfUFA","properties":{"formattedCitation":"(X. Zhang et al., 2018)","plainCitation":"(X. 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487066">
        <w:rPr>
          <w:noProof/>
        </w:rPr>
        <w:t>(X. Zhang et al., 2018)</w:t>
      </w:r>
      <w:r>
        <w:fldChar w:fldCharType="end"/>
      </w:r>
      <w:r>
        <w:t xml:space="preserve">. </w:t>
      </w:r>
      <w:r w:rsidR="001F07F9">
        <w:t>We modeled e</w:t>
      </w:r>
      <w:r>
        <w:t xml:space="preserve">ach taxon twice and </w:t>
      </w:r>
      <w:r w:rsidR="001F07F9">
        <w:t xml:space="preserve">compared </w:t>
      </w:r>
      <w:r>
        <w:t xml:space="preserve">model fit using </w:t>
      </w:r>
      <w:proofErr w:type="spellStart"/>
      <w:r>
        <w:t>AICc</w:t>
      </w:r>
      <w:proofErr w:type="spellEnd"/>
      <w:r>
        <w:t xml:space="preserve">. The </w:t>
      </w:r>
      <w:r w:rsidR="00903A8C">
        <w:t>baseline</w:t>
      </w:r>
      <w:r>
        <w:t xml:space="preserve"> model, </w:t>
      </w:r>
      <w:proofErr w:type="spellStart"/>
      <w:r w:rsidRPr="00AA1E85">
        <w:rPr>
          <w:i/>
          <w:iCs/>
        </w:rPr>
        <w:t>m_main</w:t>
      </w:r>
      <w:proofErr w:type="spellEnd"/>
      <w:r>
        <w:t xml:space="preserve">, included predictors for social group, age, sex, rainfall, and fruit consumption. The </w:t>
      </w:r>
      <w:r w:rsidR="00903A8C">
        <w:t>temperature</w:t>
      </w:r>
      <w:r>
        <w:t xml:space="preserve"> model, </w:t>
      </w:r>
      <w:proofErr w:type="spellStart"/>
      <w:r w:rsidRPr="00AA1E85">
        <w:rPr>
          <w:i/>
          <w:iCs/>
        </w:rPr>
        <w:t>m_full</w:t>
      </w:r>
      <w:proofErr w:type="spellEnd"/>
      <w:r>
        <w:t xml:space="preserve">, included all of the same predictors with an additional predictor for temperature.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w:t>
      </w:r>
      <w:r w:rsidR="001F07F9">
        <w:t>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t>
      </w:r>
      <w:r w:rsidR="001F07F9">
        <w:t xml:space="preserve">We then used the </w:t>
      </w:r>
      <w:proofErr w:type="spellStart"/>
      <w:r w:rsidR="00497C02" w:rsidRPr="00497C02">
        <w:rPr>
          <w:i/>
          <w:iCs/>
        </w:rPr>
        <w:t>m_full</w:t>
      </w:r>
      <w:proofErr w:type="spellEnd"/>
      <w:r w:rsidR="00497C02">
        <w:t xml:space="preserve"> </w:t>
      </w:r>
      <w:r w:rsidR="001F07F9">
        <w:t xml:space="preserve">model weights of all genera included in the analysis to perform ancestral state reconstruction using the ace() function in the {ape} package. Internal node values represent the maximum likelihood estimates of </w:t>
      </w:r>
      <w:r w:rsidR="001F07F9">
        <w:t xml:space="preserve">the temperature </w:t>
      </w:r>
      <w:r w:rsidR="001F07F9">
        <w:t>model weight under a Brownian motion model of trait evolution.</w:t>
      </w:r>
    </w:p>
    <w:p w14:paraId="5DB902F3" w14:textId="2ED3C71E" w:rsidR="00903A8C" w:rsidRDefault="00903A8C" w:rsidP="00497C02">
      <w:pPr>
        <w:ind w:firstLine="720"/>
      </w:pPr>
      <w:r>
        <w:t xml:space="preserve">The modeling approach for the metabolic pathway data mirrored that used for the taxonomic data, except we modeled </w:t>
      </w:r>
      <w:proofErr w:type="spellStart"/>
      <w:r>
        <w:t>clr</w:t>
      </w:r>
      <w:proofErr w:type="spellEnd"/>
      <w:r w:rsidR="00497C02">
        <w:t xml:space="preserve"> </w:t>
      </w:r>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t>
      </w:r>
      <w:r w:rsidR="00497C02">
        <w:t xml:space="preserve">We used </w:t>
      </w:r>
      <w:proofErr w:type="spellStart"/>
      <w:r w:rsidR="00497C02">
        <w:t>clr</w:t>
      </w:r>
      <w:proofErr w:type="spellEnd"/>
      <w:r w:rsidR="00497C02">
        <w:t>-transformed abundances because pathway abundance values are normalized by the number of contributing gene families, meaning they are no longer raw counts and are therefore not appropriate for modeling with a negative binomial distribution.</w:t>
      </w:r>
      <w:r w:rsidR="00497C02">
        <w:t xml:space="preserve"> </w:t>
      </w:r>
      <w:r>
        <w:t>We modeled each of the 547 pathways twice</w:t>
      </w:r>
      <w:r>
        <w:t>, on</w:t>
      </w:r>
      <w:r w:rsidR="00E73D23">
        <w:t>c</w:t>
      </w:r>
      <w:r>
        <w:t xml:space="preserve">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t xml:space="preserve">. We compared the models using </w:t>
      </w:r>
      <w:proofErr w:type="spellStart"/>
      <w:r>
        <w:t>AICc</w:t>
      </w:r>
      <w:proofErr w:type="spellEnd"/>
      <w:r>
        <w:t>.</w:t>
      </w:r>
      <w:r w:rsidRPr="00903A8C">
        <w:t xml:space="preserve"> </w:t>
      </w:r>
      <w:r>
        <w:t>As in the taxonomic analysis, pathways for which</w:t>
      </w:r>
      <w:r>
        <w:t xml:space="preserve"> </w:t>
      </w:r>
      <w:proofErr w:type="spellStart"/>
      <w:r>
        <w:t>m_full</w:t>
      </w:r>
      <w:proofErr w:type="spellEnd"/>
      <w:r>
        <w:t xml:space="preserve"> accounted for more than 50% of the model weight were considered temperature sensitive.</w:t>
      </w:r>
    </w:p>
    <w:p w14:paraId="4D55971D" w14:textId="77777777" w:rsidR="00481C1E" w:rsidRDefault="00481C1E" w:rsidP="00481C1E"/>
    <w:p w14:paraId="3ED8A9B9" w14:textId="77777777" w:rsidR="00481C1E" w:rsidRPr="0081434A" w:rsidRDefault="00481C1E" w:rsidP="00481C1E">
      <w:pPr>
        <w:rPr>
          <w:u w:val="single"/>
        </w:rPr>
      </w:pPr>
      <w:r w:rsidRPr="0081434A">
        <w:rPr>
          <w:u w:val="single"/>
        </w:rPr>
        <w:t>Immune and temperature interaction analysis</w:t>
      </w:r>
    </w:p>
    <w:p w14:paraId="18F3FB45" w14:textId="4D24C024" w:rsidR="00481C1E" w:rsidRDefault="00481C1E" w:rsidP="00481C1E">
      <w:pPr>
        <w:ind w:firstLine="720"/>
      </w:pPr>
      <w:r>
        <w:t xml:space="preserve">To assess whether the relationship between temperature and community composition is associated with immune performance, we employed a second comparative modeling approach and used alpha diversity and the first </w:t>
      </w:r>
      <w:r w:rsidR="00E73D23">
        <w:t>three</w:t>
      </w:r>
      <w:r>
        <w:t xml:space="preserve"> principal components as outcome variables. Similar to our previous approach, </w:t>
      </w:r>
      <w:r w:rsidR="00E73D23">
        <w:t xml:space="preserve">we modeled </w:t>
      </w:r>
      <w:r>
        <w:t xml:space="preserve">each community feature twice, once with each model, and </w:t>
      </w:r>
      <w:r w:rsidR="00E73D23">
        <w:t xml:space="preserve">compared </w:t>
      </w:r>
      <w:r>
        <w:t xml:space="preserve">model fit using </w:t>
      </w:r>
      <w:proofErr w:type="spellStart"/>
      <w:r>
        <w:t>AICc</w:t>
      </w:r>
      <w:proofErr w:type="spellEnd"/>
      <w:r>
        <w:t xml:space="preserve">. The </w:t>
      </w:r>
      <w:r w:rsidR="00E73D23">
        <w:t>baseline</w:t>
      </w:r>
      <w:r>
        <w:t xml:space="preserv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w:t>
      </w:r>
      <w:r w:rsidR="00E73D23">
        <w:t>interaction</w:t>
      </w:r>
      <w:r>
        <w:t xml:space="preserve"> model, </w:t>
      </w:r>
      <w:proofErr w:type="spellStart"/>
      <w:r w:rsidRPr="00E17CBD">
        <w:rPr>
          <w:i/>
          <w:iCs/>
        </w:rPr>
        <w:t>m_immune_full</w:t>
      </w:r>
      <w:proofErr w:type="spellEnd"/>
      <w:r>
        <w:t>,</w:t>
      </w:r>
      <w:r w:rsidRPr="00F92E8B">
        <w:t xml:space="preserve"> </w:t>
      </w:r>
      <w:r>
        <w:t xml:space="preserve">included all of the </w:t>
      </w:r>
      <w:r>
        <w:lastRenderedPageBreak/>
        <w:t xml:space="preserve">same predictors with an additional interaction effect between temperature and neopterin.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w:t>
      </w:r>
      <w:r w:rsidR="00E73D23">
        <w:t xml:space="preserve">taxonomic </w:t>
      </w:r>
      <w:r>
        <w:t xml:space="preserve">richness, which was fit using a Gamma distribution with a log link function because the variable was </w:t>
      </w:r>
      <w:r w:rsidRPr="00364B0D">
        <w:t>continuous, positive, and left</w:t>
      </w:r>
      <w:r>
        <w:t>-</w:t>
      </w:r>
      <w:r w:rsidRPr="00364B0D">
        <w:t>skewed with a long right tail</w:t>
      </w:r>
      <w:r>
        <w:t>.</w:t>
      </w:r>
    </w:p>
    <w:p w14:paraId="45E32D56" w14:textId="047BE816" w:rsidR="00C03151" w:rsidRDefault="00481C1E" w:rsidP="00C03151">
      <w:pPr>
        <w:ind w:firstLine="720"/>
      </w:pPr>
      <w:r>
        <w:t>To assess whether the relationship between temperature and individual taxa</w:t>
      </w:r>
      <w:r w:rsidR="00E73D23">
        <w:t xml:space="preserve"> or pathways</w:t>
      </w:r>
      <w:r>
        <w:t xml:space="preserve"> is associated with immune performance, we employed the same model comparison approach but used taxon </w:t>
      </w:r>
      <w:r w:rsidR="00E73D23">
        <w:t xml:space="preserve">and pathways </w:t>
      </w:r>
      <w:r>
        <w:t>abundances as outcome variables. First, we filtered for taxa</w:t>
      </w:r>
      <w:r w:rsidR="00E73D23">
        <w:t xml:space="preserve"> and pathways</w:t>
      </w:r>
      <w:r>
        <w:t xml:space="preserve"> that were temperature-sensitive (i.e. </w:t>
      </w:r>
      <w:proofErr w:type="spellStart"/>
      <w:r w:rsidRPr="00E17CBD">
        <w:rPr>
          <w:i/>
          <w:iCs/>
        </w:rPr>
        <w:t>m_full</w:t>
      </w:r>
      <w:proofErr w:type="spellEnd"/>
      <w:r>
        <w:t xml:space="preserve"> held greater than 50% of the model weight). Then,</w:t>
      </w:r>
      <w:r w:rsidR="00E73D23">
        <w:t xml:space="preserve"> we modeled</w:t>
      </w:r>
      <w:r>
        <w:t xml:space="preserve"> each </w:t>
      </w:r>
      <w:r w:rsidR="00E73D23">
        <w:t>feature</w:t>
      </w:r>
      <w:r>
        <w:t xml:space="preserv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rsidR="00E73D23">
        <w:t>, and compared model fit</w:t>
      </w:r>
      <w:r>
        <w:t xml:space="preserve"> using </w:t>
      </w:r>
      <w:proofErr w:type="spellStart"/>
      <w:r>
        <w:t>AICc</w:t>
      </w:r>
      <w:proofErr w:type="spellEnd"/>
      <w:r>
        <w:t xml:space="preserve">. </w:t>
      </w:r>
      <w:r w:rsidR="00E73D23">
        <w:t xml:space="preserve">Importantly we fit the models with taxa as outcome variables as </w:t>
      </w:r>
      <w:r w:rsidR="00E73D23">
        <w:t>GLMMs with a negative binomial distribution</w:t>
      </w:r>
      <w:r w:rsidR="00E73D23">
        <w:t>,</w:t>
      </w:r>
      <w:r w:rsidR="00E73D23">
        <w:t xml:space="preserve"> log link function</w:t>
      </w:r>
      <w:r w:rsidR="00E73D23">
        <w:t xml:space="preserve">, and included a </w:t>
      </w:r>
      <w:r w:rsidR="00E73D23">
        <w:t>log total reads offset</w:t>
      </w:r>
      <w:r w:rsidR="00E73D23">
        <w:t xml:space="preserve">. We fit the models with pathways as outcome variables as LMMs with a </w:t>
      </w:r>
      <w:r w:rsidR="00E73D23">
        <w:t>Gaussian distribution</w:t>
      </w:r>
      <w:r w:rsidR="00E73D23">
        <w:t xml:space="preserve"> and did not include a </w:t>
      </w:r>
      <w:r w:rsidR="00E73D23">
        <w:t>log total reads offset</w:t>
      </w:r>
      <w:r w:rsidR="00E73D23">
        <w:t>. Features</w:t>
      </w:r>
      <w:r>
        <w:t xml:space="preserve">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t>
      </w:r>
      <w:r w:rsidR="00C03151">
        <w:t xml:space="preserve">We visualized these features using a coplot, </w:t>
      </w:r>
      <w:r w:rsidR="00C03151">
        <w:t>where the relationship between feature abundance and temperature was plotted over</w:t>
      </w:r>
      <w:r w:rsidR="00C03151">
        <w:t xml:space="preserve"> distinct</w:t>
      </w:r>
      <w:r w:rsidR="00C03151" w:rsidRPr="00C03151">
        <w:t xml:space="preserve"> </w:t>
      </w:r>
      <w:r w:rsidR="00C03151">
        <w:t>ranges of neopterin values.</w:t>
      </w:r>
    </w:p>
    <w:p w14:paraId="110D1B30" w14:textId="77777777" w:rsidR="00481C1E" w:rsidRDefault="00481C1E" w:rsidP="00481C1E"/>
    <w:p w14:paraId="3CA5630A" w14:textId="1DB304B4" w:rsidR="00903A8C" w:rsidRDefault="00903A8C" w:rsidP="001F07F9">
      <w:pPr>
        <w:ind w:firstLine="720"/>
      </w:pPr>
    </w:p>
    <w:p w14:paraId="2260C774" w14:textId="77777777" w:rsidR="00903A8C" w:rsidRDefault="00903A8C" w:rsidP="001F07F9">
      <w:pPr>
        <w:ind w:firstLine="720"/>
      </w:pPr>
    </w:p>
    <w:p w14:paraId="38CE5386" w14:textId="08D7BB92" w:rsidR="00D070A3" w:rsidRDefault="00D070A3" w:rsidP="001F07F9">
      <w:pPr>
        <w:ind w:firstLine="720"/>
      </w:pPr>
    </w:p>
    <w:p w14:paraId="2B615BF3" w14:textId="77777777" w:rsidR="00325A7B" w:rsidRDefault="00325A7B" w:rsidP="00325A7B">
      <w:r>
        <w:t xml:space="preserve">Supplemental Figures: </w:t>
      </w:r>
    </w:p>
    <w:p w14:paraId="1D69FD35" w14:textId="12CCD1A8" w:rsidR="00325A7B" w:rsidRDefault="006F78AD" w:rsidP="00325A7B">
      <w:r>
        <w:rPr>
          <w:noProof/>
          <w14:ligatures w14:val="standardContextual"/>
        </w:rPr>
        <w:drawing>
          <wp:anchor distT="0" distB="0" distL="114300" distR="114300" simplePos="0" relativeHeight="251660288" behindDoc="0" locked="0" layoutInCell="1" allowOverlap="1" wp14:anchorId="7D770B6A" wp14:editId="6FE2BF34">
            <wp:simplePos x="0" y="0"/>
            <wp:positionH relativeFrom="column">
              <wp:posOffset>-800100</wp:posOffset>
            </wp:positionH>
            <wp:positionV relativeFrom="paragraph">
              <wp:posOffset>272415</wp:posOffset>
            </wp:positionV>
            <wp:extent cx="7532370" cy="2261870"/>
            <wp:effectExtent l="0" t="0" r="0" b="0"/>
            <wp:wrapTopAndBottom/>
            <wp:docPr id="109243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33887" name="Picture 1092433887"/>
                    <pic:cNvPicPr/>
                  </pic:nvPicPr>
                  <pic:blipFill>
                    <a:blip r:embed="rId10"/>
                    <a:stretch>
                      <a:fillRect/>
                    </a:stretch>
                  </pic:blipFill>
                  <pic:spPr>
                    <a:xfrm>
                      <a:off x="0" y="0"/>
                      <a:ext cx="7532370" cy="2261870"/>
                    </a:xfrm>
                    <a:prstGeom prst="rect">
                      <a:avLst/>
                    </a:prstGeom>
                  </pic:spPr>
                </pic:pic>
              </a:graphicData>
            </a:graphic>
            <wp14:sizeRelH relativeFrom="page">
              <wp14:pctWidth>0</wp14:pctWidth>
            </wp14:sizeRelH>
            <wp14:sizeRelV relativeFrom="page">
              <wp14:pctHeight>0</wp14:pctHeight>
            </wp14:sizeRelV>
          </wp:anchor>
        </w:drawing>
      </w:r>
    </w:p>
    <w:p w14:paraId="1E6E202F" w14:textId="0B278632" w:rsidR="00325A7B" w:rsidRDefault="00325A7B" w:rsidP="00325A7B"/>
    <w:p w14:paraId="7395E200" w14:textId="19F6D2BF" w:rsidR="00325A7B" w:rsidRDefault="00325A7B" w:rsidP="00325A7B"/>
    <w:p w14:paraId="25060340" w14:textId="75ABF623" w:rsidR="00325A7B" w:rsidRDefault="006F78AD" w:rsidP="00325A7B">
      <w:r w:rsidRPr="002E4868">
        <w:rPr>
          <w:b/>
          <w:bCs/>
        </w:rPr>
        <w:t xml:space="preserve">Figure </w:t>
      </w:r>
      <w:r>
        <w:rPr>
          <w:b/>
          <w:bCs/>
        </w:rPr>
        <w:t>1</w:t>
      </w:r>
      <w:r>
        <w:rPr>
          <w:b/>
          <w:bCs/>
        </w:rPr>
        <w:t>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indicate the model formulas applied to each analysis. While the community-level modeling approach used the same model structure for both data types, the models for the temperature and interaction differential abundance analyses </w:t>
      </w:r>
      <w:r>
        <w:lastRenderedPageBreak/>
        <w:t xml:space="preserve">differed. Only features for which </w:t>
      </w:r>
      <w:proofErr w:type="spellStart"/>
      <w:r w:rsidRPr="006F78AD">
        <w:rPr>
          <w:i/>
          <w:iCs/>
        </w:rPr>
        <w:t>m_full</w:t>
      </w:r>
      <w:proofErr w:type="spellEnd"/>
      <w:r>
        <w:t xml:space="preserve"> </w:t>
      </w:r>
      <w:r>
        <w:t>accounted for more than 50% of the model weight were included in the neopterin–temperature interaction analysis.</w:t>
      </w:r>
    </w:p>
    <w:p w14:paraId="236BF489" w14:textId="6D710CD4" w:rsidR="00325A7B" w:rsidRDefault="00325A7B" w:rsidP="00325A7B">
      <w:r>
        <w:rPr>
          <w:noProof/>
          <w14:ligatures w14:val="standardContextual"/>
        </w:rPr>
        <w:drawing>
          <wp:anchor distT="0" distB="0" distL="114300" distR="114300" simplePos="0" relativeHeight="251659264" behindDoc="0" locked="0" layoutInCell="1" allowOverlap="1" wp14:anchorId="02801034" wp14:editId="05FA58C9">
            <wp:simplePos x="0" y="0"/>
            <wp:positionH relativeFrom="column">
              <wp:posOffset>0</wp:posOffset>
            </wp:positionH>
            <wp:positionV relativeFrom="paragraph">
              <wp:posOffset>333917</wp:posOffset>
            </wp:positionV>
            <wp:extent cx="5943600" cy="2971800"/>
            <wp:effectExtent l="0" t="0" r="0" b="0"/>
            <wp:wrapTopAndBottom/>
            <wp:docPr id="3758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553" name="Picture 37589553"/>
                    <pic:cNvPicPr/>
                  </pic:nvPicPr>
                  <pic:blipFill>
                    <a:blip r:embed="rId11"/>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7F90E550" w14:textId="77777777" w:rsidR="00325A7B" w:rsidRDefault="00325A7B" w:rsidP="00325A7B"/>
    <w:p w14:paraId="74BA1B15" w14:textId="21126030" w:rsidR="00325A7B" w:rsidRDefault="00325A7B" w:rsidP="00325A7B">
      <w:pPr>
        <w:rPr>
          <w:sz w:val="32"/>
          <w:szCs w:val="32"/>
        </w:rPr>
      </w:pPr>
      <w:r w:rsidRPr="002E4868">
        <w:rPr>
          <w:b/>
          <w:bCs/>
        </w:rPr>
        <w:t xml:space="preserve">Figure </w:t>
      </w:r>
      <w:r>
        <w:rPr>
          <w:b/>
          <w:bCs/>
        </w:rPr>
        <w:t>2</w:t>
      </w:r>
      <w:r>
        <w:rPr>
          <w:b/>
          <w:bCs/>
        </w:rPr>
        <w:t>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9B4C2B">
        <w:t>A</w:t>
      </w:r>
      <w:r>
        <w:t>)</w:t>
      </w:r>
      <w:r w:rsidRPr="009B4C2B">
        <w:t xml:space="preserve"> measures alpha diversity using Shannon's Index, while </w:t>
      </w:r>
      <w:r>
        <w:t>panel</w:t>
      </w:r>
      <w:r w:rsidRPr="009B4C2B">
        <w:t xml:space="preserve"> </w:t>
      </w:r>
      <w:r>
        <w:t>(</w:t>
      </w:r>
      <w:r w:rsidRPr="009B4C2B">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22ADD98F" w14:textId="77777777" w:rsidR="00325A7B" w:rsidRDefault="00325A7B" w:rsidP="00325A7B"/>
    <w:p w14:paraId="030AF045" w14:textId="77777777" w:rsidR="006F78AD" w:rsidRDefault="006F78AD" w:rsidP="006F78AD">
      <w:r>
        <w:rPr>
          <w:noProof/>
          <w14:ligatures w14:val="standardContextual"/>
        </w:rPr>
        <w:lastRenderedPageBreak/>
        <w:drawing>
          <wp:inline distT="0" distB="0" distL="0" distR="0" wp14:anchorId="4CD154E0" wp14:editId="15B1E421">
            <wp:extent cx="5943600" cy="3962400"/>
            <wp:effectExtent l="0" t="0" r="0" b="0"/>
            <wp:docPr id="63456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0887" name="Picture 634560887"/>
                    <pic:cNvPicPr/>
                  </pic:nvPicPr>
                  <pic:blipFill>
                    <a:blip r:embed="rId12"/>
                    <a:stretch>
                      <a:fillRect/>
                    </a:stretch>
                  </pic:blipFill>
                  <pic:spPr>
                    <a:xfrm>
                      <a:off x="0" y="0"/>
                      <a:ext cx="5943600" cy="3962400"/>
                    </a:xfrm>
                    <a:prstGeom prst="rect">
                      <a:avLst/>
                    </a:prstGeom>
                  </pic:spPr>
                </pic:pic>
              </a:graphicData>
            </a:graphic>
          </wp:inline>
        </w:drawing>
      </w:r>
    </w:p>
    <w:p w14:paraId="55B03A64" w14:textId="77777777" w:rsidR="006F78AD" w:rsidRDefault="006F78AD" w:rsidP="006F78AD"/>
    <w:p w14:paraId="64BCF86D" w14:textId="77777777" w:rsidR="006F78AD" w:rsidRDefault="006F78AD" w:rsidP="006F78AD"/>
    <w:p w14:paraId="4093663C" w14:textId="77777777" w:rsidR="006F78AD" w:rsidRDefault="006F78AD" w:rsidP="006F78AD"/>
    <w:p w14:paraId="71C5D034" w14:textId="7A3BC229" w:rsidR="006F78AD" w:rsidRDefault="006F78AD" w:rsidP="006F78AD">
      <w:r w:rsidRPr="00F86AC3">
        <w:rPr>
          <w:b/>
          <w:bCs/>
        </w:rPr>
        <w:t xml:space="preserve">Figure </w:t>
      </w:r>
      <w:r>
        <w:rPr>
          <w:b/>
          <w:bCs/>
        </w:rPr>
        <w:t>3</w:t>
      </w:r>
      <w:r>
        <w:rPr>
          <w:b/>
          <w:bCs/>
        </w:rPr>
        <w:t>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531B1903" w14:textId="6BF7B637" w:rsidR="00FD15B2" w:rsidRDefault="00FD15B2" w:rsidP="006F78AD"/>
    <w:p w14:paraId="5432D8B4" w14:textId="77777777" w:rsidR="006F78AD" w:rsidRDefault="006F78AD" w:rsidP="006F78AD"/>
    <w:p w14:paraId="305C9B6F" w14:textId="77777777" w:rsidR="006F78AD" w:rsidRDefault="006F78AD" w:rsidP="006F78AD"/>
    <w:p w14:paraId="4E3C7FA0" w14:textId="77777777" w:rsidR="006F78AD" w:rsidRDefault="006F78AD" w:rsidP="006F78AD"/>
    <w:p w14:paraId="45108B75" w14:textId="77777777" w:rsidR="006F78AD" w:rsidRDefault="006F78AD" w:rsidP="006F78AD"/>
    <w:p w14:paraId="1D1DD7B7" w14:textId="77777777" w:rsidR="006F78AD" w:rsidRDefault="006F78AD" w:rsidP="006F78AD"/>
    <w:p w14:paraId="3D3C5B82" w14:textId="77777777" w:rsidR="006F78AD" w:rsidRDefault="006F78AD" w:rsidP="006F78AD"/>
    <w:p w14:paraId="2000C3A6" w14:textId="77777777" w:rsidR="006F78AD" w:rsidRDefault="006F78AD" w:rsidP="006F78AD"/>
    <w:p w14:paraId="585E7246" w14:textId="77777777" w:rsidR="006F78AD" w:rsidRDefault="006F78AD" w:rsidP="006F78AD">
      <w:r w:rsidRPr="000F7471">
        <w:rPr>
          <w:noProof/>
        </w:rPr>
        <w:drawing>
          <wp:anchor distT="0" distB="0" distL="114300" distR="114300" simplePos="0" relativeHeight="251662336" behindDoc="0" locked="0" layoutInCell="1" allowOverlap="1" wp14:anchorId="1FE3B096" wp14:editId="7CFA38CA">
            <wp:simplePos x="0" y="0"/>
            <wp:positionH relativeFrom="column">
              <wp:posOffset>0</wp:posOffset>
            </wp:positionH>
            <wp:positionV relativeFrom="paragraph">
              <wp:posOffset>176530</wp:posOffset>
            </wp:positionV>
            <wp:extent cx="4089400" cy="2726055"/>
            <wp:effectExtent l="0" t="0" r="0" b="0"/>
            <wp:wrapTopAndBottom/>
            <wp:docPr id="16076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195" name="Picture 1607655195"/>
                    <pic:cNvPicPr/>
                  </pic:nvPicPr>
                  <pic:blipFill>
                    <a:blip r:embed="rId13"/>
                    <a:stretch>
                      <a:fillRect/>
                    </a:stretch>
                  </pic:blipFill>
                  <pic:spPr>
                    <a:xfrm>
                      <a:off x="0" y="0"/>
                      <a:ext cx="4089400" cy="2726055"/>
                    </a:xfrm>
                    <a:prstGeom prst="rect">
                      <a:avLst/>
                    </a:prstGeom>
                  </pic:spPr>
                </pic:pic>
              </a:graphicData>
            </a:graphic>
            <wp14:sizeRelH relativeFrom="page">
              <wp14:pctWidth>0</wp14:pctWidth>
            </wp14:sizeRelH>
            <wp14:sizeRelV relativeFrom="page">
              <wp14:pctHeight>0</wp14:pctHeight>
            </wp14:sizeRelV>
          </wp:anchor>
        </w:drawing>
      </w:r>
    </w:p>
    <w:p w14:paraId="3A52BF65" w14:textId="13CEBF2C" w:rsidR="006F78AD" w:rsidRDefault="006F78AD" w:rsidP="006F78AD">
      <w:r w:rsidRPr="00B50231">
        <w:rPr>
          <w:b/>
          <w:bCs/>
        </w:rPr>
        <w:t xml:space="preserve">Fig </w:t>
      </w:r>
      <w:r>
        <w:rPr>
          <w:b/>
          <w:bCs/>
        </w:rPr>
        <w:t>4</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138568F9" w14:textId="77777777" w:rsidR="006F78AD" w:rsidRDefault="006F78AD" w:rsidP="006F78AD">
      <w:r>
        <w:rPr>
          <w:noProof/>
        </w:rPr>
        <w:drawing>
          <wp:anchor distT="0" distB="0" distL="114300" distR="114300" simplePos="0" relativeHeight="251663360" behindDoc="0" locked="0" layoutInCell="1" allowOverlap="1" wp14:anchorId="26619678" wp14:editId="08D64174">
            <wp:simplePos x="0" y="0"/>
            <wp:positionH relativeFrom="column">
              <wp:posOffset>0</wp:posOffset>
            </wp:positionH>
            <wp:positionV relativeFrom="paragraph">
              <wp:posOffset>226913</wp:posOffset>
            </wp:positionV>
            <wp:extent cx="2922905" cy="2922905"/>
            <wp:effectExtent l="0" t="0" r="0" b="0"/>
            <wp:wrapTopAndBottom/>
            <wp:docPr id="143336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7083" name="Picture 953267083"/>
                    <pic:cNvPicPr/>
                  </pic:nvPicPr>
                  <pic:blipFill>
                    <a:blip r:embed="rId14"/>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0018E5CA" w14:textId="7F043D43" w:rsidR="006F78AD" w:rsidRPr="00CE235A" w:rsidRDefault="006F78AD" w:rsidP="006F78AD">
      <w:r w:rsidRPr="00B50231">
        <w:rPr>
          <w:b/>
          <w:bCs/>
        </w:rPr>
        <w:t xml:space="preserve">Fig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563414E1" w14:textId="77777777" w:rsidR="006F78AD" w:rsidRDefault="006F78AD" w:rsidP="006F78AD"/>
    <w:p w14:paraId="2711D2CF" w14:textId="77777777" w:rsidR="006F78AD" w:rsidRDefault="006F78AD" w:rsidP="006F78AD"/>
    <w:p w14:paraId="71D112DB" w14:textId="77777777" w:rsidR="006F78AD" w:rsidRDefault="006F78AD" w:rsidP="006F78AD"/>
    <w:p w14:paraId="7CCD5C95" w14:textId="77777777" w:rsidR="006F78AD" w:rsidRDefault="006F78AD" w:rsidP="006F78AD"/>
    <w:p w14:paraId="6D65B816" w14:textId="77777777" w:rsidR="006F78AD" w:rsidRDefault="006F78AD" w:rsidP="006F78AD"/>
    <w:p w14:paraId="72541CD9" w14:textId="39E68970" w:rsidR="006F78AD" w:rsidRDefault="006F78AD" w:rsidP="006F78AD">
      <w:r w:rsidRPr="00B50231">
        <w:rPr>
          <w:noProof/>
          <w:sz w:val="32"/>
          <w:szCs w:val="32"/>
        </w:rPr>
        <w:lastRenderedPageBreak/>
        <w:drawing>
          <wp:anchor distT="0" distB="0" distL="114300" distR="114300" simplePos="0" relativeHeight="251664384" behindDoc="0" locked="0" layoutInCell="1" allowOverlap="1" wp14:anchorId="1E99BA09" wp14:editId="0A82BC45">
            <wp:simplePos x="0" y="0"/>
            <wp:positionH relativeFrom="column">
              <wp:posOffset>6985</wp:posOffset>
            </wp:positionH>
            <wp:positionV relativeFrom="paragraph">
              <wp:posOffset>427</wp:posOffset>
            </wp:positionV>
            <wp:extent cx="2951480" cy="2951480"/>
            <wp:effectExtent l="0" t="0" r="0" b="0"/>
            <wp:wrapTopAndBottom/>
            <wp:docPr id="34615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64" name="Picture 346150764"/>
                    <pic:cNvPicPr/>
                  </pic:nvPicPr>
                  <pic:blipFill>
                    <a:blip r:embed="rId15"/>
                    <a:stretch>
                      <a:fillRect/>
                    </a:stretch>
                  </pic:blipFill>
                  <pic:spPr>
                    <a:xfrm>
                      <a:off x="0" y="0"/>
                      <a:ext cx="2951480" cy="2951480"/>
                    </a:xfrm>
                    <a:prstGeom prst="rect">
                      <a:avLst/>
                    </a:prstGeom>
                  </pic:spPr>
                </pic:pic>
              </a:graphicData>
            </a:graphic>
            <wp14:sizeRelH relativeFrom="page">
              <wp14:pctWidth>0</wp14:pctWidth>
            </wp14:sizeRelH>
            <wp14:sizeRelV relativeFrom="page">
              <wp14:pctHeight>0</wp14:pctHeight>
            </wp14:sizeRelV>
          </wp:anchor>
        </w:drawing>
      </w:r>
      <w:r w:rsidRPr="00B50231">
        <w:rPr>
          <w:b/>
          <w:bCs/>
        </w:rPr>
        <w:t xml:space="preserve">Fig </w:t>
      </w:r>
      <w:r>
        <w:rPr>
          <w:b/>
          <w:bCs/>
        </w:rPr>
        <w:t>6</w:t>
      </w:r>
      <w:r w:rsidRPr="00B50231">
        <w:rPr>
          <w:b/>
          <w:bCs/>
        </w:rPr>
        <w:t>S:</w:t>
      </w:r>
      <w:r>
        <w:t xml:space="preserve"> </w:t>
      </w:r>
      <w:r w:rsidRPr="00B50231">
        <w:t xml:space="preserve">Visualization of the eigenvalues for each principal component in descending order. Principal components 1 through </w:t>
      </w:r>
      <w:r>
        <w:t xml:space="preserve">3 </w:t>
      </w:r>
      <w:r w:rsidRPr="00B50231">
        <w:t>were used for analysis</w:t>
      </w:r>
      <w:r>
        <w:t xml:space="preserve"> because they explain &gt;5% of the variation. </w:t>
      </w:r>
    </w:p>
    <w:p w14:paraId="4B914B40" w14:textId="77777777" w:rsidR="006F78AD" w:rsidRDefault="006F78AD" w:rsidP="006F78AD"/>
    <w:sectPr w:rsidR="006F78AD"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6-11T17:01:00Z" w:initials="JL">
    <w:p w14:paraId="0BD6F2C2" w14:textId="77777777" w:rsidR="00C177E1" w:rsidRDefault="00C177E1" w:rsidP="00C177E1">
      <w:r>
        <w:rPr>
          <w:rStyle w:val="CommentReference"/>
        </w:rPr>
        <w:annotationRef/>
      </w:r>
      <w:r>
        <w:rPr>
          <w:color w:val="000000"/>
          <w:sz w:val="20"/>
          <w:szCs w:val="20"/>
        </w:rPr>
        <w:t xml:space="preserve">Hi Katie, thank you for reading through this. Here’s a little context before you begin: I adamantly wanted to take a systems biology approach to interpreting these results. You see I’ve attempted to pull out broad trends from the taxonomic and metabolic data that speak to evidence of integrative systems and their response to the environment. I’ve taken this approach for two reasons 1) it is what I’m most interested in and 2) I wanted to try to avoid a cherry-picking approach- I do provide specific examples of pathways and taxa but I try to keep bringing it back to the whole physiological system. I also though this would be a more unique and high impact way to frame these results that would appeal to a broader ecology audience. Since I want this to apeal to a broad audience, I’ve gone to lengths to make sure each mechanism and result is well-explained, but this has resulted in quite a long paper. Maybe you can help me identify some places to cut. I also hope your feedback can speak to if you think I’ve pieced things together in an approproate and accurate way. Andy is way out of his depth here content-wise so hopefully your expertise can be helpful here. Please rip it up. I’ve left you some notes throughout as well. Thanks again! </w:t>
      </w:r>
    </w:p>
  </w:comment>
  <w:comment w:id="1" w:author="Lucore, Jordan" w:date="2025-06-11T17:02:00Z" w:initials="JL">
    <w:p w14:paraId="35F933FA" w14:textId="77777777" w:rsidR="00735745" w:rsidRDefault="00735745" w:rsidP="00735745">
      <w:r>
        <w:rPr>
          <w:rStyle w:val="CommentReference"/>
        </w:rPr>
        <w:annotationRef/>
      </w:r>
      <w:r>
        <w:rPr>
          <w:color w:val="000000"/>
          <w:sz w:val="20"/>
          <w:szCs w:val="20"/>
        </w:rPr>
        <w:t xml:space="preserve">Does this placement seem appropriate to you? </w:t>
      </w:r>
    </w:p>
  </w:comment>
  <w:comment w:id="2" w:author="Lucore, Jordan" w:date="2025-06-11T17:03:00Z" w:initials="JL">
    <w:p w14:paraId="3B560699" w14:textId="77777777" w:rsidR="00735745" w:rsidRDefault="00735745" w:rsidP="00735745">
      <w:r>
        <w:rPr>
          <w:rStyle w:val="CommentReference"/>
        </w:rPr>
        <w:annotationRef/>
      </w:r>
      <w:r>
        <w:rPr>
          <w:color w:val="000000"/>
          <w:sz w:val="20"/>
          <w:szCs w:val="20"/>
        </w:rPr>
        <w:t>I’ve written this for methods to be at the end</w:t>
      </w:r>
    </w:p>
  </w:comment>
  <w:comment w:id="3" w:author="Lucore, Jordan" w:date="2025-06-11T14:48:00Z" w:initials="JL">
    <w:p w14:paraId="32D00A67" w14:textId="18115D4A" w:rsidR="00D12E65" w:rsidRDefault="00CC71B6" w:rsidP="00D12E65">
      <w:r>
        <w:rPr>
          <w:rStyle w:val="CommentReference"/>
        </w:rPr>
        <w:annotationRef/>
      </w:r>
      <w:r w:rsidR="00D12E65">
        <w:rPr>
          <w:sz w:val="20"/>
          <w:szCs w:val="20"/>
        </w:rPr>
        <w:t xml:space="preserve">Katie, this discussion feels quite long… I’m interested in your thoughts. I’m currently hesitant to cut it because I feel like I’ve already distilled these results so much and I don’t want it to seem like I’m cherry-picking effects. Let me know what you think. </w:t>
      </w:r>
    </w:p>
  </w:comment>
  <w:comment w:id="5" w:author="Lucore, Jordan" w:date="2025-06-11T14:57:00Z" w:initials="JL">
    <w:p w14:paraId="2896066A" w14:textId="1C54A243" w:rsidR="00CC71B6" w:rsidRDefault="00CC71B6" w:rsidP="00CC71B6">
      <w:r>
        <w:rPr>
          <w:rStyle w:val="CommentReference"/>
        </w:rPr>
        <w:annotationRef/>
      </w:r>
      <w:r>
        <w:rPr>
          <w:color w:val="000000"/>
          <w:sz w:val="20"/>
          <w:szCs w:val="20"/>
        </w:rPr>
        <w:t>I’m not sure if I have enough detail in this section please let me know what you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D6F2C2" w15:done="0"/>
  <w15:commentEx w15:paraId="35F933FA" w15:done="0"/>
  <w15:commentEx w15:paraId="3B560699" w15:done="0"/>
  <w15:commentEx w15:paraId="32D00A67" w15:done="0"/>
  <w15:commentEx w15:paraId="289606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CDC4E0" w16cex:dateUtc="2025-06-11T21:01:00Z"/>
  <w16cex:commentExtensible w16cex:durableId="4DDACEBB" w16cex:dateUtc="2025-06-11T21:02:00Z"/>
  <w16cex:commentExtensible w16cex:durableId="25A25620" w16cex:dateUtc="2025-06-11T21:03:00Z"/>
  <w16cex:commentExtensible w16cex:durableId="5D2B05C0" w16cex:dateUtc="2025-06-11T18:48:00Z"/>
  <w16cex:commentExtensible w16cex:durableId="2A95A65D" w16cex:dateUtc="2025-06-11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D6F2C2" w16cid:durableId="04CDC4E0"/>
  <w16cid:commentId w16cid:paraId="35F933FA" w16cid:durableId="4DDACEBB"/>
  <w16cid:commentId w16cid:paraId="3B560699" w16cid:durableId="25A25620"/>
  <w16cid:commentId w16cid:paraId="32D00A67" w16cid:durableId="5D2B05C0"/>
  <w16cid:commentId w16cid:paraId="2896066A" w16cid:durableId="2A95A6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D64A6"/>
    <w:multiLevelType w:val="hybridMultilevel"/>
    <w:tmpl w:val="98B6F5EC"/>
    <w:lvl w:ilvl="0" w:tplc="46628BE0">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64104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B2"/>
    <w:rsid w:val="000365B2"/>
    <w:rsid w:val="00074A66"/>
    <w:rsid w:val="00101852"/>
    <w:rsid w:val="001B23D4"/>
    <w:rsid w:val="001F07F9"/>
    <w:rsid w:val="00204905"/>
    <w:rsid w:val="00227837"/>
    <w:rsid w:val="00253872"/>
    <w:rsid w:val="002708C3"/>
    <w:rsid w:val="00325A7B"/>
    <w:rsid w:val="00337EBD"/>
    <w:rsid w:val="003563E7"/>
    <w:rsid w:val="003A6EEB"/>
    <w:rsid w:val="003F274E"/>
    <w:rsid w:val="00455FE7"/>
    <w:rsid w:val="00481C1E"/>
    <w:rsid w:val="00487066"/>
    <w:rsid w:val="00497C02"/>
    <w:rsid w:val="00505AA6"/>
    <w:rsid w:val="0053230B"/>
    <w:rsid w:val="005551F2"/>
    <w:rsid w:val="005639BF"/>
    <w:rsid w:val="005B5DB4"/>
    <w:rsid w:val="0060068F"/>
    <w:rsid w:val="006841BE"/>
    <w:rsid w:val="006B2306"/>
    <w:rsid w:val="006F78AD"/>
    <w:rsid w:val="0071461C"/>
    <w:rsid w:val="00735745"/>
    <w:rsid w:val="00752B2B"/>
    <w:rsid w:val="00786FBA"/>
    <w:rsid w:val="0081565D"/>
    <w:rsid w:val="008631EB"/>
    <w:rsid w:val="00866B5F"/>
    <w:rsid w:val="008950FC"/>
    <w:rsid w:val="008A09B9"/>
    <w:rsid w:val="00903A8C"/>
    <w:rsid w:val="00933031"/>
    <w:rsid w:val="00B85B7C"/>
    <w:rsid w:val="00C03151"/>
    <w:rsid w:val="00C177E1"/>
    <w:rsid w:val="00C57268"/>
    <w:rsid w:val="00C74079"/>
    <w:rsid w:val="00CC71B6"/>
    <w:rsid w:val="00D070A3"/>
    <w:rsid w:val="00D12E65"/>
    <w:rsid w:val="00DE097D"/>
    <w:rsid w:val="00E344E1"/>
    <w:rsid w:val="00E356F2"/>
    <w:rsid w:val="00E73D23"/>
    <w:rsid w:val="00E81A2E"/>
    <w:rsid w:val="00F73CBB"/>
    <w:rsid w:val="00FB4C69"/>
    <w:rsid w:val="00FC0FFC"/>
    <w:rsid w:val="00FD15B2"/>
    <w:rsid w:val="00FD4BB1"/>
    <w:rsid w:val="00FE0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AED3"/>
  <w15:chartTrackingRefBased/>
  <w15:docId w15:val="{F44ACF0E-15C4-DD45-ABFA-5C7901325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B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1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5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5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5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5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5B2"/>
    <w:rPr>
      <w:rFonts w:eastAsiaTheme="majorEastAsia" w:cstheme="majorBidi"/>
      <w:color w:val="272727" w:themeColor="text1" w:themeTint="D8"/>
    </w:rPr>
  </w:style>
  <w:style w:type="paragraph" w:styleId="Title">
    <w:name w:val="Title"/>
    <w:basedOn w:val="Normal"/>
    <w:next w:val="Normal"/>
    <w:link w:val="TitleChar"/>
    <w:uiPriority w:val="10"/>
    <w:qFormat/>
    <w:rsid w:val="00FD15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5B2"/>
    <w:pPr>
      <w:spacing w:before="160"/>
      <w:jc w:val="center"/>
    </w:pPr>
    <w:rPr>
      <w:i/>
      <w:iCs/>
      <w:color w:val="404040" w:themeColor="text1" w:themeTint="BF"/>
    </w:rPr>
  </w:style>
  <w:style w:type="character" w:customStyle="1" w:styleId="QuoteChar">
    <w:name w:val="Quote Char"/>
    <w:basedOn w:val="DefaultParagraphFont"/>
    <w:link w:val="Quote"/>
    <w:uiPriority w:val="29"/>
    <w:rsid w:val="00FD15B2"/>
    <w:rPr>
      <w:i/>
      <w:iCs/>
      <w:color w:val="404040" w:themeColor="text1" w:themeTint="BF"/>
    </w:rPr>
  </w:style>
  <w:style w:type="paragraph" w:styleId="ListParagraph">
    <w:name w:val="List Paragraph"/>
    <w:basedOn w:val="Normal"/>
    <w:uiPriority w:val="34"/>
    <w:qFormat/>
    <w:rsid w:val="00FD15B2"/>
    <w:pPr>
      <w:ind w:left="720"/>
      <w:contextualSpacing/>
    </w:pPr>
  </w:style>
  <w:style w:type="character" w:styleId="IntenseEmphasis">
    <w:name w:val="Intense Emphasis"/>
    <w:basedOn w:val="DefaultParagraphFont"/>
    <w:uiPriority w:val="21"/>
    <w:qFormat/>
    <w:rsid w:val="00FD15B2"/>
    <w:rPr>
      <w:i/>
      <w:iCs/>
      <w:color w:val="0F4761" w:themeColor="accent1" w:themeShade="BF"/>
    </w:rPr>
  </w:style>
  <w:style w:type="paragraph" w:styleId="IntenseQuote">
    <w:name w:val="Intense Quote"/>
    <w:basedOn w:val="Normal"/>
    <w:next w:val="Normal"/>
    <w:link w:val="IntenseQuoteChar"/>
    <w:uiPriority w:val="30"/>
    <w:qFormat/>
    <w:rsid w:val="00FD1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5B2"/>
    <w:rPr>
      <w:i/>
      <w:iCs/>
      <w:color w:val="0F4761" w:themeColor="accent1" w:themeShade="BF"/>
    </w:rPr>
  </w:style>
  <w:style w:type="character" w:styleId="IntenseReference">
    <w:name w:val="Intense Reference"/>
    <w:basedOn w:val="DefaultParagraphFont"/>
    <w:uiPriority w:val="32"/>
    <w:qFormat/>
    <w:rsid w:val="00FD15B2"/>
    <w:rPr>
      <w:b/>
      <w:bCs/>
      <w:smallCaps/>
      <w:color w:val="0F4761" w:themeColor="accent1" w:themeShade="BF"/>
      <w:spacing w:val="5"/>
    </w:rPr>
  </w:style>
  <w:style w:type="character" w:styleId="Emphasis">
    <w:name w:val="Emphasis"/>
    <w:basedOn w:val="DefaultParagraphFont"/>
    <w:uiPriority w:val="20"/>
    <w:qFormat/>
    <w:rsid w:val="00FD15B2"/>
    <w:rPr>
      <w:i/>
      <w:iCs/>
    </w:rPr>
  </w:style>
  <w:style w:type="character" w:styleId="Hyperlink">
    <w:name w:val="Hyperlink"/>
    <w:basedOn w:val="DefaultParagraphFont"/>
    <w:uiPriority w:val="99"/>
    <w:unhideWhenUsed/>
    <w:rsid w:val="00FD15B2"/>
    <w:rPr>
      <w:color w:val="467886" w:themeColor="hyperlink"/>
      <w:u w:val="single"/>
    </w:rPr>
  </w:style>
  <w:style w:type="character" w:styleId="CommentReference">
    <w:name w:val="annotation reference"/>
    <w:basedOn w:val="DefaultParagraphFont"/>
    <w:uiPriority w:val="99"/>
    <w:semiHidden/>
    <w:unhideWhenUsed/>
    <w:rsid w:val="00C57268"/>
    <w:rPr>
      <w:sz w:val="16"/>
      <w:szCs w:val="16"/>
    </w:rPr>
  </w:style>
  <w:style w:type="character" w:styleId="HTMLCode">
    <w:name w:val="HTML Code"/>
    <w:basedOn w:val="DefaultParagraphFont"/>
    <w:uiPriority w:val="99"/>
    <w:semiHidden/>
    <w:unhideWhenUsed/>
    <w:rsid w:val="00903A8C"/>
    <w:rPr>
      <w:rFonts w:ascii="Courier New" w:eastAsia="Times New Roman" w:hAnsi="Courier New" w:cs="Courier New"/>
      <w:sz w:val="20"/>
      <w:szCs w:val="20"/>
    </w:rPr>
  </w:style>
  <w:style w:type="character" w:styleId="Strong">
    <w:name w:val="Strong"/>
    <w:basedOn w:val="DefaultParagraphFont"/>
    <w:uiPriority w:val="22"/>
    <w:qFormat/>
    <w:rsid w:val="005B5DB4"/>
    <w:rPr>
      <w:b/>
      <w:bCs/>
    </w:rPr>
  </w:style>
  <w:style w:type="paragraph" w:styleId="NormalWeb">
    <w:name w:val="Normal (Web)"/>
    <w:basedOn w:val="Normal"/>
    <w:uiPriority w:val="99"/>
    <w:unhideWhenUsed/>
    <w:rsid w:val="00786FBA"/>
    <w:pPr>
      <w:spacing w:before="100" w:beforeAutospacing="1" w:after="100" w:afterAutospacing="1"/>
    </w:pPr>
  </w:style>
  <w:style w:type="paragraph" w:styleId="CommentText">
    <w:name w:val="annotation text"/>
    <w:basedOn w:val="Normal"/>
    <w:link w:val="CommentTextChar"/>
    <w:uiPriority w:val="99"/>
    <w:semiHidden/>
    <w:unhideWhenUsed/>
    <w:rsid w:val="00CC71B6"/>
    <w:rPr>
      <w:sz w:val="20"/>
      <w:szCs w:val="20"/>
    </w:rPr>
  </w:style>
  <w:style w:type="character" w:customStyle="1" w:styleId="CommentTextChar">
    <w:name w:val="Comment Text Char"/>
    <w:basedOn w:val="DefaultParagraphFont"/>
    <w:link w:val="CommentText"/>
    <w:uiPriority w:val="99"/>
    <w:semiHidden/>
    <w:rsid w:val="00CC71B6"/>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C71B6"/>
    <w:rPr>
      <w:b/>
      <w:bCs/>
    </w:rPr>
  </w:style>
  <w:style w:type="character" w:customStyle="1" w:styleId="CommentSubjectChar">
    <w:name w:val="Comment Subject Char"/>
    <w:basedOn w:val="CommentTextChar"/>
    <w:link w:val="CommentSubject"/>
    <w:uiPriority w:val="99"/>
    <w:semiHidden/>
    <w:rsid w:val="00CC71B6"/>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3.emf"/><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emf"/><Relationship Id="rId5" Type="http://schemas.openxmlformats.org/officeDocument/2006/relationships/comments" Target="comments.xml"/><Relationship Id="rId15" Type="http://schemas.openxmlformats.org/officeDocument/2006/relationships/image" Target="media/image6.emf"/><Relationship Id="rId10"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hyperlink" Target="http://www.earthmicrobiome.org" TargetMode="Externa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16</Pages>
  <Words>42233</Words>
  <Characters>240734</Characters>
  <Application>Microsoft Office Word</Application>
  <DocSecurity>0</DocSecurity>
  <Lines>2006</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23</cp:revision>
  <dcterms:created xsi:type="dcterms:W3CDTF">2025-06-10T18:19:00Z</dcterms:created>
  <dcterms:modified xsi:type="dcterms:W3CDTF">2025-06-11T21:03:00Z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id="xHs1Tqtf"/&gt;&lt;style id="http://www.zotero.org/styles/apa" locale="en-US" hasBibliography="1" bibliographyStyleHasBeenSet="0"/&gt;&lt;prefs&gt;&lt;pref name="fieldType" value="Field"/&gt;&lt;/prefs&gt;&lt;/data&gt;</vt:lpwstr>
  </property>
</Properties>
</file>