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75A29" w14:textId="79F925B2" w:rsidR="00787E3A" w:rsidRPr="008D3054" w:rsidRDefault="00787E3A" w:rsidP="00787E3A">
      <w:pPr>
        <w:rPr>
          <w:sz w:val="28"/>
          <w:szCs w:val="28"/>
        </w:rPr>
      </w:pPr>
      <w:r w:rsidRPr="008D3054">
        <w:rPr>
          <w:sz w:val="28"/>
          <w:szCs w:val="28"/>
        </w:rPr>
        <w:t>Gut microbiome response to temperature is related to immune performance in wild a primate</w:t>
      </w:r>
    </w:p>
    <w:p w14:paraId="5EEDA0E9" w14:textId="77777777" w:rsidR="00787E3A" w:rsidRDefault="00787E3A" w:rsidP="00CF493A">
      <w:pPr>
        <w:rPr>
          <w:u w:val="single"/>
        </w:rPr>
      </w:pPr>
    </w:p>
    <w:p w14:paraId="4E34F705" w14:textId="60F566F0" w:rsidR="00787E3A" w:rsidRDefault="00787E3A" w:rsidP="00CF493A">
      <w:r w:rsidRPr="00787E3A">
        <w:t>Methods:</w:t>
      </w:r>
    </w:p>
    <w:p w14:paraId="73A7B0C1" w14:textId="235D6D02" w:rsidR="00487A6E" w:rsidRPr="00487A6E" w:rsidRDefault="00487A6E" w:rsidP="00CF493A">
      <w:pPr>
        <w:rPr>
          <w:u w:val="single"/>
        </w:rPr>
      </w:pPr>
      <w:r w:rsidRPr="00487A6E">
        <w:rPr>
          <w:u w:val="single"/>
        </w:rPr>
        <w:t xml:space="preserve">Site information and </w:t>
      </w:r>
      <w:r>
        <w:rPr>
          <w:u w:val="single"/>
        </w:rPr>
        <w:t>data</w:t>
      </w:r>
      <w:r w:rsidRPr="00487A6E">
        <w:rPr>
          <w:u w:val="single"/>
        </w:rPr>
        <w:t xml:space="preserve"> collection</w:t>
      </w:r>
    </w:p>
    <w:p w14:paraId="5B0908DD" w14:textId="5C6D3244" w:rsidR="0003332A" w:rsidRDefault="007A7158" w:rsidP="0003332A">
      <w:r>
        <w:t>Data was collected</w:t>
      </w:r>
      <w:r w:rsidR="00BF708A">
        <w:t xml:space="preserve"> from a wild population of </w:t>
      </w:r>
      <w:r w:rsidR="00BF708A" w:rsidRPr="00487A6E">
        <w:rPr>
          <w:i/>
          <w:iCs/>
        </w:rPr>
        <w:t>C. imitator</w:t>
      </w:r>
      <w:r w:rsidR="00BF708A">
        <w:t xml:space="preserve"> living in the </w:t>
      </w:r>
      <w:proofErr w:type="spellStart"/>
      <w:r w:rsidR="00BF708A">
        <w:t>Taboga</w:t>
      </w:r>
      <w:proofErr w:type="spellEnd"/>
      <w:r w:rsidR="00BF708A">
        <w:t xml:space="preserve"> Forest reserve in </w:t>
      </w:r>
      <w:r w:rsidR="00BF708A" w:rsidRPr="00EB2753">
        <w:t>Guanacaste</w:t>
      </w:r>
      <w:r w:rsidR="00BF708A">
        <w:t xml:space="preserve">, </w:t>
      </w:r>
      <w:r w:rsidR="00BF708A" w:rsidRPr="00EB2753">
        <w:t>Northwestern Costa Rica</w:t>
      </w:r>
      <w:r w:rsidR="00BF708A">
        <w:t xml:space="preserve">. </w:t>
      </w:r>
      <w:r w:rsidR="0003332A" w:rsidRPr="00EB2753">
        <w:t xml:space="preserve">The </w:t>
      </w:r>
      <w:proofErr w:type="spellStart"/>
      <w:r w:rsidR="0003332A" w:rsidRPr="00EB2753">
        <w:t>Taboga</w:t>
      </w:r>
      <w:proofErr w:type="spellEnd"/>
      <w:r w:rsidR="0003332A" w:rsidRPr="00EB2753">
        <w:t xml:space="preserve"> Forest Reserve is a 516-ha tropical dry forest</w:t>
      </w:r>
      <w:r w:rsidR="0003332A">
        <w:t xml:space="preserve"> fragment and forms an </w:t>
      </w:r>
      <w:r w:rsidR="0003332A" w:rsidRPr="00EB2753">
        <w:t xml:space="preserve">important piece of a fragmented biological corridor connecting the </w:t>
      </w:r>
      <w:proofErr w:type="spellStart"/>
      <w:r w:rsidR="0003332A" w:rsidRPr="00EB2753">
        <w:t>Tempisque</w:t>
      </w:r>
      <w:proofErr w:type="spellEnd"/>
      <w:r w:rsidR="0003332A" w:rsidRPr="00EB2753">
        <w:t xml:space="preserve"> River Basin to the Guanacaste Mountains</w:t>
      </w:r>
      <w:r w:rsidR="0003332A">
        <w:t xml:space="preserve"> </w:t>
      </w:r>
      <w:r w:rsidR="0003332A">
        <w:fldChar w:fldCharType="begin"/>
      </w:r>
      <w:r w:rsidR="0003332A">
        <w:instrText xml:space="preserve"> ADDIN ZOTERO_ITEM CSL_CITATION {"citationID":"LCB9ZKPz","properties":{"formattedCitation":"(Tinsley Johnson et al., 2020)","plainCitation":"(Tinsley Johnson et al., 2020)","noteIndex":0},"citationItems":[{"id":559,"uris":["http://zotero.org/users/13901503/items/Z3E2X5D7"],"itemData":{"id":559,"type":"article-journal","abstract":"Across the globe, primates are threatened by human activities. This is especially true for species found in tropical dry forests, which remain largely unprotected. Our ability to predict primate abundance in the face of human activity depends on different species' sensitivities as well as on the characteristics of the forest itself. We studied plant and primate distribution and abundance in the Taboga Forest, a 516-ha tropical dry forest surrounded by agricultural fields in northwestern Costa Rica. We found that the density of white-faced capuchins (Cebus capucinus) at Taboga is 2–6 times higher than reported for other long-term white-faced capuchin sites. Using plant transects, we also found relatively high species richness, diversity, and equitability compared with other tropical dry forests. Edge transects (i.e., within 100 m from the forest boundary) differed from interior transects in two ways: (a) tree species associated with dry forest succession were well-established in the edge and (b) canopy cover in the edge was maintained year-round, while the interior forest was deciduous. Sighting rates for capuchins were higher near water sources but did not vary between the edge and interior forest. For comparison, we also found the same to be true for the only other primate in the Taboga Forest, mantled howler monkeys (Alouatta palliata). Year-round access to water might explain why some primate species can flourish even alongside anthropogenic disturbance. Forest fragments like Taboga may support high densities of some species because they provide a mosaic of habitats and key resources that buffer adverse ecological conditions.","container-title":"American Journal of Primatology","DOI":"10.1002/ajp.23096","ISSN":"1098-2345","issue":"2","language":"en","license":"© 2020 Wiley Periodicals, Inc.","note":"_eprint: https://onlinelibrary.wiley.com/doi/pdf/10.1002/ajp.23096","page":"e23096","source":"Wiley Online Library","title":"High density of white-faced capuchins (Cebus capucinus) and habitat quality in the Taboga Forest of Costa Rica","volume":"82","author":[{"family":"Tinsley Johnson","given":"Elizabeth"},{"family":"Benítez","given":"Marcela E."},{"family":"Fuentes","given":"Alexander"},{"family":"McLean","given":"Celia R."},{"family":"Norford","given":"Ariek B."},{"family":"Ordoñez","given":"Juan Carlos"},{"family":"Beehner","given":"Jacinta C."},{"family":"Bergman","given":"Thore J."}],"issued":{"date-parts":[["2020"]]}}}],"schema":"https://github.com/citation-style-language/schema/raw/master/csl-citation.json"} </w:instrText>
      </w:r>
      <w:r w:rsidR="0003332A">
        <w:fldChar w:fldCharType="separate"/>
      </w:r>
      <w:r w:rsidR="0003332A">
        <w:rPr>
          <w:noProof/>
        </w:rPr>
        <w:t>(Tinsley Johnson et al., 2020)</w:t>
      </w:r>
      <w:r w:rsidR="0003332A">
        <w:fldChar w:fldCharType="end"/>
      </w:r>
      <w:r w:rsidR="0003332A">
        <w:t xml:space="preserve">. The Capuchinos de </w:t>
      </w:r>
      <w:proofErr w:type="spellStart"/>
      <w:r w:rsidR="0003332A">
        <w:t>Taboga</w:t>
      </w:r>
      <w:proofErr w:type="spellEnd"/>
      <w:r w:rsidR="0003332A">
        <w:t xml:space="preserve"> Research project has collected daily behavioral and endocrine data on the three groups of white-faced capuchins since 2018. All individuals are individually identified and habituated to human presence.</w:t>
      </w:r>
      <w:r w:rsidR="0003332A" w:rsidRPr="0003332A">
        <w:t xml:space="preserve"> </w:t>
      </w:r>
      <w:r>
        <w:t>Individual a</w:t>
      </w:r>
      <w:r w:rsidR="0003332A">
        <w:t xml:space="preserve">ge was calculated by birth date for individuals younger than 7 years of age; </w:t>
      </w:r>
      <w:r w:rsidR="0003332A" w:rsidRPr="00196F3A">
        <w:t xml:space="preserve">for individuals older than 7 years, age was estimated based on body condition by </w:t>
      </w:r>
      <w:r w:rsidR="0003332A">
        <w:t>a field team member</w:t>
      </w:r>
      <w:r w:rsidR="0003332A" w:rsidRPr="00196F3A">
        <w:t xml:space="preserve"> (J.C.O.) with more than two decades of experience observing wild white-faced capuchins.</w:t>
      </w:r>
      <w:r w:rsidR="0003332A" w:rsidRPr="0003332A">
        <w:t xml:space="preserve"> </w:t>
      </w:r>
      <w:r w:rsidR="0003332A">
        <w:t>A team of two or more trained field assistants collected data between 5:00 AM and 6:30 PM including detailed observations of feeding and foraging behavior using scan sampling. Scans occur every 30 minutes for 10 minutes</w:t>
      </w:r>
      <w:r>
        <w:t>,</w:t>
      </w:r>
      <w:r w:rsidR="0003332A">
        <w:t xml:space="preserve"> where feeding and foraging observations of individually identified monkeys </w:t>
      </w:r>
      <w:r>
        <w:t>were</w:t>
      </w:r>
      <w:r w:rsidR="0003332A">
        <w:t xml:space="preserve"> recorded. Individuals </w:t>
      </w:r>
      <w:r>
        <w:t>were</w:t>
      </w:r>
      <w:r w:rsidR="0003332A">
        <w:t xml:space="preserve"> recorded multiple times in one scan if they </w:t>
      </w:r>
      <w:r>
        <w:t>we</w:t>
      </w:r>
      <w:r w:rsidR="0003332A">
        <w:t xml:space="preserve">re observed engaging with different food items. Plant foods </w:t>
      </w:r>
      <w:r>
        <w:t>were</w:t>
      </w:r>
      <w:r w:rsidR="0003332A">
        <w:t xml:space="preserve"> identified on the family or genus level.</w:t>
      </w:r>
    </w:p>
    <w:p w14:paraId="11914082" w14:textId="77777777" w:rsidR="007A7158" w:rsidRDefault="007A7158" w:rsidP="0003332A"/>
    <w:p w14:paraId="202556B1" w14:textId="1E6AD5BD" w:rsidR="007A7158" w:rsidRDefault="007A7158" w:rsidP="007A7158">
      <w:pPr>
        <w:rPr>
          <w:bCs/>
        </w:rPr>
      </w:pPr>
      <w:r>
        <w:t>Between September 2022 and July 2023, Fecal and urine samples</w:t>
      </w:r>
      <w:r w:rsidRPr="007A7158">
        <w:t xml:space="preserve"> </w:t>
      </w:r>
      <w:r>
        <w:t xml:space="preserve">were collected </w:t>
      </w:r>
      <w:r w:rsidRPr="00196F3A">
        <w:t>opportunistically</w:t>
      </w:r>
      <w:r>
        <w:t xml:space="preserve"> in conjunction with behavioral data. All samples were collected </w:t>
      </w:r>
      <w:r w:rsidRPr="00196F3A">
        <w:t xml:space="preserve">from </w:t>
      </w:r>
      <w:r>
        <w:t xml:space="preserve">identified </w:t>
      </w:r>
      <w:r w:rsidRPr="00196F3A">
        <w:t xml:space="preserve">individuals </w:t>
      </w:r>
      <w:r>
        <w:t>who</w:t>
      </w:r>
      <w:r w:rsidRPr="00196F3A">
        <w:t xml:space="preserve"> appeared healthy upon visual inspection</w:t>
      </w:r>
      <w:r>
        <w:t>.</w:t>
      </w:r>
      <w:r w:rsidRPr="007A7158">
        <w:t xml:space="preserve"> </w:t>
      </w:r>
      <w:r>
        <w:t>Fecal samples were collected immediately after defecation and placed in 4mL of 98% ethanol</w:t>
      </w:r>
      <w:r w:rsidR="008360F2">
        <w:t xml:space="preserve"> </w:t>
      </w:r>
      <w:r w:rsidR="008360F2">
        <w:fldChar w:fldCharType="begin"/>
      </w:r>
      <w:r w:rsidR="008360F2">
        <w:instrText xml:space="preserve"> ADDIN ZOTERO_ITEM CSL_CITATION {"citationID":"WcH6RPHL","properties":{"formattedCitation":"(Amato et al., 2013)","plainCitation":"(Amato et al., 2013)","noteIndex":0},"citationItems":[{"id":13,"uris":["http://zotero.org/users/13901503/items/PSP5FMHG"],"itemData":{"id":13,"type":"article-journal","abstract":"The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R."}],"issued":{"date-parts":[["2013",7]]}}}],"schema":"https://github.com/citation-style-language/schema/raw/master/csl-citation.json"} </w:instrText>
      </w:r>
      <w:r w:rsidR="008360F2">
        <w:fldChar w:fldCharType="separate"/>
      </w:r>
      <w:r w:rsidR="008360F2">
        <w:rPr>
          <w:noProof/>
        </w:rPr>
        <w:t>(Amato et al., 2013)</w:t>
      </w:r>
      <w:r w:rsidR="008360F2">
        <w:fldChar w:fldCharType="end"/>
      </w:r>
      <w:r>
        <w:t xml:space="preserve">. </w:t>
      </w:r>
      <w:r w:rsidRPr="00196F3A">
        <w:t xml:space="preserve">Sample contamination </w:t>
      </w:r>
      <w:r>
        <w:t xml:space="preserve">was </w:t>
      </w:r>
      <w:r w:rsidRPr="00196F3A">
        <w:t xml:space="preserve">avoided by wearing gloves and only collecting feces that </w:t>
      </w:r>
      <w:r w:rsidR="008360F2">
        <w:t xml:space="preserve">were </w:t>
      </w:r>
      <w:r w:rsidRPr="00196F3A">
        <w:t>not in contact with the soil.</w:t>
      </w:r>
      <w:r>
        <w:t xml:space="preserve"> </w:t>
      </w:r>
      <w:r>
        <w:rPr>
          <w:bCs/>
        </w:rPr>
        <w:t>Feces contaminated with urine were not collected to prevent potential contamination</w:t>
      </w:r>
      <w:r w:rsidR="003929CF">
        <w:rPr>
          <w:bCs/>
        </w:rPr>
        <w:t xml:space="preserve"> from </w:t>
      </w:r>
      <w:r>
        <w:rPr>
          <w:bCs/>
        </w:rPr>
        <w:t>urogenital microbiome</w:t>
      </w:r>
      <w:r w:rsidR="003929CF">
        <w:rPr>
          <w:bCs/>
        </w:rPr>
        <w:t xml:space="preserve"> </w:t>
      </w:r>
      <w:r w:rsidR="003929CF">
        <w:rPr>
          <w:bCs/>
        </w:rPr>
        <w:fldChar w:fldCharType="begin"/>
      </w:r>
      <w:r w:rsidR="003929CF">
        <w:rPr>
          <w:bCs/>
        </w:rPr>
        <w:instrText xml:space="preserve"> ADDIN ZOTERO_ITEM CSL_CITATION {"citationID":"AqOs0Bp6","properties":{"formattedCitation":"(Thomas-White et al., 2018)","plainCitation":"(Thomas-White et al., 2018)","noteIndex":0},"citationItems":[{"id":1721,"uris":["http://zotero.org/users/13901503/items/EFIJNSWE"],"itemData":{"id":1721,"type":"article-journal","abstract":"Metagenomic analyses have indicated that the female bladder harbors an indigenous microbiota. However, there are few cultured reference strains with sequenced genomes available for functional and experimental analyses. Here we isolate and genome-sequence 149 bacterial strains from catheterized urine of 77 women. This culture collection spans 78 species, representing approximately two thirds of the bacterial diversity within the sampled bladders, including Proteobacteria, Actinobacteria, and Firmicutes. Detailed genomic and functional comparison of the bladder microbiota to the gastrointestinal and vaginal microbiotas demonstrates similar vaginal and bladder microbiota, with functional capacities that are distinct from those observed in the gastrointestinal microbiota. Whole-genome phylogenetic analysis of bacterial strains isolated from the vagina and bladder in the same women identifies highly similar Escherichia coli, Streptococcus anginosus, Lactobacillus iners, and Lactobacillus crispatus, suggesting an interlinked female urogenital microbiota that is not only limited to pathogens but is also characteristic of health-associated commensals.","container-title":"Nature Communications","DOI":"10.1038/s41467-018-03968-5","ISSN":"2041-1723","issue":"1","journalAbbreviation":"Nat Commun","language":"en","license":"2018 The Author(s)","note":"publisher: Nature Publishing Group","page":"1557","source":"www-nature-com.proxy.lib.umich.edu","title":"Culturing of female bladder bacteria reveals an interconnected urogenital microbiota","volume":"9","author":[{"family":"Thomas-White","given":"Krystal"},{"family":"Forster","given":"Samuel C."},{"family":"Kumar","given":"Nitin"},{"family":"Van Kuiken","given":"Michelle"},{"family":"Putonti","given":"Catherine"},{"family":"Stares","given":"Mark D."},{"family":"Hilt","given":"Evann E."},{"family":"Price","given":"Travis K."},{"family":"Wolfe","given":"Alan J."},{"family":"Lawley","given":"Trevor D."}],"issued":{"date-parts":[["2018",4,19]]}}}],"schema":"https://github.com/citation-style-language/schema/raw/master/csl-citation.json"} </w:instrText>
      </w:r>
      <w:r w:rsidR="003929CF">
        <w:rPr>
          <w:bCs/>
        </w:rPr>
        <w:fldChar w:fldCharType="separate"/>
      </w:r>
      <w:r w:rsidR="003929CF">
        <w:rPr>
          <w:bCs/>
          <w:noProof/>
        </w:rPr>
        <w:t>(Thomas-White et al., 2018)</w:t>
      </w:r>
      <w:r w:rsidR="003929CF">
        <w:rPr>
          <w:bCs/>
        </w:rPr>
        <w:fldChar w:fldCharType="end"/>
      </w:r>
      <w:r>
        <w:rPr>
          <w:bCs/>
        </w:rPr>
        <w:t xml:space="preserve">. Urine samples were collected using a clean catch method </w:t>
      </w:r>
      <w:r>
        <w:rPr>
          <w:bCs/>
        </w:rPr>
        <w:fldChar w:fldCharType="begin"/>
      </w:r>
      <w:r>
        <w:rPr>
          <w:bCs/>
        </w:rPr>
        <w:instrText xml:space="preserve"> ADDIN ZOTERO_ITEM CSL_CITATION {"citationID":"OT0mvtJ3","properties":{"formattedCitation":"(Bergstrom et al., 2017)","plainCitation":"(Bergstrom et al., 2017)","noteIndex":0},"citationItems":[{"id":564,"uris":["http://zotero.org/users/13901503/items/C7T2JIHZ"],"itemData":{"id":564,"type":"article-journal","abstract":"Objectives The physical condition of females depends on access to resources, which vary over space and time. Assessing variation in physical condition can help identify factors affecting reproductive success, but noninvasive measurement is difficult in wild animals. Creatinine concentration relative to the specific gravity (i.e., density) of urine has promise for noninvasively quantifying the relative muscle mass (RMM) of wild primates. We verified the relationship between these urinary parameters for wild white-faced capuchin monkeys, and assessed temporal changes in the RMM of females across groups and between periods of high and low resource abundance. Materials and Methods We collected urine from 25 adult females in three groups across varying seasons at Sector Santa Rosa, Costa Rica. We measured the specific gravity and creatinine concentration of 692 samples and the effect of specific gravity on creatinine concentration. We used the residuals of this relationship to measure effects of group and season using mixed-effects models. Results Specific gravity significantly predicted creatinine concentration. Season, group membership and the interaction between these variables were significant predictors of residual creatinine variation. Specifically, RMM was higher during months with high fruit energy density, lower in one social group, and less variable among females in the smallest group. Discussion Our findings suggest that specific gravity and creatinine may be used as urinary parameters to make inferences about the RMM of capuchins. Using this technique, we infer that females experienced changes in muscle mass according to variation in resource energy availability and social group variation.","container-title":"American Journal of Physical Anthropology","DOI":"10.1002/ajpa.23239","ISSN":"1096-8644","issue":"4","language":"en","license":"© 2017 Wiley Periodicals, Inc.","note":"_eprint: https://onlinelibrary.wiley.com/doi/pdf/10.1002/ajpa.23239","page":"707-715","source":"Wiley Online Library","title":"Using urinary parameters to estimate seasonal variation in the physical condition of female white-faced capuchin monkeys (Cebus capucinus imitator)","volume":"163","author":[{"family":"Bergstrom","given":"Mackenzie L."},{"family":"Emery Thompson","given":"Melissa"},{"family":"Melin","given":"Amanda D."},{"family":"Fedigan","given":"Linda M."}],"issued":{"date-parts":[["2017"]]}}}],"schema":"https://github.com/citation-style-language/schema/raw/master/csl-citation.json"} </w:instrText>
      </w:r>
      <w:r>
        <w:rPr>
          <w:bCs/>
        </w:rPr>
        <w:fldChar w:fldCharType="separate"/>
      </w:r>
      <w:r>
        <w:rPr>
          <w:bCs/>
          <w:noProof/>
        </w:rPr>
        <w:t>(Bergstrom et al., 2017)</w:t>
      </w:r>
      <w:r>
        <w:rPr>
          <w:bCs/>
        </w:rPr>
        <w:fldChar w:fldCharType="end"/>
      </w:r>
      <w:r>
        <w:rPr>
          <w:bCs/>
        </w:rPr>
        <w:t xml:space="preserve"> </w:t>
      </w:r>
      <w:r w:rsidRPr="001771F9">
        <w:rPr>
          <w:bCs/>
        </w:rPr>
        <w:t>to avoid rainfall and fecal contamination</w:t>
      </w:r>
      <w:r>
        <w:rPr>
          <w:bCs/>
        </w:rPr>
        <w:t xml:space="preserve">. Samples were collected from leaves or the ground only when they did not appear </w:t>
      </w:r>
      <w:r w:rsidRPr="001771F9">
        <w:t>contaminated with soil or feces.</w:t>
      </w:r>
      <w:r>
        <w:t xml:space="preserve"> Both fecal and urine samples were immediately stored in a</w:t>
      </w:r>
      <w:r w:rsidRPr="00196F3A">
        <w:t xml:space="preserve"> portable cooler and transferred to a -20°F freezer at the end of the</w:t>
      </w:r>
      <w:r>
        <w:t xml:space="preserve"> field</w:t>
      </w:r>
      <w:r w:rsidRPr="00196F3A">
        <w:t xml:space="preserve"> day</w:t>
      </w:r>
      <w:r>
        <w:t xml:space="preserve">. Fecal samples were stored in the freezer until shipment to </w:t>
      </w:r>
      <w:r w:rsidRPr="00196F3A">
        <w:t xml:space="preserve">the </w:t>
      </w:r>
      <w:r w:rsidRPr="00196F3A">
        <w:rPr>
          <w:bCs/>
        </w:rPr>
        <w:t>Amato Microbiome Lab at Northwestern University in Evanston IL for DNA extraction and sequencing.</w:t>
      </w:r>
      <w:r>
        <w:rPr>
          <w:bCs/>
        </w:rPr>
        <w:t xml:space="preserve"> Urine samples remained in the freezer until assay analysis was conducted onsite in the Capuchinos de </w:t>
      </w:r>
      <w:proofErr w:type="spellStart"/>
      <w:r>
        <w:rPr>
          <w:bCs/>
        </w:rPr>
        <w:t>Taboga</w:t>
      </w:r>
      <w:proofErr w:type="spellEnd"/>
      <w:r>
        <w:rPr>
          <w:bCs/>
        </w:rPr>
        <w:t xml:space="preserve"> field laboratory </w:t>
      </w:r>
      <w:r>
        <w:rPr>
          <w:bCs/>
        </w:rPr>
        <w:fldChar w:fldCharType="begin"/>
      </w:r>
      <w:r>
        <w:rPr>
          <w:bCs/>
        </w:rPr>
        <w:instrText xml:space="preserve"> ADDIN ZOTERO_ITEM CSL_CITATION {"citationID":"9aAKfPlg","properties":{"formattedCitation":"(Beehner et al., 2022)","plainCitation":"(Beehner et al., 2022)","noteIndex":0},"citationItems":[{"id":1716,"uris":["http://zotero.org/users/13901503/items/KXGKM98Y"],"itemData":{"id":1716,"type":"article-journal","abstract":"Hormone laboratories located “on-site” where field studies are being conducted have a number of advantages. On-site laboratories allow hormone analyses to proceed in near-real-time, minimize logistics of sample permits/shipping, contribute to in-country capacity-building, and (our focus here) facilitate cross-site collaboration through shared methods and a shared laboratory. Here we provide proof-of-concept that an on-site hormone laboratory (the Taboga Field Laboratory, located in the Taboga Forest Reserve, Costa Rica) can successfully run endocrine analyses in a remote location. Using fecal samples from wild white-faced capuchins (Cebus imitator) from three Costa Rican forests, we validate the extraction and analysis of four steroid hormones (glucocorticoids, testosterone, estradiol, progesterone) across six assays (DetectX® and ISWE, all from Arbor Assays). Additionally, as the first collaboration across three long-term, wild capuchin field sites (Lomas Barbudal, Santa Rosa, Taboga) involving local Costa Rican collaborators, this laboratory can serve as a future hub for collaborative exchange.","container-title":"General and Comparative Endocrinology","DOI":"10.1016/j.ygcen.2022.114109","ISSN":"0016-6480","journalAbbreviation":"General and Comparative Endocrinology","page":"114109","source":"ScienceDirect","title":"Using an on-site laboratory for fecal steroid analysis in wild white-faced capuchins","volume":"329","author":[{"family":"Beehner","given":"Jacinta C."},{"family":"Alfaro","given":"José"},{"family":"Allen","given":"Cloe"},{"family":"Benítez","given":"Marcela E."},{"family":"Bergman","given":"Thore J."},{"family":"Buehler","given":"Margaret S."},{"family":"Carrera","given":"Sofia C."},{"family":"Chester","given":"Emily M."},{"family":"Deschner","given":"Tobias"},{"family":"Fuentes","given":"Alexander"},{"family":"Gault","given":"Colleen M."},{"family":"Godoy","given":"Irene"},{"family":"Jack","given":"Katharine M."},{"family":"Kim","given":"Justin D."},{"family":"Kolinski","given":"Lev"},{"family":"Kulick","given":"Nelle K."},{"family":"Losch","given":"Teera"},{"family":"Ordoñez","given":"Juan Carlos"},{"family":"Perry","given":"Susan E."},{"family":"Pinto","given":"Fernando"},{"family":"Reilly","given":"Olivia T."},{"family":"Johnson","given":"Elizabeth Tinsley"},{"family":"Wasserman","given":"Michael D."}],"issued":{"date-parts":[["2022",12,1]]}}}],"schema":"https://github.com/citation-style-language/schema/raw/master/csl-citation.json"} </w:instrText>
      </w:r>
      <w:r>
        <w:rPr>
          <w:bCs/>
        </w:rPr>
        <w:fldChar w:fldCharType="separate"/>
      </w:r>
      <w:r>
        <w:rPr>
          <w:bCs/>
          <w:noProof/>
        </w:rPr>
        <w:t>(Beehner et al., 2022)</w:t>
      </w:r>
      <w:r>
        <w:rPr>
          <w:bCs/>
        </w:rPr>
        <w:fldChar w:fldCharType="end"/>
      </w:r>
      <w:r>
        <w:rPr>
          <w:bCs/>
        </w:rPr>
        <w:t xml:space="preserve">. </w:t>
      </w:r>
    </w:p>
    <w:p w14:paraId="326E1BC7" w14:textId="77777777" w:rsidR="00F90FF8" w:rsidRDefault="00F90FF8" w:rsidP="007A7158"/>
    <w:p w14:paraId="52E4C268" w14:textId="652E5175" w:rsidR="00F90FF8" w:rsidRDefault="00F90FF8" w:rsidP="007A7158">
      <w:r>
        <w:t xml:space="preserve">Temperature observations for this analysis came from the </w:t>
      </w:r>
      <w:r w:rsidRPr="00F90FF8">
        <w:rPr>
          <w:rStyle w:val="Emphasis"/>
          <w:i w:val="0"/>
          <w:iCs w:val="0"/>
        </w:rPr>
        <w:t>Palo Verde</w:t>
      </w:r>
      <w:r>
        <w:t xml:space="preserve"> meteorological station, located at the </w:t>
      </w:r>
      <w:r w:rsidRPr="00F90FF8">
        <w:rPr>
          <w:rStyle w:val="Emphasis"/>
          <w:i w:val="0"/>
          <w:iCs w:val="0"/>
        </w:rPr>
        <w:t>Organization for Tropical Studies</w:t>
      </w:r>
      <w:r>
        <w:rPr>
          <w:rStyle w:val="Emphasis"/>
        </w:rPr>
        <w:t xml:space="preserve"> (OTS) </w:t>
      </w:r>
      <w:r w:rsidRPr="00F90FF8">
        <w:rPr>
          <w:rStyle w:val="Emphasis"/>
          <w:i w:val="0"/>
          <w:iCs w:val="0"/>
        </w:rPr>
        <w:t>Palo Verde</w:t>
      </w:r>
      <w:r>
        <w:t xml:space="preserve"> research station (10.345°N, 85.339°E), approximately 20.81 km southwest of </w:t>
      </w:r>
      <w:r w:rsidRPr="00F90FF8">
        <w:t xml:space="preserve">the </w:t>
      </w:r>
      <w:proofErr w:type="spellStart"/>
      <w:r w:rsidRPr="00F90FF8">
        <w:rPr>
          <w:rStyle w:val="Emphasis"/>
          <w:i w:val="0"/>
          <w:iCs w:val="0"/>
        </w:rPr>
        <w:t>Taboga</w:t>
      </w:r>
      <w:proofErr w:type="spellEnd"/>
      <w:r w:rsidRPr="00F90FF8">
        <w:rPr>
          <w:rStyle w:val="Emphasis"/>
          <w:i w:val="0"/>
          <w:iCs w:val="0"/>
        </w:rPr>
        <w:t xml:space="preserve"> Forest Reserve</w:t>
      </w:r>
      <w:r>
        <w:t xml:space="preserve">. Like </w:t>
      </w:r>
      <w:proofErr w:type="spellStart"/>
      <w:r w:rsidRPr="00F90FF8">
        <w:rPr>
          <w:rStyle w:val="Emphasis"/>
          <w:i w:val="0"/>
          <w:iCs w:val="0"/>
        </w:rPr>
        <w:t>Taboga</w:t>
      </w:r>
      <w:proofErr w:type="spellEnd"/>
      <w:r w:rsidRPr="00F90FF8">
        <w:rPr>
          <w:i/>
          <w:iCs/>
        </w:rPr>
        <w:t xml:space="preserve">, </w:t>
      </w:r>
      <w:r w:rsidRPr="00F90FF8">
        <w:rPr>
          <w:rStyle w:val="Emphasis"/>
          <w:i w:val="0"/>
          <w:iCs w:val="0"/>
        </w:rPr>
        <w:t>Palo Verde</w:t>
      </w:r>
      <w:r>
        <w:t xml:space="preserve"> is one of Central America’s last remaining tropical dry forest fragments </w:t>
      </w:r>
      <w:r>
        <w:fldChar w:fldCharType="begin"/>
      </w:r>
      <w:r>
        <w:instrText xml:space="preserve"> ADDIN ZOTERO_ITEM CSL_CITATION {"citationID":"hpeAEVbe","properties":{"formattedCitation":"(Stern et al., 2002)","plainCitation":"(Stern et al., 2002)","noteIndex":0},"citationItems":[{"id":590,"uris":["http://zotero.org/users/13901503/items/V8828FH9"],"itemData":{"id":590,"type":"article-journal","container-title":"Revista de Biología Tropical","ISSN":"0034-7744","issue":"3-4","language":"en","note":"publisher: http://creativecommons.org/licenses/by/3.0","page":"1021-1034","source":"SciELO","title":"Changes in composition and structure of a tropical dry forest following intermittent Cattle grazing","volume":"50","author":[{"family":"Stern","given":"Margaret"},{"family":"Quesada","given":"Mauricio"},{"family":"Stoner","given":"Kathryn E."}],"issued":{"date-parts":[["2002",12]]}}}],"schema":"https://github.com/citation-style-language/schema/raw/master/csl-citation.json"} </w:instrText>
      </w:r>
      <w:r>
        <w:fldChar w:fldCharType="separate"/>
      </w:r>
      <w:r>
        <w:rPr>
          <w:noProof/>
        </w:rPr>
        <w:t>(Stern et al., 2002)</w:t>
      </w:r>
      <w:r>
        <w:fldChar w:fldCharType="end"/>
      </w:r>
      <w:r>
        <w:t>.</w:t>
      </w:r>
      <w:r w:rsidR="003929CF" w:rsidRPr="003929CF">
        <w:rPr>
          <w:rStyle w:val="Emphasis"/>
          <w:i w:val="0"/>
          <w:iCs w:val="0"/>
        </w:rPr>
        <w:t xml:space="preserve"> </w:t>
      </w:r>
      <w:r w:rsidR="003929CF" w:rsidRPr="00F90FF8">
        <w:rPr>
          <w:rStyle w:val="Emphasis"/>
          <w:i w:val="0"/>
          <w:iCs w:val="0"/>
        </w:rPr>
        <w:t>Palo Verde</w:t>
      </w:r>
      <w:r w:rsidR="003929CF">
        <w:t xml:space="preserve"> temperature data have been used in previous studies of the </w:t>
      </w:r>
      <w:proofErr w:type="spellStart"/>
      <w:r w:rsidR="003929CF" w:rsidRPr="00F90FF8">
        <w:rPr>
          <w:rStyle w:val="Emphasis"/>
          <w:i w:val="0"/>
          <w:iCs w:val="0"/>
        </w:rPr>
        <w:t>Taboga</w:t>
      </w:r>
      <w:proofErr w:type="spellEnd"/>
      <w:r w:rsidR="003929CF">
        <w:t xml:space="preserve"> white-faced capuchin population </w:t>
      </w:r>
      <w:r w:rsidR="003929CF">
        <w:fldChar w:fldCharType="begin"/>
      </w:r>
      <w:r w:rsidR="003929CF">
        <w:instrText xml:space="preserve"> ADDIN ZOTERO_ITEM CSL_CITATION {"citationID":"bU2rPvGm","properties":{"formattedCitation":"(Lucore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3929CF">
        <w:fldChar w:fldCharType="separate"/>
      </w:r>
      <w:r w:rsidR="003929CF">
        <w:rPr>
          <w:noProof/>
        </w:rPr>
        <w:t>(Lucore et al., 2024)</w:t>
      </w:r>
      <w:r w:rsidR="003929CF">
        <w:fldChar w:fldCharType="end"/>
      </w:r>
      <w:r w:rsidR="003929CF">
        <w:t xml:space="preserve">, given the habitat similarity and close proximity to </w:t>
      </w:r>
      <w:proofErr w:type="spellStart"/>
      <w:r w:rsidR="003929CF">
        <w:t>Taboga</w:t>
      </w:r>
      <w:proofErr w:type="spellEnd"/>
      <w:r w:rsidR="003929CF">
        <w:t xml:space="preserve">. </w:t>
      </w:r>
      <w:r>
        <w:t>The station records maximum and minimum air temperature every 15 minutes.</w:t>
      </w:r>
    </w:p>
    <w:p w14:paraId="34814D26" w14:textId="77777777" w:rsidR="008360F2" w:rsidRDefault="008360F2" w:rsidP="007A7158">
      <w:pPr>
        <w:rPr>
          <w:bCs/>
        </w:rPr>
      </w:pPr>
    </w:p>
    <w:p w14:paraId="7789EC7E" w14:textId="2E051890" w:rsidR="003929CF" w:rsidRDefault="00487A6E" w:rsidP="00CF493A">
      <w:pPr>
        <w:rPr>
          <w:u w:val="single"/>
        </w:rPr>
      </w:pPr>
      <w:r w:rsidRPr="00487A6E">
        <w:rPr>
          <w:u w:val="single"/>
        </w:rPr>
        <w:t>Neopterin analysis</w:t>
      </w:r>
    </w:p>
    <w:p w14:paraId="0773358C" w14:textId="14B87405" w:rsidR="0032774C" w:rsidRDefault="003929CF" w:rsidP="0032774C">
      <w:r>
        <w:lastRenderedPageBreak/>
        <w:t xml:space="preserve">The neopterin concentration of the urine samples was measured using a </w:t>
      </w:r>
      <w:r w:rsidRPr="00F90FF8">
        <w:t>commercially available competitive exclusion neopterin enzyme</w:t>
      </w:r>
      <w:r>
        <w:t>-</w:t>
      </w:r>
      <w:r w:rsidRPr="00F90FF8">
        <w:t xml:space="preserve">linked immunosorbent assay (Neopterin ELISA, Ref. RE59321, IBL International GMBH, Hamburg, Germany) in the Capuchinos de </w:t>
      </w:r>
      <w:proofErr w:type="spellStart"/>
      <w:r w:rsidRPr="00F90FF8">
        <w:t>Taboga</w:t>
      </w:r>
      <w:proofErr w:type="spellEnd"/>
      <w:r w:rsidRPr="00F90FF8">
        <w:t xml:space="preserve"> field laboratory.</w:t>
      </w:r>
      <w:r>
        <w:t xml:space="preserve"> The assay has been validated for use in the </w:t>
      </w:r>
      <w:proofErr w:type="spellStart"/>
      <w:r>
        <w:t>Taboga</w:t>
      </w:r>
      <w:proofErr w:type="spellEnd"/>
      <w:r>
        <w:t xml:space="preserve"> capuchin population </w:t>
      </w:r>
      <w:r>
        <w:fldChar w:fldCharType="begin"/>
      </w:r>
      <w:r>
        <w:instrText xml:space="preserve"> ADDIN ZOTERO_ITEM CSL_CITATION {"citationID":"cjbmKZII","properties":{"formattedCitation":"(Lucore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Samples were controlled for water volume using specific gravity</w:t>
      </w:r>
      <w:r w:rsidR="0032774C">
        <w:t xml:space="preserve"> and diluted using </w:t>
      </w:r>
      <w:r w:rsidR="0032774C" w:rsidRPr="00F90FF8">
        <w:t>manufacturer assay buffer</w:t>
      </w:r>
      <w:r w:rsidR="0032774C">
        <w:t xml:space="preserve">. Assays were run using </w:t>
      </w:r>
      <w:r w:rsidR="0032774C" w:rsidRPr="00F90FF8">
        <w:t>manufacturer protocol</w:t>
      </w:r>
      <w:r w:rsidR="0032774C">
        <w:t xml:space="preserve">, see </w:t>
      </w:r>
      <w:r w:rsidR="0032774C">
        <w:fldChar w:fldCharType="begin"/>
      </w:r>
      <w:r w:rsidR="0032774C">
        <w:instrText xml:space="preserve"> ADDIN ZOTERO_ITEM CSL_CITATION {"citationID":"5woM0KDG","properties":{"formattedCitation":"(Lucore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32774C">
        <w:fldChar w:fldCharType="separate"/>
      </w:r>
      <w:r w:rsidR="0032774C">
        <w:rPr>
          <w:noProof/>
        </w:rPr>
        <w:t>(Lucore et al., 2024)</w:t>
      </w:r>
      <w:r w:rsidR="0032774C">
        <w:fldChar w:fldCharType="end"/>
      </w:r>
      <w:r w:rsidR="0032774C">
        <w:t xml:space="preserve"> for details. </w:t>
      </w:r>
    </w:p>
    <w:p w14:paraId="5C46177E" w14:textId="77777777" w:rsidR="00487A6E" w:rsidRPr="00787E3A" w:rsidRDefault="00487A6E" w:rsidP="00CF493A"/>
    <w:p w14:paraId="4726432A" w14:textId="5D42E5E8" w:rsidR="0097690E" w:rsidRPr="0097690E" w:rsidRDefault="0097690E" w:rsidP="00CF493A">
      <w:pPr>
        <w:rPr>
          <w:u w:val="single"/>
        </w:rPr>
      </w:pPr>
      <w:r w:rsidRPr="0097690E">
        <w:rPr>
          <w:u w:val="single"/>
        </w:rPr>
        <w:t>16S rRNA extraction, sequencing, and processing</w:t>
      </w:r>
    </w:p>
    <w:p w14:paraId="5D2806B0" w14:textId="5C8273B3" w:rsidR="0097690E" w:rsidRDefault="00350F02" w:rsidP="0097690E">
      <w:r>
        <w:t>T</w:t>
      </w:r>
      <w:r w:rsidR="003D4519">
        <w:t>o measure gut microbiome taxonomic composition</w:t>
      </w:r>
      <w:r>
        <w:t>, 16S rRNA sequencing was</w:t>
      </w:r>
      <w:r w:rsidR="0032774C">
        <w:t xml:space="preserve"> in the</w:t>
      </w:r>
      <w:r>
        <w:t xml:space="preserve"> performed</w:t>
      </w:r>
      <w:r w:rsidR="0032774C">
        <w:t xml:space="preserve"> </w:t>
      </w:r>
      <w:r w:rsidR="0032774C" w:rsidRPr="00196F3A">
        <w:rPr>
          <w:bCs/>
        </w:rPr>
        <w:t>Amato Microbiome Lab at Northwestern University</w:t>
      </w:r>
      <w:r w:rsidR="0032774C">
        <w:rPr>
          <w:bCs/>
        </w:rPr>
        <w:t>,</w:t>
      </w:r>
      <w:r w:rsidR="0032774C" w:rsidRPr="00196F3A">
        <w:rPr>
          <w:bCs/>
        </w:rPr>
        <w:t xml:space="preserve"> Evanston IL</w:t>
      </w:r>
      <w:r w:rsidR="003D4519">
        <w:t xml:space="preserve">. DNA </w:t>
      </w:r>
      <w:r>
        <w:t xml:space="preserve">was extracted </w:t>
      </w:r>
      <w:r w:rsidR="003D4519">
        <w:t xml:space="preserve">from all samples using the </w:t>
      </w:r>
      <w:proofErr w:type="spellStart"/>
      <w:r w:rsidR="003D4519" w:rsidRPr="00CF493A">
        <w:t>DNeasy</w:t>
      </w:r>
      <w:proofErr w:type="spellEnd"/>
      <w:r w:rsidR="003D4519" w:rsidRPr="00CF493A">
        <w:t xml:space="preserve"> </w:t>
      </w:r>
      <w:proofErr w:type="spellStart"/>
      <w:r w:rsidR="003D4519" w:rsidRPr="00CF493A">
        <w:t>PowerLyzer</w:t>
      </w:r>
      <w:proofErr w:type="spellEnd"/>
      <w:r w:rsidR="003D4519" w:rsidRPr="00CF493A">
        <w:t xml:space="preserve"> </w:t>
      </w:r>
      <w:proofErr w:type="spellStart"/>
      <w:r w:rsidR="003D4519" w:rsidRPr="00CF493A">
        <w:t>PowerSoil</w:t>
      </w:r>
      <w:proofErr w:type="spellEnd"/>
      <w:r w:rsidR="003D4519" w:rsidRPr="00CF493A">
        <w:t xml:space="preserve"> Kit</w:t>
      </w:r>
      <w:r w:rsidR="003D4519">
        <w:t xml:space="preserve"> </w:t>
      </w:r>
      <w:r w:rsidR="003D4519" w:rsidRPr="003D4519">
        <w:t>(Qiagen, Germantown, MD, USA)</w:t>
      </w:r>
      <w:r w:rsidR="003D4519">
        <w:t xml:space="preserve"> with minor modifications to manufacturer protocol. </w:t>
      </w:r>
      <w:r w:rsidR="00FC47B0">
        <w:t xml:space="preserve">Samples were incubated at 65C for 10 minutes after adding the C1 and </w:t>
      </w:r>
      <w:proofErr w:type="spellStart"/>
      <w:r w:rsidR="00FC47B0">
        <w:t>Powerbead</w:t>
      </w:r>
      <w:proofErr w:type="spellEnd"/>
      <w:r w:rsidR="00FC47B0">
        <w:t xml:space="preserve"> solutions. </w:t>
      </w:r>
      <w:r w:rsidR="00433393">
        <w:t xml:space="preserve">Incubations </w:t>
      </w:r>
      <w:r w:rsidR="00FC47B0">
        <w:t>of</w:t>
      </w:r>
      <w:r w:rsidR="00433393">
        <w:t xml:space="preserve"> the C2 and C3 solution</w:t>
      </w:r>
      <w:r w:rsidR="00FC47B0">
        <w:t>s</w:t>
      </w:r>
      <w:r w:rsidR="00433393">
        <w:t xml:space="preserve"> were conducted in the fridge</w:t>
      </w:r>
      <w:r w:rsidR="00FC47B0">
        <w:t>. T</w:t>
      </w:r>
      <w:r w:rsidR="00433393">
        <w:t xml:space="preserve">he C6 solution was prewarmed before the final elution step. Modifications to the manufacturer’s protocol align with other protocols designed for fecal samples containing high levels of plant fiber </w:t>
      </w:r>
      <w:r w:rsidR="00433393">
        <w:fldChar w:fldCharType="begin"/>
      </w:r>
      <w:r w:rsidR="00FC47B0">
        <w:instrText xml:space="preserve"> ADDIN ZOTERO_ITEM CSL_CITATION {"citationID":"GSwb9QQA","properties":{"formattedCitation":"(Amato et al., 2020; E. k. Mallott et al., 2015; Pickett et al., 2012)","plainCitation":"(Amato et al., 2020; E. k. Mallott et al., 2015; Pickett et al., 2012)","noteIndex":0},"citationItems":[{"id":34,"uris":["http://zotero.org/users/13901503/items/QZVE8E7B"],"itemData":{"id":34,"type":"article-journal","abstract":"Understanding the mechanisms by which organisms respond to environmental change is critical to conservation biology. Recent research indicates that the gut microbiome may mediate mammalian responses to the environment and can be used as a biomarker to understand host ecological strategies. Here, we explore the relationship between the gut microbiome, host dietary niche, and potential resilience to habitat alteration using two closely related, sympatric non-human primate species: the tufted gray langur (Semnopithecus priam) and the purple-faced langur (Semnopithecus vetulus). The gray langur is suspected to be a habitat generalist less perturbed by anthropogenic disturbance, while the purple-faced langur is suspected to be a specialist more sensitive to disturbance. To test these characterizations, we assessed the gut microbiome using 16S rRNA gene amplicon sequencing of fecal samples collected from Kaludiyapokuna Forest Reserve, Sri Lanka (gray langur n = 50 samples, purple-faced langur n = 7 samples). Our results demonstrate that despite strong gut microbial similarities, gray langurs had a more diverse gut microbiome that harbored Prevotella and Akkermansia, taxa involved in starch degradation, while the purple-faced langur gut microbiome harbored Roseburia, Clostridium, and Ruminococcus, taxa involved in processing plant structural carbohydrates. Compared to related species in other locations, both Sri Lankan langurs harbored more pathogenic bacteria. These differences suggest that gray langurs have more generalist diets, making them more resilient to anthropogenic change, but also indicate that they are not impervious to human encroachment. Our findings suggest that microbiome analyses are an important tool for langur ecology and conservation, and should be integrated into ongoing studies.","container-title":"Biotropica","DOI":"10.1111/btp.12805","ISSN":"1744-7429","issue":"5","language":"en","license":"© 2020 The Association for Tropical Biology and Conservation","note":"_eprint: https://onlinelibrary.wiley.com/doi/pdf/10.1111/btp.12805","page":"981-990","source":"Wiley Online Library","title":"Gut microbiome, diet, and conservation of endangered langurs in Sri Lanka","volume":"52","author":[{"family":"Amato","given":"Katherine R."},{"family":"Kuthyar","given":"Sahana"},{"family":"Ekanayake-Weber","given":"Marcy"},{"family":"Salmi","given":"Roberta"},{"family":"Snyder-Mackler","given":"Noah"},{"family":"Wijayathunga","given":"Lasanthi"},{"family":"Vandercone","given":"Rajnish"},{"family":"Lu","given":"Amy"}],"issued":{"date-parts":[["2020"]]}}},{"id":1646,"uris":["http://zotero.org/users/13901503/items/MBVK2BP9"],"itemData":{"id":1646,"type":"article-journal","abstract":"The genus Saguinus represents a successful radiation of over 20 species of small-bodied New World monkeys. Studies of the tamarin diet indicate that insects and small vertebrates account for </w:instrText>
      </w:r>
      <w:r w:rsidR="00FC47B0">
        <w:rPr>
          <w:rFonts w:ascii="Cambria Math" w:hAnsi="Cambria Math" w:cs="Cambria Math"/>
        </w:rPr>
        <w:instrText>∼</w:instrText>
      </w:r>
      <w:r w:rsidR="00FC47B0">
        <w:instrText xml:space="preserve">16–45% of total feeding and foraging time, and represent an important source of lipids, protein, and metabolizable energy. Although tamarins are reported to commonly consume large-bodied insects such as grasshoppers and walking sticks (Orthoptera), little is known concerning the degree to which smaller or less easily identifiable arthropod prey comprises an important component of their diet. To better understand tamarin arthropod feeding behavior, fecal samples from 20 wild Bolivian saddleback tamarins (members of five groups) were collected over a 3 week period in June 2012, and analyzed for the presence of arthropod DNA. DNA was extracted using a Qiagen stool extraction kit, and universal insect primers were created and used to amplify a </w:instrText>
      </w:r>
      <w:r w:rsidR="00FC47B0">
        <w:rPr>
          <w:rFonts w:ascii="Cambria Math" w:hAnsi="Cambria Math" w:cs="Cambria Math"/>
        </w:rPr>
        <w:instrText>∼</w:instrText>
      </w:r>
      <w:r w:rsidR="00FC47B0">
        <w:instrText xml:space="preserve">280 bp section of the COI mitochondrial gene. Amplicons were sequenced on the Roche 454 sequencing platform using high-throughput sequencing techniques. An analysis of these samples indicated the presence of 43 taxa of arthropods including 10 orders, 15 families, and 12 identified genera. Many of these taxa had not been previously identified in the tamarin diet. These results highlight molecular analysis of fecal DNA as an important research tool for identifying anthropod feeding patterns in primates, and reveal broad diversity in the taxa, foraging microhabitats, and size of arthropods consumed by tamarin monkeys. Am J Phys Anthropol 156:474–481, 2015. © 2014 Wiley Periodicals, Inc.","container-title":"American Journal of Physical Anthropology","DOI":"10.1002/ajpa.22654","ISSN":"1096-8644","issue":"3","language":"en","note":"_eprint: https://onlinelibrary.wiley.com/doi/pdf/10.1002/ajpa.22654","page":"474-481","source":"Wiley Online Library","title":"High-throughput sequencing of fecal DNA to identify insects consumed by wild Weddell's saddleback tamarins (aguinus weddelli, Cebidae, Primates) in Bolivia","volume":"156","author":[{"family":"Mallott","given":"E.k."},{"family":"Malhi","given":"R.s."},{"family":"Garber","given":"P.a."}],"issued":{"date-parts":[["2015"]]}}},{"id":1639,"uris":["http://zotero.org/users/13901503/items/S4PKLDJ4"],"itemData":{"id":1639,"type":"article-journal","abstract":"Descriptions of primate diets are generally based on either direct observation of foraging behavior, morphological classification of food remains from feces, or analysis of the stomach contents of deceased individuals. Some diet items (e.g. insect prey), however, are difficult to identify visually, and observation conditions often do not permit adequate quantitative sampling of feeding behavior. Moreover, the taxonomically informative morphology of some food species (e.g. swallowed seeds, insect exoskeletons) may be destroyed by the digestive process. Because of these limitations, we used a metagenomic approach to conduct a preliminary, “proof of concept” study of interspecific variation in the insect component of the diets of six sympatric NewWorld monkeys known, based on observational field studies, to differ markedly in their feeding ecology. We used generalized arthropod polymerase chain reaction (PCR) primers and cloning to sequence mitochondrial DNA (mtDNA) sequences of the arthropod cytochrome b (CYT B) gene from fecal samples of wild woolly, titi, saki, capuchin, squirrel, and spider monkeys collected from a single sampling site in western Amazonia where these genera occur sympatrically. We then assigned preliminary taxonomic identifications to the sequences by basic local alignment search tool (BLAST) comparison to arthropod CYT Bsequences present in GenBank. This study is the first to use molecular techniques to identify insect prey in primate diets. The results suggest that a metagenomic approach may prove valuable in augmenting and corroborating observational data and increasing the resolution of primate diet studies, although the lack of comparative reference sequences for many South American insects limits the approach at present. As such reference data become available for more animal and plant taxa, this approach also holds promise for studying additional components of primate diets. Am. J. Primatol. 74:622–631, 2012. © 2012 Wiley Periodicals, Inc.","container-title":"American Journal of Primatology","DOI":"10.1002/ajp.22014","ISSN":"1098-2345","issue":"7","language":"en","license":"© 2012 Wiley Periodicals, Inc.","note":"_eprint: https://onlinelibrary.wiley.com/doi/pdf/10.1002/ajp.22014","page":"622-631","source":"Wiley Online Library","title":"A Metagenomic Study of Primate Insect Diet Diversity","volume":"74","author":[{"family":"Pickett","given":"Sarah B."},{"family":"Bergey","given":"Christina M."},{"family":"Di Fiore","given":"Anthony"}],"issued":{"date-parts":[["2012"]]}}}],"schema":"https://github.com/citation-style-language/schema/raw/master/csl-citation.json"} </w:instrText>
      </w:r>
      <w:r w:rsidR="00433393">
        <w:fldChar w:fldCharType="separate"/>
      </w:r>
      <w:r w:rsidR="00FC47B0">
        <w:rPr>
          <w:noProof/>
        </w:rPr>
        <w:t>(Amato et al., 2020; E. k. Mallott et al., 2015; Pickett et al., 2012)</w:t>
      </w:r>
      <w:r w:rsidR="00433393">
        <w:fldChar w:fldCharType="end"/>
      </w:r>
      <w:r w:rsidR="00433393">
        <w:t xml:space="preserve">. </w:t>
      </w:r>
      <w:r>
        <w:t xml:space="preserve">The hypervariable V4-V5 region of the 16s rRNA gene was amplified </w:t>
      </w:r>
      <w:r w:rsidR="00FC47B0">
        <w:t xml:space="preserve">with PCR primer set 515F and 926R from the Earth Microbiome Project </w:t>
      </w:r>
      <w:r w:rsidR="00FC47B0" w:rsidRPr="009C594A">
        <w:t>(</w:t>
      </w:r>
      <w:hyperlink r:id="rId6" w:history="1">
        <w:r w:rsidR="00FC47B0" w:rsidRPr="00383820">
          <w:rPr>
            <w:rStyle w:val="Hyperlink"/>
          </w:rPr>
          <w:t>www.earthmicrobiome.org</w:t>
        </w:r>
      </w:hyperlink>
      <w:r w:rsidR="00FC47B0" w:rsidRPr="009C594A">
        <w:t>)</w:t>
      </w:r>
      <w:r w:rsidR="00FC47B0">
        <w:t xml:space="preserve"> using a dual-indexing approach </w:t>
      </w:r>
      <w:r w:rsidR="00FC47B0">
        <w:fldChar w:fldCharType="begin"/>
      </w:r>
      <w:r w:rsidR="00FC47B0">
        <w:instrText xml:space="preserve"> ADDIN ZOTERO_ITEM CSL_CITATION {"citationID":"AIswTiIH","properties":{"formattedCitation":"(Gohl et al., 2016)","plainCitation":"(Gohl et al., 2016)","noteIndex":0},"citationItems":[{"id":1652,"uris":["http://zotero.org/users/13901503/items/HTTZHT5K"],"itemData":{"id":1652,"type":"article-journal","abstract":"Sources of error and bias in PCR amplification of microbial samples for 16S rRNA gene sequencing are systematically evaluated, and best-practice recommendations for reliable amplification are made.","container-title":"Nature Biotechnology","DOI":"10.1038/nbt.3601","ISSN":"1546-1696","issue":"9","journalAbbreviation":"Nat Biotechnol","language":"en","license":"2016 Springer Nature America, Inc.","note":"publisher: Nature Publishing Group","page":"942-949","source":"www-nature-com.proxy.lib.umich.edu","title":"Systematic improvement of amplicon marker gene methods for increased accuracy in microbiome studies","volume":"34","author":[{"family":"Gohl","given":"Daryl M."},{"family":"Vangay","given":"Pajau"},{"family":"Garbe","given":"John"},{"family":"MacLean","given":"Allison"},{"family":"Hauge","given":"Adam"},{"family":"Becker","given":"Aaron"},{"family":"Gould","given":"Trevor J."},{"family":"Clayton","given":"Jonathan B."},{"family":"Johnson","given":"Timothy J."},{"family":"Hunter","given":"Ryan"},{"family":"Knights","given":"Dan"},{"family":"Beckman","given":"Kenneth B."}],"issued":{"date-parts":[["2016",9]]}}}],"schema":"https://github.com/citation-style-language/schema/raw/master/csl-citation.json"} </w:instrText>
      </w:r>
      <w:r w:rsidR="00FC47B0">
        <w:fldChar w:fldCharType="separate"/>
      </w:r>
      <w:r w:rsidR="00FC47B0">
        <w:rPr>
          <w:noProof/>
        </w:rPr>
        <w:t>(Gohl et al., 2016)</w:t>
      </w:r>
      <w:r w:rsidR="00FC47B0">
        <w:fldChar w:fldCharType="end"/>
      </w:r>
      <w:r w:rsidR="0097690E">
        <w:t xml:space="preserve">; </w:t>
      </w:r>
      <w:r w:rsidR="00FC47B0">
        <w:t xml:space="preserve">see previously described protocol for details </w:t>
      </w:r>
      <w:r w:rsidR="00FC47B0">
        <w:fldChar w:fldCharType="begin"/>
      </w:r>
      <w:r w:rsidR="00FC47B0">
        <w:instrText xml:space="preserve"> ADDIN ZOTERO_ITEM CSL_CITATION {"citationID":"ZrmMCAjM","properties":{"formattedCitation":"(E. K. Mallott &amp; Amato, 2018)","plainCitation":"(E. K. Mallott &amp; Amato, 2018)","noteIndex":0},"citationItems":[{"id":676,"uris":["http://zotero.org/users/13901503/items/JGY397VL"],"itemData":{"id":676,"type":"article-journal","abstract":"Changes in reproductive status influence energy and nutrient requirements in female primates. The gut microbiota may buffer changes in energy demands, with shifts in community composition increasing the energy production potential of the gut during pregnancy and lactation. In this study, we examine changes in the gut microbiome of wild, female white-faced capuchins (Cebus capucinus) across different reproductive states. Fecal samples (n = 39) were collected from five adult females over the course of a year. Gut microbial community composition was assessed using 16S rRNA gene sequences, and PICRUSt was used to make metagenomic functional predictions. We found a significant relationship between reproductive state and both the structure and predicted function of the gut microbiome, neither of which were associated with host diet. For example, the relative abundance of Firmicutes was significantly lower in lactating females compared with cycling females; the relative abundance of Actinobacteria was significantly higher in pregnant females compared with lactating females, and there was a trend toward higher relative abundances of Proteobacteria in pregnant females compared with cycling females. The results of this study suggest that, in addition to behavioral and dietary adaptions, the gut microbiota may play a role in allowing female primates to meet their changing energetic needs during reproduction. Further studies of the “microbial reproductive ecology” of primates will help advance our understanding of gut microbial contributions to primate energetics.","container-title":"American Journal of Primatology","DOI":"10.1002/ajp.22896","ISSN":"1098-2345","issue":"8","language":"en","license":"© 2018 Wiley Periodicals, Inc.","note":"_eprint: https://onlinelibrary.wiley.com/doi/pdf/10.1002/ajp.22896","page":"e22896","source":"Wiley Online Library","title":"The microbial reproductive ecology of white-faced capuchins (Cebus capucinus)","volume":"80","author":[{"family":"Mallott","given":"Elizabeth K."},{"family":"Amato","given":"Katherine R."}],"issued":{"date-parts":[["2018"]]}}}],"schema":"https://github.com/citation-style-language/schema/raw/master/csl-citation.json"} </w:instrText>
      </w:r>
      <w:r w:rsidR="00FC47B0">
        <w:fldChar w:fldCharType="separate"/>
      </w:r>
      <w:r w:rsidR="00FC47B0">
        <w:rPr>
          <w:noProof/>
        </w:rPr>
        <w:t>(E. K. Mallott &amp; Amato, 2018)</w:t>
      </w:r>
      <w:r w:rsidR="00FC47B0">
        <w:fldChar w:fldCharType="end"/>
      </w:r>
      <w:r w:rsidR="00FC47B0">
        <w:t>.</w:t>
      </w:r>
      <w:r w:rsidR="0097690E">
        <w:t xml:space="preserve"> Negative controls from the DNA extraction and PCR amplifications were used to control for contamination. </w:t>
      </w:r>
      <w:proofErr w:type="spellStart"/>
      <w:r w:rsidR="0097690E" w:rsidRPr="00FC47B0">
        <w:t>SequalPrep</w:t>
      </w:r>
      <w:proofErr w:type="spellEnd"/>
      <w:r w:rsidR="0097690E" w:rsidRPr="00FC47B0">
        <w:t xml:space="preserve"> Normalization</w:t>
      </w:r>
      <w:r w:rsidR="0097690E">
        <w:t xml:space="preserve"> </w:t>
      </w:r>
      <w:r>
        <w:t xml:space="preserve">was used </w:t>
      </w:r>
      <w:r w:rsidR="0097690E">
        <w:t>to purify and normalize the PCR products</w:t>
      </w:r>
      <w:r>
        <w:t>,</w:t>
      </w:r>
      <w:r w:rsidR="0097690E">
        <w:t xml:space="preserve"> and </w:t>
      </w:r>
      <w:r>
        <w:t xml:space="preserve">products were </w:t>
      </w:r>
      <w:r w:rsidR="0097690E">
        <w:t>sequenced</w:t>
      </w:r>
      <w:r w:rsidR="00544D33">
        <w:t xml:space="preserve"> </w:t>
      </w:r>
      <w:r w:rsidR="0097690E">
        <w:t>on the</w:t>
      </w:r>
      <w:r w:rsidR="0097690E" w:rsidRPr="00FC47B0">
        <w:t xml:space="preserve"> Illumina </w:t>
      </w:r>
      <w:proofErr w:type="spellStart"/>
      <w:r w:rsidR="0097690E" w:rsidRPr="00FC47B0">
        <w:t>MiSeq</w:t>
      </w:r>
      <w:proofErr w:type="spellEnd"/>
      <w:r w:rsidR="0097690E" w:rsidRPr="00FC47B0">
        <w:t xml:space="preserve"> V4 platform by the Rush Genomics and Microbiome core facility</w:t>
      </w:r>
      <w:r w:rsidR="0097690E">
        <w:t>.</w:t>
      </w:r>
      <w:r w:rsidR="0097690E" w:rsidRPr="0097690E">
        <w:t xml:space="preserve"> Raw DNA sequences are available in the sequence read archive (insert allocation number)</w:t>
      </w:r>
    </w:p>
    <w:p w14:paraId="345ACF2C" w14:textId="77777777" w:rsidR="00350F02" w:rsidRDefault="00350F02" w:rsidP="00B831BA"/>
    <w:p w14:paraId="67C5735A" w14:textId="5FB8C1F6" w:rsidR="00B831BA" w:rsidRDefault="00350F02" w:rsidP="00B831BA">
      <w:r>
        <w:t>T</w:t>
      </w:r>
      <w:r w:rsidR="00B831BA">
        <w:t xml:space="preserve">he resulting data </w:t>
      </w:r>
      <w:r>
        <w:t xml:space="preserve">was analyzed </w:t>
      </w:r>
      <w:r w:rsidR="00B831BA">
        <w:t xml:space="preserve">using the Quantitative Insights into Microbial Ecology (QIIME2) platform </w:t>
      </w:r>
      <w:r w:rsidR="00B831BA">
        <w:fldChar w:fldCharType="begin"/>
      </w:r>
      <w:r w:rsidR="00B831BA">
        <w:instrText xml:space="preserve"> ADDIN ZOTERO_ITEM CSL_CITATION {"citationID":"Bjv8Vjr7","properties":{"formattedCitation":"(Caporaso et al., 2010)","plainCitation":"(Caporaso et al., 2010)","noteIndex":0},"citationItems":[{"id":1655,"uris":["http://zotero.org/users/13901503/items/GQC5IVSJ"],"itemData":{"id":1655,"type":"article-journal","container-title":"Nature Methods","DOI":"10.1038/nmeth.f.303","ISSN":"1548-7091, 1548-7105","issue":"5","journalAbbreviation":"Nat Methods","language":"en","license":"http://www.springer.com/tdm","page":"335-336","source":"DOI.org (Crossref)","title":"QIIME allows analysis of high-throughput community sequencing data","volume":"7","author":[{"family":"Caporaso","given":"J Gregory"},{"family":"Kuczynski","given":"Justin"},{"family":"Stombaugh","given":"Jesse"},{"family":"Bittinger","given":"Kyle"},{"family":"Bushman","given":"Frederic D"},{"family":"Costello","given":"Elizabeth K"},{"family":"Fierer","given":"Noah"},{"family":"Peña","given":"Antonio Gonzalez"},{"family":"Goodrich","given":"Julia K"},{"family":"Gordon","given":"Jeffrey I"},{"family":"Huttley","given":"Gavin A"},{"family":"Kelley","given":"Scott T"},{"family":"Knights","given":"Dan"},{"family":"Koenig","given":"Jeremy E"},{"family":"Ley","given":"Ruth E"},{"family":"Lozupone","given":"Catherine A"},{"family":"McDonald","given":"Daniel"},{"family":"Muegge","given":"Brian D"},{"family":"Pirrung","given":"Meg"},{"family":"Reeder","given":"Jens"},{"family":"Sevinsky","given":"Joel R"},{"family":"Turnbaugh","given":"Peter J"},{"family":"Walters","given":"William A"},{"family":"Widmann","given":"Jeremy"},{"family":"Yatsunenko","given":"Tanya"},{"family":"Zaneveld","given":"Jesse"},{"family":"Knight","given":"Rob"}],"issued":{"date-parts":[["2010",5]]}}}],"schema":"https://github.com/citation-style-language/schema/raw/master/csl-citation.json"} </w:instrText>
      </w:r>
      <w:r w:rsidR="00B831BA">
        <w:fldChar w:fldCharType="separate"/>
      </w:r>
      <w:r w:rsidR="00B831BA">
        <w:rPr>
          <w:noProof/>
        </w:rPr>
        <w:t>(Caporaso et al., 2010)</w:t>
      </w:r>
      <w:r w:rsidR="00B831BA">
        <w:fldChar w:fldCharType="end"/>
      </w:r>
      <w:r w:rsidR="008959D6">
        <w:t>,</w:t>
      </w:r>
      <w:r w:rsidR="00B831BA">
        <w:t xml:space="preserve"> v2023.9. Pair-end sequences</w:t>
      </w:r>
      <w:r w:rsidR="008959D6">
        <w:t xml:space="preserve"> from 900 samples </w:t>
      </w:r>
      <w:r w:rsidR="00B831BA">
        <w:t xml:space="preserve">yielded </w:t>
      </w:r>
      <w:r w:rsidR="00B831BA" w:rsidRPr="005D24FC">
        <w:t>28</w:t>
      </w:r>
      <w:r w:rsidR="00544D33">
        <w:t>,</w:t>
      </w:r>
      <w:r w:rsidR="00B831BA" w:rsidRPr="005D24FC">
        <w:t>869</w:t>
      </w:r>
      <w:r w:rsidR="00544D33">
        <w:t>,</w:t>
      </w:r>
      <w:r w:rsidR="00B831BA" w:rsidRPr="005D24FC">
        <w:t>202</w:t>
      </w:r>
      <w:r w:rsidR="00B831BA">
        <w:t xml:space="preserve"> raw sequence reads (average </w:t>
      </w:r>
      <w:r w:rsidR="00B831BA" w:rsidRPr="005D24FC">
        <w:t>32</w:t>
      </w:r>
      <w:r w:rsidR="00544D33">
        <w:t>,</w:t>
      </w:r>
      <w:r w:rsidR="00B831BA" w:rsidRPr="005D24FC">
        <w:t>07</w:t>
      </w:r>
      <w:r w:rsidR="00B831BA">
        <w:t xml:space="preserve">7 per sample, range of 7 to </w:t>
      </w:r>
      <w:r w:rsidR="00B831BA" w:rsidRPr="005D24FC">
        <w:t>64851</w:t>
      </w:r>
      <w:r w:rsidR="00B831BA">
        <w:t xml:space="preserve"> reads).  </w:t>
      </w:r>
      <w:r w:rsidR="00BE5795">
        <w:t xml:space="preserve">Forward and reverse reads were trimmed to 216 bases and 206 bases, respectively, </w:t>
      </w:r>
      <w:r w:rsidR="00B831BA">
        <w:t>to remove low-quality base pairs</w:t>
      </w:r>
      <w:r w:rsidR="008959D6">
        <w:t xml:space="preserve"> using a minimum Phred score of 33. </w:t>
      </w:r>
      <w:r w:rsidR="00BE5795">
        <w:t xml:space="preserve">Sequences were </w:t>
      </w:r>
      <w:r w:rsidR="00B831BA">
        <w:t xml:space="preserve">quality filtered and denoised using the </w:t>
      </w:r>
      <w:r w:rsidR="00B831BA" w:rsidRPr="004C1AF1">
        <w:t>Divisive Amplicon Denoising Algorithm 2</w:t>
      </w:r>
      <w:r w:rsidR="00B831BA">
        <w:t xml:space="preserve"> (DADA2)</w:t>
      </w:r>
      <w:r w:rsidR="00B831BA">
        <w:fldChar w:fldCharType="begin"/>
      </w:r>
      <w:r w:rsidR="00B831BA">
        <w:instrText xml:space="preserve"> ADDIN ZOTERO_ITEM CSL_CITATION {"citationID":"CHiMHSnG","properties":{"formattedCitation":"(Callahan et al., 2016)","plainCitation":"(Callahan et al., 2016)","noteIndex":0},"citationItems":[{"id":1656,"uris":["http://zotero.org/users/13901503/items/5QIKX6JW"],"itemData":{"id":1656,"type":"article-journal","abstract":"DADA2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Inc.","note":"publisher: Nature Publishing Group","page":"581-583","source":"www-nature-com.proxy.lib.umich.edu","title":"DADA2: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831BA">
        <w:fldChar w:fldCharType="separate"/>
      </w:r>
      <w:r w:rsidR="00B831BA">
        <w:rPr>
          <w:noProof/>
        </w:rPr>
        <w:t>(Callahan et al., 2016)</w:t>
      </w:r>
      <w:r w:rsidR="00B831BA">
        <w:fldChar w:fldCharType="end"/>
      </w:r>
      <w:r w:rsidR="00B831BA">
        <w:t xml:space="preserve"> via the q2-dada2 pipeline. DADA2 </w:t>
      </w:r>
      <w:r w:rsidR="00B831BA" w:rsidRPr="00805F15">
        <w:t>infers Amplicon Sequence Variants (ASVs) by identifying exact sequences</w:t>
      </w:r>
      <w:r w:rsidR="00B831BA">
        <w:t xml:space="preserve">. </w:t>
      </w:r>
      <w:r w:rsidR="00BE5795">
        <w:t>T</w:t>
      </w:r>
      <w:r w:rsidR="00B831BA">
        <w:t>axonomy</w:t>
      </w:r>
      <w:r w:rsidR="00BE5795">
        <w:t xml:space="preserve"> was assigned</w:t>
      </w:r>
      <w:r w:rsidR="00B831BA">
        <w:t xml:space="preserve"> to ASV’s using the q2-feature classifier</w:t>
      </w:r>
      <w:r w:rsidR="009E09B8">
        <w:t xml:space="preserve"> </w:t>
      </w:r>
      <w:r w:rsidR="009E09B8">
        <w:fldChar w:fldCharType="begin"/>
      </w:r>
      <w:r w:rsidR="009E09B8">
        <w:instrText xml:space="preserve"> ADDIN ZOTERO_ITEM CSL_CITATION {"citationID":"Nz6FGjkT","properties":{"formattedCitation":"(Bokulich et al., 2018)","plainCitation":"(Bokulich et al., 2018)","noteIndex":0},"citationItems":[{"id":1662,"uris":["http://zotero.org/users/13901503/items/U2MLAXCJ"],"itemData":{"id":1662,"type":"article-journal","abstract":"Taxonomic classification of marker-gene sequences is an important step in microbiome analysis.","container-title":"Microbiome","DOI":"10.1186/s40168-018-0470-z","ISSN":"2049-2618","issue":"1","journalAbbreviation":"Microbiome","page":"90","source":"BioMed Central","title":"Optimizing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rsidR="009E09B8">
        <w:fldChar w:fldCharType="separate"/>
      </w:r>
      <w:r w:rsidR="009E09B8">
        <w:rPr>
          <w:noProof/>
        </w:rPr>
        <w:t>(Bokulich et al., 2018)</w:t>
      </w:r>
      <w:r w:rsidR="009E09B8">
        <w:fldChar w:fldCharType="end"/>
      </w:r>
      <w:r w:rsidR="00B831BA">
        <w:t xml:space="preserve"> against version 2022.10 of the Greengenes2 database </w:t>
      </w:r>
      <w:r w:rsidR="00B831BA">
        <w:fldChar w:fldCharType="begin"/>
      </w:r>
      <w:r w:rsidR="00B831BA">
        <w:instrText xml:space="preserve"> ADDIN ZOTERO_ITEM CSL_CITATION {"citationID":"txLAM5mf","properties":{"formattedCitation":"(McDonald et al., 2012, 2024)","plainCitation":"(McDonald et al., 2012, 2024)","noteIndex":0},"citationItems":[{"id":1658,"uris":["http://zotero.org/users/13901503/items/I2KJAM89"],"itemData":{"id":1658,"type":"article-journal","abstract":"Reference phylogenies are crucial for providing a taxonomic framework for interpretation of marker gene and metagenomic surveys, which continue to reveal novel species at a remarkable rate. Greengenes is a dedicated full-length 16S rRNA gene database that provides users with a curated taxonomy based on de novo tree inference. We developed a ‘taxonomy to tree’ approach for transferring group names from an existing taxonomy to a tree topology, and used it to apply the Greengenes, National Center for Biotechnology Information (NCBI) and cyanoDB (Cyanobacteria only) taxonomies to a de novo tree comprising 408</w:instrText>
      </w:r>
      <w:r w:rsidR="00B831BA">
        <w:rPr>
          <w:rFonts w:ascii="Arial" w:hAnsi="Arial" w:cs="Arial"/>
        </w:rPr>
        <w:instrText> </w:instrText>
      </w:r>
      <w:r w:rsidR="00B831BA">
        <w:instrText xml:space="preserve">315 sequences. We also incorporated explicit rank information provided by the NCBI taxonomy to group names (by prefixing rank designations) for better user orientation and classification consistency. The resulting merged taxonomy improved the classification of 75% of the sequences by one or more ranks relative to the original NCBI taxonomy with the most pronounced improvements occurring in under-classified environmental sequences. We also assessed candidate phyla (divisions) currently defined by NCBI and present recommendations for consolidation of 34 redundantly named groups. All intermediate results from the pipeline, which includes tree inference, jackknifing and transfer of a donor taxonomy to a recipient tree (tax2tree) are available for download. The improved Greengenes taxonomy should provide important infrastructure for a wide range of megasequencing projects studying ecosystems on scales ranging from our own bodies (the Human Microbiome Project) to the entire planet (the Earth Microbiome Project). The implementation of the software can be obtained from http://sourceforge.net/projects/tax2tree/.","container-title":"The ISME Journal","DOI":"10.1038/ismej.2011.139","ISSN":"1751-7370","issue":"3","journalAbbreviation":"ISME J","language":"en","license":"2012 The Author(s)","note":"publisher: Nature Publishing Group","page":"610-618","source":"www-nature-com.proxy.lib.umich.edu","title":"An improved Greengenes taxonomy with explicit ranks for ecological and evolutionary analyses of bacteria and archaea","volume":"6","author":[{"family":"McDonald","given":"Daniel"},{"family":"Price","given":"Morgan N."},{"family":"Goodrich","given":"Julia"},{"family":"Nawrocki","given":"Eric P."},{"family":"DeSantis","given":"Todd Z."},{"family":"Probst","given":"Alexander"},{"family":"Andersen","given":"Gary L."},{"family":"Knight","given":"Rob"},{"family":"Hugenholtz","given":"Philip"}],"issued":{"date-parts":[["2012",3]]}}},{"id":1660,"uris":["http://zotero.org/users/13901503/items/G9YGXKGA"],"itemData":{"id":1660,"type":"article-journal","abstract":"Studies using 16S rRNA and shotgun metagenomics typically yield different results, usually attributed to PCR amplification biases. We introduce Greengenes2, a reference tree that unifies genomic and 16S rRNA databases in a consistent, integrated resource. By inserting sequences into a whole-genome phylogeny, we show that 16S rRNA and shotgun metagenomic data generated from the same samples agree in principal coordinates space, taxonomy and phenotype effect size when analyzed with the same tree.","container-title":"Nature Biotechnology","DOI":"10.1038/s41587-023-01845-1","ISSN":"1546-1696","issue":"5","journalAbbreviation":"Nat Biotechnol","language":"en","license":"2023 The Author(s)","note":"publisher: Nature Publishing Group","page":"715-718","source":"www-nature-com.proxy.lib.umich.edu","title":"Greengenes2 unifies microbial data in a single reference tree","volume":"42","author":[{"family":"McDonald","given":"Daniel"},{"family":"Jiang","given":"Yueyu"},{"family":"Balaban","given":"Metin"},{"family":"Cantrell","given":"Kalen"},{"family":"Zhu","given":"Qiyun"},{"family":"Gonzalez","given":"Antonio"},{"family":"Morton","given":"James T."},{"family":"Nicolaou","given":"Giorgia"},{"family":"Parks","given":"Donovan H."},{"family":"Karst","given":"Søren M."},{"family":"Albertsen","given":"Mads"},{"family":"Hugenholtz","given":"Philip"},{"family":"DeSantis","given":"Todd"},{"family":"Song","given":"Se Jin"},{"family":"Bartko","given":"Andrew"},{"family":"Havulinna","given":"Aki S."},{"family":"Jousilahti","given":"Pekka"},{"family":"Cheng","given":"Susan"},{"family":"Inouye","given":"Michael"},{"family":"Niiranen","given":"Teemu"},{"family":"Jain","given":"Mohit"},{"family":"Salomaa","given":"Veikko"},{"family":"Lahti","given":"Leo"},{"family":"Mirarab","given":"Siavash"},{"family":"Knight","given":"Rob"}],"issued":{"date-parts":[["2024",5]]}}}],"schema":"https://github.com/citation-style-language/schema/raw/master/csl-citation.json"} </w:instrText>
      </w:r>
      <w:r w:rsidR="00B831BA">
        <w:fldChar w:fldCharType="separate"/>
      </w:r>
      <w:r w:rsidR="00B831BA">
        <w:rPr>
          <w:noProof/>
        </w:rPr>
        <w:t>(McDonald et al., 2012, 2024)</w:t>
      </w:r>
      <w:r w:rsidR="00B831BA">
        <w:fldChar w:fldCharType="end"/>
      </w:r>
      <w:r w:rsidR="00544D33">
        <w:t xml:space="preserve"> by</w:t>
      </w:r>
      <w:r w:rsidR="008959D6">
        <w:t xml:space="preserve"> </w:t>
      </w:r>
      <w:r w:rsidR="008959D6" w:rsidRPr="008959D6">
        <w:t>applying the classify-</w:t>
      </w:r>
      <w:proofErr w:type="spellStart"/>
      <w:r w:rsidR="008959D6" w:rsidRPr="008959D6">
        <w:t>sklearn</w:t>
      </w:r>
      <w:proofErr w:type="spellEnd"/>
      <w:r w:rsidR="008959D6" w:rsidRPr="008959D6">
        <w:t xml:space="preserve"> model.</w:t>
      </w:r>
      <w:r w:rsidR="0073053D">
        <w:t xml:space="preserve"> </w:t>
      </w:r>
      <w:r w:rsidR="00BE5795">
        <w:t>S</w:t>
      </w:r>
      <w:r w:rsidR="00B831BA">
        <w:t xml:space="preserve">equences </w:t>
      </w:r>
      <w:r w:rsidR="0073053D">
        <w:t>assigned to</w:t>
      </w:r>
      <w:r w:rsidR="00B831BA">
        <w:t xml:space="preserve"> chloroplasts and mitochondria</w:t>
      </w:r>
      <w:r w:rsidR="00BE5795">
        <w:t xml:space="preserve"> were removed</w:t>
      </w:r>
      <w:r w:rsidR="00B831BA">
        <w:t xml:space="preserve"> using the q2-taxa-filter-table</w:t>
      </w:r>
      <w:r w:rsidR="0073053D">
        <w:t xml:space="preserve"> </w:t>
      </w:r>
      <w:r w:rsidR="00544D33">
        <w:t xml:space="preserve">to retain only microbial sequences </w:t>
      </w:r>
      <w:r w:rsidR="0073053D" w:rsidRPr="0073053D">
        <w:t>for further analysis</w:t>
      </w:r>
      <w:r w:rsidR="0073053D">
        <w:t xml:space="preserve">. </w:t>
      </w:r>
      <w:r w:rsidR="00544D33">
        <w:t xml:space="preserve">All negative controls contained fewer than 507 reads per sample </w:t>
      </w:r>
      <w:r w:rsidR="0073053D">
        <w:t xml:space="preserve">(average 29 reads per sample). </w:t>
      </w:r>
      <w:r w:rsidR="00BE5795">
        <w:t>A</w:t>
      </w:r>
      <w:r w:rsidR="0073053D">
        <w:t>ll negative</w:t>
      </w:r>
      <w:r w:rsidR="00BE5795">
        <w:t xml:space="preserve"> controls were removed</w:t>
      </w:r>
      <w:r w:rsidR="0073053D">
        <w:t xml:space="preserve"> after visually comparing the taxonomic composition of negative controls to non-negative samples and </w:t>
      </w:r>
      <w:proofErr w:type="spellStart"/>
      <w:r w:rsidR="0073053D">
        <w:t>f</w:t>
      </w:r>
      <w:r w:rsidR="00BE5795">
        <w:t>nding</w:t>
      </w:r>
      <w:proofErr w:type="spellEnd"/>
      <w:r w:rsidR="0073053D">
        <w:t xml:space="preserve"> no indication of contamination. </w:t>
      </w:r>
      <w:r w:rsidR="00BE5795">
        <w:t>O</w:t>
      </w:r>
      <w:r w:rsidR="0073053D">
        <w:t>ne fecal sample</w:t>
      </w:r>
      <w:r w:rsidR="00BE5795">
        <w:t xml:space="preserve"> was also removed</w:t>
      </w:r>
      <w:r w:rsidR="0073053D">
        <w:t xml:space="preserve"> containing less than 1000 reads</w:t>
      </w:r>
      <w:r w:rsidR="00544D33">
        <w:t xml:space="preserve"> to avoid potential bias from low-coverage samples.</w:t>
      </w:r>
      <w:r w:rsidR="0073053D">
        <w:t xml:space="preserve"> After filtering, 797 </w:t>
      </w:r>
      <w:r w:rsidR="00544D33">
        <w:t xml:space="preserve">samples </w:t>
      </w:r>
      <w:r w:rsidR="00BE5795">
        <w:t>were retained,</w:t>
      </w:r>
      <w:r w:rsidR="00544D33">
        <w:t xml:space="preserve"> </w:t>
      </w:r>
      <w:r w:rsidR="00B831BA">
        <w:t>contain</w:t>
      </w:r>
      <w:r w:rsidR="0073053D">
        <w:t>ing</w:t>
      </w:r>
      <w:r w:rsidR="00B831BA">
        <w:t xml:space="preserve"> an average of 16898 reads (range </w:t>
      </w:r>
      <w:r w:rsidR="008959D6">
        <w:t>4,944</w:t>
      </w:r>
      <w:r w:rsidR="00B831BA">
        <w:t>—</w:t>
      </w:r>
      <w:r w:rsidR="008959D6">
        <w:t>38,941</w:t>
      </w:r>
      <w:r w:rsidR="00B831BA">
        <w:t xml:space="preserve">). </w:t>
      </w:r>
    </w:p>
    <w:p w14:paraId="7F68850E" w14:textId="77777777" w:rsidR="00B831BA" w:rsidRDefault="00B831BA" w:rsidP="00805F15">
      <w:pPr>
        <w:ind w:firstLine="720"/>
      </w:pPr>
    </w:p>
    <w:p w14:paraId="48F271EC" w14:textId="3B716B76" w:rsidR="00BE5795" w:rsidRDefault="00EB2FDE" w:rsidP="0073633F">
      <w:r>
        <w:t>The ASV count and taxonomy files generated by QIIME2 were imported into R using the {qiime2R} package</w:t>
      </w:r>
      <w:r w:rsidR="005238F1">
        <w:t xml:space="preserve"> </w:t>
      </w:r>
      <w:r w:rsidR="005238F1">
        <w:fldChar w:fldCharType="begin"/>
      </w:r>
      <w:r w:rsidR="005238F1">
        <w:instrText xml:space="preserve"> ADDIN ZOTERO_ITEM CSL_CITATION {"citationID":"CBIQl7kI","properties":{"formattedCitation":"(Bisanz, 2018)","plainCitation":"(Bisanz, 2018)","noteIndex":0},"citationItems":[{"id":1665,"uris":["http://zotero.org/users/13901503/items/4N2UFVCD"],"itemData":{"id":1665,"type":"article-journal","container-title":"R Package version 0.99","title":"qiime2R: importing QIIME2 artifacts and associated data into R sessions","author":[{"family":"Bisanz","given":"JE"}],"issued":{"date-parts":[["2018"]]}}}],"schema":"https://github.com/citation-style-language/schema/raw/master/csl-citation.json"} </w:instrText>
      </w:r>
      <w:r w:rsidR="005238F1">
        <w:fldChar w:fldCharType="separate"/>
      </w:r>
      <w:r w:rsidR="005238F1">
        <w:rPr>
          <w:noProof/>
        </w:rPr>
        <w:t>(Bisanz, 2018)</w:t>
      </w:r>
      <w:r w:rsidR="005238F1">
        <w:fldChar w:fldCharType="end"/>
      </w:r>
      <w:r>
        <w:t xml:space="preserve"> and saved as a </w:t>
      </w:r>
      <w:proofErr w:type="spellStart"/>
      <w:r w:rsidRPr="00EB2FDE">
        <w:rPr>
          <w:i/>
          <w:iCs/>
        </w:rPr>
        <w:t>phyloseq</w:t>
      </w:r>
      <w:proofErr w:type="spellEnd"/>
      <w:r>
        <w:t xml:space="preserve"> object using the {</w:t>
      </w:r>
      <w:proofErr w:type="spellStart"/>
      <w:r>
        <w:t>phyloseq</w:t>
      </w:r>
      <w:proofErr w:type="spellEnd"/>
      <w:r>
        <w:t>} package</w:t>
      </w:r>
      <w:r w:rsidR="005238F1">
        <w:t xml:space="preserve"> </w:t>
      </w:r>
      <w:r w:rsidR="005238F1">
        <w:lastRenderedPageBreak/>
        <w:fldChar w:fldCharType="begin"/>
      </w:r>
      <w:r w:rsidR="005238F1">
        <w:instrText xml:space="preserve"> ADDIN ZOTERO_ITEM CSL_CITATION {"citationID":"rEqfVqQV","properties":{"formattedCitation":"(McMurdie &amp; Holmes, 2013)","plainCitation":"(McMurdie &amp; Holmes, 2013)","noteIndex":0},"citationItems":[{"id":1667,"uris":["http://zotero.org/users/13901503/items/RR6DYA9S"],"itemData":{"id":1667,"type":"article-journal","container-title":"PLoS ONE","DOI":"10.1371/journal.pone.0061217","ISSN":"1932-6203","issue":"4","journalAbbreviation":"PLoS ONE","language":"en","page":"e61217","source":"DOI.org (Crossref)","title":"phyloseq: An R Package for Reproducible Interactive Analysis and Graphics of Microbiome Census Data","title-short":"phyloseq","volume":"8","author":[{"family":"McMurdie","given":"Paul J."},{"family":"Holmes","given":"Susan"}],"editor":[{"family":"Watson","given":"Michael"}],"issued":{"date-parts":[["2013",4,22]]}}}],"schema":"https://github.com/citation-style-language/schema/raw/master/csl-citation.json"} </w:instrText>
      </w:r>
      <w:r w:rsidR="005238F1">
        <w:fldChar w:fldCharType="separate"/>
      </w:r>
      <w:r w:rsidR="005238F1">
        <w:rPr>
          <w:noProof/>
        </w:rPr>
        <w:t>(McMurdie &amp; Holmes, 2013)</w:t>
      </w:r>
      <w:r w:rsidR="005238F1">
        <w:fldChar w:fldCharType="end"/>
      </w:r>
      <w:r>
        <w:t xml:space="preserve">. </w:t>
      </w:r>
      <w:r w:rsidR="00C03775">
        <w:t xml:space="preserve"> </w:t>
      </w:r>
      <w:r w:rsidR="003C5A0B">
        <w:t>Most ASV’s were found at low frequencies</w:t>
      </w:r>
      <w:r w:rsidR="00402AB5">
        <w:t xml:space="preserve"> (fig s)</w:t>
      </w:r>
      <w:r w:rsidR="003C5A0B">
        <w:t>; o</w:t>
      </w:r>
      <w:r w:rsidR="00FB7CB1">
        <w:t xml:space="preserve">ut of </w:t>
      </w:r>
      <w:r w:rsidR="00FB7CB1" w:rsidRPr="00FB7CB1">
        <w:t>11</w:t>
      </w:r>
      <w:r w:rsidR="00FB7CB1">
        <w:t>,</w:t>
      </w:r>
      <w:r w:rsidR="00FB7CB1" w:rsidRPr="00FB7CB1">
        <w:t>91</w:t>
      </w:r>
      <w:r w:rsidR="00FB7CB1">
        <w:t>6 total ASV’s</w:t>
      </w:r>
      <w:r w:rsidR="003C5A0B">
        <w:t xml:space="preserve">, </w:t>
      </w:r>
      <w:r w:rsidR="00FB7CB1">
        <w:t>89% were only found in one sample</w:t>
      </w:r>
      <w:r w:rsidR="003C5A0B">
        <w:t>,</w:t>
      </w:r>
      <w:r w:rsidR="00FB7CB1">
        <w:t xml:space="preserve"> and 16% were not assigned to a phylum</w:t>
      </w:r>
      <w:r w:rsidR="003C5A0B">
        <w:t xml:space="preserve">.  To avoid analyzing taxa that are artifacts of the sequencing process </w:t>
      </w:r>
      <w:r w:rsidR="00350F02">
        <w:fldChar w:fldCharType="begin"/>
      </w:r>
      <w:r w:rsidR="00350F02">
        <w:instrText xml:space="preserve"> ADDIN ZOTERO_ITEM CSL_CITATION {"citationID":"L2wCm92o","properties":{"formattedCitation":"(Cao et al., 2021)","plainCitation":"(Cao et al., 2021)","noteIndex":0},"citationItems":[{"id":1672,"uris":["http://zotero.org/users/13901503/items/F4HJCW9M"],"itemData":{"id":1672,"type":"article-journal","abstract":"&lt;p&gt;&lt;bold&gt;Background:&lt;/bold&gt; The accuracy of microbial community detection in 16S rRNA marker-gene and metagenomic studies suffers from contamination and sequencing errors that lead to either falsely identifying microbial taxa that were not in the sample or misclassifying the taxa of DNA fragment reads. Removing contaminants and filtering rare features are two common approaches to deal with this problem. While contaminant detection methods use auxiliary sequencing process information to identify known contaminants, filtering methods remove taxa that are present in a small number of samples and have small counts in the samples where they are observed. The latter approach reduces the extreme sparsity of microbiome data and has been shown to correctly remove contaminant taxa in cultured “mock” datasets, where the true taxa compositions are known. Although filtering is frequently used, careful evaluation of its effect on the data analysis and scientific conclusions remains unreported. Here, we assess the effect of filtering on the alpha and beta diversity estimation as well as its impact on identifying taxa that discriminate between disease states.&lt;/p&gt;&lt;p&gt;&lt;bold&gt;Results:&lt;/bold&gt; The effect of filtering on microbiome data analysis is illustrated on four datasets: two mock quality control datasets where the same cultured samples with known microbial composition are processed at different labs and two disease study datasets. Results show that in microbiome quality control datasets, filtering reduces the magnitude of differences in alpha diversity and alleviates technical variability between labs while preserving the between samples similarity (beta diversity). In the disease study datasets, DESeq2 and linear discriminant analysis Effect Size (LEfSe) methods were used to identify taxa that are differentially abundant across groups of samples, and random forest models were used to rank features with the largest contribution toward disease classification. Results reveal that filtering retains significant taxa and preserves the model classification ability measured by the area under the receiver operating characteristic curve (AUC). The comparison between the filtering and the contaminant removal method shows that they have complementary effects and are advised to be used in conjunction.&lt;/p&gt;&lt;p&gt;&lt;bold&gt;Conclusions:&lt;/bold&gt; Filtering reduces the complexity of microbiome data while preserving their integrity in downstream analysis. This leads to mitigation of the classification methods' sensitivity and reduction of technical variability, allowing researchers to generate more reproducible and comparable results in microbiome data analysis.&lt;/p&gt;","container-title":"Frontiers in Microbiology","DOI":"10.3389/fmicb.2020.607325","ISSN":"1664-302X","journalAbbreviation":"Front. Microbiol.","language":"English","note":"publisher: Frontiers","source":"Frontiers","title":"Effects of Rare Microbiome Taxa Filtering on Statistical Analysis","URL":"https://www.frontiersin.org/journals/microbiology/articles/10.3389/fmicb.2020.607325/full","volume":"11","author":[{"family":"Cao","given":"Quy"},{"family":"Sun","given":"Xinxin"},{"family":"Rajesh","given":"Karun"},{"family":"Chalasani","given":"Naga"},{"family":"Gelow","given":"Kayla"},{"family":"Katz","given":"Barry"},{"family":"Shah","given":"Vijay H."},{"family":"Sanyal","given":"Arun J."},{"family":"Smirnova","given":"Ekaterina"}],"accessed":{"date-parts":[["2025",1,29]]},"issued":{"date-parts":[["2021",1,12]]}}}],"schema":"https://github.com/citation-style-language/schema/raw/master/csl-citation.json"} </w:instrText>
      </w:r>
      <w:r w:rsidR="00350F02">
        <w:fldChar w:fldCharType="separate"/>
      </w:r>
      <w:r w:rsidR="00350F02">
        <w:rPr>
          <w:noProof/>
        </w:rPr>
        <w:t>(Cao et al., 2021)</w:t>
      </w:r>
      <w:r w:rsidR="00350F02">
        <w:fldChar w:fldCharType="end"/>
      </w:r>
      <w:r w:rsidR="003C5A0B">
        <w:t xml:space="preserve">, </w:t>
      </w:r>
      <w:r w:rsidR="00BE5795">
        <w:t xml:space="preserve">ASV’s found in less than </w:t>
      </w:r>
      <w:r w:rsidR="003C5A0B">
        <w:t>0.5% of total samples</w:t>
      </w:r>
      <w:r w:rsidR="00BE5795">
        <w:t xml:space="preserve"> were removed</w:t>
      </w:r>
      <w:r w:rsidR="003C5A0B">
        <w:t xml:space="preserve">. After filtering, </w:t>
      </w:r>
      <w:r w:rsidR="00BE5795">
        <w:t xml:space="preserve">102 additional ASV’s were removed that were not assigned at the phylum level, resulting in </w:t>
      </w:r>
      <w:r w:rsidR="00BE5795" w:rsidRPr="00830DDA">
        <w:t>1159</w:t>
      </w:r>
      <w:r w:rsidR="00BE5795">
        <w:t xml:space="preserve"> total remaining ASV’s.</w:t>
      </w:r>
      <w:r w:rsidR="004F6A4F">
        <w:t xml:space="preserve"> Most of the remaining ASV’s could be assigned to class (</w:t>
      </w:r>
      <w:r w:rsidR="0073633F">
        <w:t>100</w:t>
      </w:r>
      <w:r w:rsidR="004F6A4F">
        <w:t>%)</w:t>
      </w:r>
      <w:r w:rsidR="0073633F">
        <w:t>,</w:t>
      </w:r>
      <w:r w:rsidR="004F6A4F">
        <w:t xml:space="preserve"> order</w:t>
      </w:r>
      <w:r w:rsidR="0073633F">
        <w:t xml:space="preserve"> (95%) and family (93%) levels</w:t>
      </w:r>
      <w:r w:rsidR="004F6A4F">
        <w:t xml:space="preserve"> but assignment decreased</w:t>
      </w:r>
      <w:r w:rsidR="0073633F">
        <w:t xml:space="preserve"> substantially</w:t>
      </w:r>
      <w:r w:rsidR="004F6A4F">
        <w:t xml:space="preserve"> </w:t>
      </w:r>
      <w:r w:rsidR="0073633F">
        <w:t>at the genus ( 60%) level.</w:t>
      </w:r>
    </w:p>
    <w:p w14:paraId="5ABE1018" w14:textId="77777777" w:rsidR="00521E9D" w:rsidRDefault="00521E9D" w:rsidP="0073633F"/>
    <w:p w14:paraId="66312A28" w14:textId="01D90D9D" w:rsidR="00521E9D" w:rsidRPr="00521E9D" w:rsidRDefault="00521E9D" w:rsidP="0073633F">
      <w:pPr>
        <w:rPr>
          <w:u w:val="single"/>
        </w:rPr>
      </w:pPr>
      <w:r>
        <w:rPr>
          <w:u w:val="single"/>
        </w:rPr>
        <w:t>Metadata assembly</w:t>
      </w:r>
    </w:p>
    <w:p w14:paraId="7DEEF823" w14:textId="2257A076" w:rsidR="005A15EC" w:rsidRDefault="00521E9D" w:rsidP="00C53131">
      <w:r>
        <w:t>Each gut microbiome</w:t>
      </w:r>
      <w:r w:rsidR="00C566E1">
        <w:t xml:space="preserve"> sample</w:t>
      </w:r>
      <w:r>
        <w:t xml:space="preserve"> was matched with relevant metadata</w:t>
      </w:r>
      <w:r w:rsidR="00541E0C">
        <w:t xml:space="preserve"> to facilitate subsequent analyses. </w:t>
      </w:r>
      <w:r w:rsidR="005A15EC">
        <w:t xml:space="preserve">Microbiome samples were paired with the average neopterin value from a 7-day window, encompassing three days before, the day of, and three days after sample collection. Even though changes in neopterin can happen quickly (within 2-4 days) in capuchin species </w:t>
      </w:r>
      <w:r w:rsidR="005A15EC">
        <w:fldChar w:fldCharType="begin"/>
      </w:r>
      <w:r w:rsidR="005A15EC">
        <w:instrText xml:space="preserve"> ADDIN ZOTERO_ITEM CSL_CITATION {"citationID":"LpcklZBr","properties":{"formattedCitation":"(Lucore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rsidR="005A15EC">
        <w:fldChar w:fldCharType="separate"/>
      </w:r>
      <w:r w:rsidR="005A15EC">
        <w:rPr>
          <w:noProof/>
        </w:rPr>
        <w:t>(Lucore et al., 2022)</w:t>
      </w:r>
      <w:r w:rsidR="005A15EC">
        <w:fldChar w:fldCharType="end"/>
      </w:r>
      <w:r w:rsidR="005A15EC">
        <w:t xml:space="preserve">, neopterin in the </w:t>
      </w:r>
      <w:proofErr w:type="spellStart"/>
      <w:r w:rsidR="005A15EC">
        <w:t>Taboga</w:t>
      </w:r>
      <w:proofErr w:type="spellEnd"/>
      <w:r w:rsidR="005A15EC">
        <w:t xml:space="preserve"> capuchins appeared stable over 14 days (fig s).  Therefore, our chosen time window provided a general measure of immune performance associated with the microbiome composition, enabling us to assess the relationship between the two. Maximum temperature (collected every 15 minutes) was averaged 15 days before sample collection. This time frame allowed us to evaluate the relationship between the microbiome and long-term trends in temperature. This temperature predictor as also been associated with changes in immune performance in this population </w:t>
      </w:r>
      <w:r w:rsidR="005A15EC">
        <w:fldChar w:fldCharType="begin"/>
      </w:r>
      <w:r w:rsidR="005A15EC">
        <w:instrText xml:space="preserve"> ADDIN ZOTERO_ITEM CSL_CITATION {"citationID":"5XvGEW0Y","properties":{"formattedCitation":"(Lucore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5A15EC">
        <w:fldChar w:fldCharType="separate"/>
      </w:r>
      <w:r w:rsidR="005A15EC">
        <w:rPr>
          <w:noProof/>
        </w:rPr>
        <w:t>(Lucore et al., 2024)</w:t>
      </w:r>
      <w:r w:rsidR="005A15EC">
        <w:fldChar w:fldCharType="end"/>
      </w:r>
      <w:r w:rsidR="005A15EC">
        <w:t xml:space="preserve">. </w:t>
      </w:r>
    </w:p>
    <w:p w14:paraId="7B4D2C15" w14:textId="77777777" w:rsidR="005A15EC" w:rsidRDefault="005A15EC" w:rsidP="00C53131"/>
    <w:p w14:paraId="2902D10A" w14:textId="42F52012" w:rsidR="00D05A04" w:rsidRDefault="004E2620" w:rsidP="0073633F">
      <w:r>
        <w:t xml:space="preserve">Each gut microbiome sample </w:t>
      </w:r>
      <w:r w:rsidR="004D5F6D">
        <w:t xml:space="preserve">was </w:t>
      </w:r>
      <w:r w:rsidR="00D05A04">
        <w:t>als</w:t>
      </w:r>
      <w:r w:rsidR="004D5F6D">
        <w:t>o</w:t>
      </w:r>
      <w:r>
        <w:t xml:space="preserve"> paired with all diet observations from the same individual within two weeks before sample collection, following time frames used in previous white-faced capuchin </w:t>
      </w:r>
      <w:r w:rsidR="00C53131">
        <w:t xml:space="preserve">gut </w:t>
      </w:r>
      <w:r>
        <w:t xml:space="preserve">microbiome studies </w:t>
      </w:r>
      <w:r>
        <w:fldChar w:fldCharType="begin"/>
      </w:r>
      <w:r>
        <w:instrText xml:space="preserve"> ADDIN ZOTERO_ITEM CSL_CITATION {"citationID":"JR1jMbxd","properties":{"formattedCitation":"(E. K. Mallott et al., 2018; Orkin et al., 2019)","plainCitation":"(E. K. Mallott et al., 2018; Orkin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Pr>
          <w:noProof/>
        </w:rPr>
        <w:t>(E. K. Mallott et al., 2018; Orkin et al., 2019)</w:t>
      </w:r>
      <w:r>
        <w:fldChar w:fldCharType="end"/>
      </w:r>
      <w:r>
        <w:t xml:space="preserve">. </w:t>
      </w:r>
      <w:r w:rsidR="00485154">
        <w:t xml:space="preserve">Diet diversity was quantified by modeling diet richness (i.e. the total number of unique food items recorded) as a function of the total number of feeding observations. The residuals were used as </w:t>
      </w:r>
      <w:r w:rsidR="00C53131">
        <w:t>a</w:t>
      </w:r>
      <w:r w:rsidR="00485154">
        <w:t xml:space="preserve"> measure of diet diversity, with negative values indicating lower-than-expected diversity and positive values indicating higher-than-expected diversity </w:t>
      </w:r>
      <w:r w:rsidR="00485154">
        <w:fldChar w:fldCharType="begin"/>
      </w:r>
      <w:r w:rsidR="00485154">
        <w:instrText xml:space="preserve"> ADDIN ZOTERO_ITEM CSL_CITATION {"citationID":"KgDJiC4b","properties":{"formattedCitation":"(Marshall et al., 2021)","plainCitation":"(Marshall et al., 2021)","noteIndex":0},"citationItems":[{"id":1724,"uris":["http://zotero.org/users/13901503/items/VWJDBSPR"],"itemData":{"id":1724,"type":"article-journal","abstract":"The endemic Bornean tufted ground squirrel, Rheithrosciurus macrotis, has attracted great interest among biologists and the public recently. Nevertheless, we lack information about the most basic aspects of its biology. Here we present the first empirical data on the feeding ecology of tufted ground squirrels and use data from 81 sympatric mammalian and avian vertebrates to place it within a broad comparative context. Rheithrosciurus macrotis is a seed predator and shows much more extreme ecological specialisation than any other vertebrate, feeding on a far smaller subset of available plant foods and demonstrating a greater reliance on a single plant species—Canarium decumanum. Our results suggest that R. macrotis plays an important, previously unknown role in the ecology of Bornean lowland forests and highlight how much we have yet to learn about the fauna inhabiting some of the most diverse, and most severely threatened, ecosystems on the planet.","container-title":"Raffles Bulletin of Zoology","DOI":"10.26107/RBZ-2021-0067","ISSN":"0217-2445","language":"en","note":"publisher: Lee Kong Chian Natural History Museum","page":"497506","source":"DOI.org (Datacite)","title":"Extreme ecological specialisation in a rainforest mammal, the Bornean tufted ground squirrel, Rheithrosciurus macrotis Gray, 1857","volume":"69","author":[{"family":"Marshall","given":"Andrew J."},{"family":"Meijaard","given":"Erik"},{"family":"Leighton","given":"Mark"}],"issued":{"date-parts":[["2021"]]}}}],"schema":"https://github.com/citation-style-language/schema/raw/master/csl-citation.json"} </w:instrText>
      </w:r>
      <w:r w:rsidR="00485154">
        <w:fldChar w:fldCharType="separate"/>
      </w:r>
      <w:r w:rsidR="00485154">
        <w:rPr>
          <w:noProof/>
        </w:rPr>
        <w:t>(Marshall et al., 2021)</w:t>
      </w:r>
      <w:r w:rsidR="00485154">
        <w:fldChar w:fldCharType="end"/>
      </w:r>
      <w:r w:rsidR="00485154">
        <w:t xml:space="preserve">. Percent consumption of each food type was calculated by dividing the total number of feeding observations for each food category (animal, flower, fruit, fungi, insect, leaves, nectar, nurse, pith, seeds) by the total number of feeding observations. </w:t>
      </w:r>
      <w:r w:rsidR="00C53131">
        <w:t>Each food type was then plotted against temperature to identify diet categories that vary with temperature to control for these factors when assessing the direct effect of temperature on the microbiome.</w:t>
      </w:r>
      <w:r w:rsidR="00C53131" w:rsidRPr="00C53131">
        <w:t xml:space="preserve"> </w:t>
      </w:r>
      <w:r w:rsidR="00C53131">
        <w:t xml:space="preserve">Percent fruit consumption was found to have a strong, positive relationship with temperature (fig s) and is controlled for in our subsequent analyses. </w:t>
      </w:r>
    </w:p>
    <w:p w14:paraId="456D9462" w14:textId="77777777" w:rsidR="00D05A04" w:rsidRDefault="00D05A04" w:rsidP="0073633F"/>
    <w:p w14:paraId="030702B9" w14:textId="20E68EA4" w:rsidR="0000439A" w:rsidRDefault="00D807D7" w:rsidP="0023189F">
      <w:pPr>
        <w:rPr>
          <w:u w:val="single"/>
        </w:rPr>
      </w:pPr>
      <w:r w:rsidRPr="00D807D7">
        <w:rPr>
          <w:u w:val="single"/>
        </w:rPr>
        <w:t xml:space="preserve">Community </w:t>
      </w:r>
      <w:r w:rsidR="003C2694">
        <w:rPr>
          <w:u w:val="single"/>
        </w:rPr>
        <w:t>f</w:t>
      </w:r>
      <w:r w:rsidRPr="00D807D7">
        <w:rPr>
          <w:u w:val="single"/>
        </w:rPr>
        <w:t xml:space="preserve">eature </w:t>
      </w:r>
      <w:r w:rsidR="003C2694">
        <w:rPr>
          <w:u w:val="single"/>
        </w:rPr>
        <w:t>generation and</w:t>
      </w:r>
      <w:r w:rsidR="0081434A">
        <w:rPr>
          <w:u w:val="single"/>
        </w:rPr>
        <w:t xml:space="preserve"> temperature</w:t>
      </w:r>
      <w:r w:rsidR="003C2694">
        <w:rPr>
          <w:u w:val="single"/>
        </w:rPr>
        <w:t xml:space="preserve"> a</w:t>
      </w:r>
      <w:r w:rsidRPr="00D807D7">
        <w:rPr>
          <w:u w:val="single"/>
        </w:rPr>
        <w:t>nalysis</w:t>
      </w:r>
    </w:p>
    <w:p w14:paraId="4C14DED1" w14:textId="54F720C8" w:rsidR="00510277" w:rsidRDefault="00906045" w:rsidP="00074715">
      <w:r>
        <w:t>T</w:t>
      </w:r>
      <w:r w:rsidR="00074715">
        <w:t xml:space="preserve">o evaluate how </w:t>
      </w:r>
      <w:r w:rsidR="00817C54">
        <w:t>community composition is related to temperature</w:t>
      </w:r>
      <w:r>
        <w:t>, we generated</w:t>
      </w:r>
      <w:r w:rsidR="008E025B">
        <w:t xml:space="preserve"> metrics</w:t>
      </w:r>
      <w:r>
        <w:t xml:space="preserve"> of alpha and beta diversity. </w:t>
      </w:r>
      <w:r w:rsidR="00074715">
        <w:t xml:space="preserve">Since rarefaction to account for differences in sequencing depth (i.e. choosing a fixed sequencing depth and randomly subsampling all samples to that depth) is strongly discouraged because it discards valuable data </w:t>
      </w:r>
      <w:r w:rsidR="00074715">
        <w:fldChar w:fldCharType="begin"/>
      </w:r>
      <w:r w:rsidR="00074715">
        <w:instrText xml:space="preserve"> ADDIN ZOTERO_ITEM CSL_CITATION {"citationID":"POfAwNZ4","properties":{"formattedCitation":"(McMurdie &amp; Holmes, 2014)","plainCitation":"(McMurdie &amp; Holmes, 2014)","noteIndex":0},"citationItems":[{"id":788,"uris":["http://zotero.org/users/13901503/items/M7YBHN37"],"itemData":{"id":788,"type":"article-journal","abstract":"Current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J."},{"family":"Holmes","given":"Susan"}],"issued":{"date-parts":[["2014",4,3]]}}}],"schema":"https://github.com/citation-style-language/schema/raw/master/csl-citation.json"} </w:instrText>
      </w:r>
      <w:r w:rsidR="00074715">
        <w:fldChar w:fldCharType="separate"/>
      </w:r>
      <w:r w:rsidR="00074715">
        <w:rPr>
          <w:noProof/>
        </w:rPr>
        <w:t>(McMurdie &amp; Holmes, 2014)</w:t>
      </w:r>
      <w:r w:rsidR="00074715">
        <w:fldChar w:fldCharType="end"/>
      </w:r>
      <w:r w:rsidR="00074715">
        <w:t xml:space="preserve">, </w:t>
      </w:r>
      <w:r w:rsidR="00817C54">
        <w:t xml:space="preserve">we used </w:t>
      </w:r>
      <w:r w:rsidR="00074715">
        <w:t xml:space="preserve">alternative methods </w:t>
      </w:r>
      <w:r w:rsidR="00817C54">
        <w:t xml:space="preserve">to </w:t>
      </w:r>
      <w:r w:rsidR="00074715">
        <w:t>leverage the full dataset.</w:t>
      </w:r>
      <w:r w:rsidR="00B133A3">
        <w:t xml:space="preserve"> All subsequent analyses were performed using R v4.3.1.</w:t>
      </w:r>
    </w:p>
    <w:p w14:paraId="6B0F639B" w14:textId="77777777" w:rsidR="00B133A3" w:rsidRDefault="00B133A3" w:rsidP="00074715"/>
    <w:p w14:paraId="3DE07196" w14:textId="327E3496" w:rsidR="003467B0" w:rsidRDefault="00817C54" w:rsidP="006136B8">
      <w:r>
        <w:t>To measure alpha diversity, we calculated two widely used indices</w:t>
      </w:r>
      <w:r w:rsidR="003626CF">
        <w:t xml:space="preserve">: Shannon’s diversity index (which accounts for both ASV richness and evenness) and observed richness (the total number of ASVs in a sample) using the </w:t>
      </w:r>
      <w:proofErr w:type="spellStart"/>
      <w:r w:rsidR="003626CF">
        <w:t>estimate_richness</w:t>
      </w:r>
      <w:proofErr w:type="spellEnd"/>
      <w:r w:rsidR="008E025B">
        <w:t>()</w:t>
      </w:r>
      <w:r w:rsidR="003626CF">
        <w:t xml:space="preserve"> function from the {</w:t>
      </w:r>
      <w:proofErr w:type="spellStart"/>
      <w:r w:rsidR="003626CF">
        <w:t>phyloseq</w:t>
      </w:r>
      <w:proofErr w:type="spellEnd"/>
      <w:r w:rsidR="003626CF">
        <w:t xml:space="preserve">} package. </w:t>
      </w:r>
      <w:r>
        <w:t xml:space="preserve">To </w:t>
      </w:r>
      <w:r>
        <w:lastRenderedPageBreak/>
        <w:t xml:space="preserve">measure beta diversity (i.e. community dissimilarity between samples), we generated Aitchison distances </w:t>
      </w:r>
      <w:r w:rsidR="006136B8">
        <w:t xml:space="preserve">by computing the </w:t>
      </w:r>
      <w:r w:rsidR="001D4E08">
        <w:t xml:space="preserve">Euclidean distance between pairwise samples after </w:t>
      </w:r>
      <w:r w:rsidR="006136B8">
        <w:t xml:space="preserve">performing </w:t>
      </w:r>
      <w:r w:rsidR="001D4E08">
        <w:t>a centered log-ratio (</w:t>
      </w:r>
      <w:proofErr w:type="spellStart"/>
      <w:r w:rsidR="001D4E08">
        <w:t>clr</w:t>
      </w:r>
      <w:proofErr w:type="spellEnd"/>
      <w:r w:rsidR="001D4E08">
        <w:t>) transformation on the raw count data</w:t>
      </w:r>
      <w:r w:rsidR="0053370D">
        <w:t xml:space="preserve"> </w:t>
      </w:r>
      <w:r w:rsidR="0053370D">
        <w:fldChar w:fldCharType="begin"/>
      </w:r>
      <w:r w:rsidR="0053370D">
        <w:instrText xml:space="preserve"> ADDIN ZOTERO_ITEM CSL_CITATION {"citationID":"rslhHr6V","properties":{"formattedCitation":"(Aitchison &amp; Greenacre, 2002)","plainCitation":"(Aitchison &amp; Greenacre, 2002)","noteIndex":0},"citationItems":[{"id":1678,"uris":["http://zotero.org/users/13901503/items/MSZDHDQF"],"itemData":{"id":1678,"type":"article-journal","abstract":"The singular value decomposition and its interpretation as a linear biplot have proved to be a powerful tool for analysing many forms of multivariate data. Here we adapt biplot methodology to the specific case of compositional data consisting of positive vectors each of which is constrained to have unit sum. These relative variation biplots have properties relating to the special features of compositional data: the study of ratios, subcompositions and models of compositional relationships. The methodology is applied to a data set consisting of six-part colour compositions in 22 abstract paintings, showing how the singular value decomposition can achieve an accurate biplot of the colour ratios and how possible models interrelating the colours can be diagnosed.","container-title":"Journal of the Royal Statistical Society Series C: Applied Statistics","DOI":"10.1111/1467-9876.00275","ISSN":"0035-9254","issue":"4","journalAbbreviation":"Journal of the Royal Statistical Society Series C: Applied Statistics","page":"375-392","source":"Silverchair","title":"Biplots of Compositional Data","volume":"51","author":[{"family":"Aitchison","given":"John"},{"family":"Greenacre","given":"Michael"}],"issued":{"date-parts":[["2002",10,1]]}}}],"schema":"https://github.com/citation-style-language/schema/raw/master/csl-citation.json"} </w:instrText>
      </w:r>
      <w:r w:rsidR="0053370D">
        <w:fldChar w:fldCharType="separate"/>
      </w:r>
      <w:r w:rsidR="0053370D">
        <w:rPr>
          <w:noProof/>
        </w:rPr>
        <w:t>(Aitchison &amp; Greenacre, 2002)</w:t>
      </w:r>
      <w:r w:rsidR="0053370D">
        <w:fldChar w:fldCharType="end"/>
      </w:r>
      <w:r w:rsidR="001D4E08">
        <w:t>. A pseudo count was added to all zeros</w:t>
      </w:r>
      <w:r w:rsidR="00510277">
        <w:t xml:space="preserve"> before the </w:t>
      </w:r>
      <w:proofErr w:type="spellStart"/>
      <w:r w:rsidR="00510277">
        <w:t>clr</w:t>
      </w:r>
      <w:proofErr w:type="spellEnd"/>
      <w:r w:rsidR="00510277">
        <w:t xml:space="preserve"> transformation</w:t>
      </w:r>
      <w:r w:rsidR="001D4E08">
        <w:t xml:space="preserve"> using the </w:t>
      </w:r>
      <w:proofErr w:type="spellStart"/>
      <w:r w:rsidR="001D4E08" w:rsidRPr="001D4E08">
        <w:t>cmultRepl</w:t>
      </w:r>
      <w:proofErr w:type="spellEnd"/>
      <w:r w:rsidR="001D4E08" w:rsidRPr="001D4E08">
        <w:t xml:space="preserve">() function </w:t>
      </w:r>
      <w:r w:rsidR="001D4E08">
        <w:t>from the</w:t>
      </w:r>
      <w:r w:rsidR="001D4E08" w:rsidRPr="001D4E08">
        <w:t xml:space="preserve"> </w:t>
      </w:r>
      <w:r w:rsidR="001D4E08">
        <w:t>{</w:t>
      </w:r>
      <w:proofErr w:type="spellStart"/>
      <w:r w:rsidR="001D4E08" w:rsidRPr="001D4E08">
        <w:t>zCompositions</w:t>
      </w:r>
      <w:proofErr w:type="spellEnd"/>
      <w:r w:rsidR="001D4E08">
        <w:t>} package</w:t>
      </w:r>
      <w:r w:rsidR="00510277">
        <w:t xml:space="preserve">, </w:t>
      </w:r>
      <w:r w:rsidR="001D4E08">
        <w:t>which</w:t>
      </w:r>
      <w:r w:rsidR="00510277">
        <w:t xml:space="preserve"> uses </w:t>
      </w:r>
      <w:r w:rsidR="00510277" w:rsidRPr="00510277">
        <w:t>Bayesian-multiplicative replacement</w:t>
      </w:r>
      <w:r w:rsidR="00510277">
        <w:t xml:space="preserve"> to </w:t>
      </w:r>
      <w:r w:rsidR="00510277" w:rsidRPr="00510277">
        <w:t>preserve the structure of the data and minimizes distortion compared to adding a fixed value</w:t>
      </w:r>
      <w:r w:rsidR="00510277">
        <w:t xml:space="preserve"> </w:t>
      </w:r>
      <w:r w:rsidR="001D4E08">
        <w:fldChar w:fldCharType="begin"/>
      </w:r>
      <w:r w:rsidR="001D4E08">
        <w:instrText xml:space="preserve"> ADDIN ZOTERO_ITEM CSL_CITATION {"citationID":"CcTblRTP","properties":{"formattedCitation":"(Palarea-Albaladejo &amp; Mart\\uc0\\u237{}n-Fern\\uc0\\u225{}ndez, 2015)","plainCitation":"(Palarea-Albaladejo &amp; Martín-Fernández, 2015)","noteIndex":0},"citationItems":[{"id":1676,"uris":["http://zotero.org/users/13901503/items/B9HUBEW5"],"itemData":{"id":1676,"type":"article-journal","abstract":"zCompositions is an R package for the imputation of left-censored data under a compositional approach. It is pertinent when the analyst assumes that the relevant information is contained on the relative variation structure of the data. For instance, in cases where the experimental data are simultaneously measured in amounts related to a same total weight or volume. The approach is used in fields like geochemistry of waters or sedimentary rocks, environmental studies related to air pollution, physicochemical analysis of glass fragments in forensic science, and among many others. In these fields, rounded zeros and nondetects are usually regarded as left-censored data that hamper any subsequent data analysis. The implemented methods consider aspects of relevance for a compositional approach such as scale invariance, subcompositional coherence or preserving the multivariate relative structure of the data. Based on solid statistical frameworks, it comprises the ability to deal with single and varying censoring thresholds, consistent treatment of closed and non-closed data, exploratory tools, multiple imputation, MCMC, robust and non-parametric alternatives, and recent proposals for count data. Key methodological aspects, new contributions, computational implementation and the practical application of the approach are discussed.","container-title":"Chemometrics and Intelligent Laboratory Systems","DOI":"10.1016/j.chemolab.2015.02.019","ISSN":"0169-7439","journalAbbreviation":"Chemometrics and Intelligent Laboratory Systems","page":"85-96","source":"ScienceDirect","title":"zCompositions — R package for multivariate imputation of left-censored data under a compositional approach","volume":"143","author":[{"family":"Palarea-Albaladejo","given":"Javier"},{"family":"Martín-Fernández","given":"Josep Antoni"}],"issued":{"date-parts":[["2015",4,15]]}}}],"schema":"https://github.com/citation-style-language/schema/raw/master/csl-citation.json"} </w:instrText>
      </w:r>
      <w:r w:rsidR="001D4E08">
        <w:fldChar w:fldCharType="separate"/>
      </w:r>
      <w:r w:rsidR="001D4E08" w:rsidRPr="001D4E08">
        <w:rPr>
          <w:rFonts w:ascii="Aptos"/>
        </w:rPr>
        <w:t>(Palarea-Albaladejo &amp; Mart</w:t>
      </w:r>
      <w:r w:rsidR="001D4E08" w:rsidRPr="001D4E08">
        <w:rPr>
          <w:rFonts w:ascii="Aptos"/>
        </w:rPr>
        <w:t>í</w:t>
      </w:r>
      <w:r w:rsidR="001D4E08" w:rsidRPr="001D4E08">
        <w:rPr>
          <w:rFonts w:ascii="Aptos"/>
        </w:rPr>
        <w:t>n-Fern</w:t>
      </w:r>
      <w:r w:rsidR="001D4E08" w:rsidRPr="001D4E08">
        <w:rPr>
          <w:rFonts w:ascii="Aptos"/>
        </w:rPr>
        <w:t>á</w:t>
      </w:r>
      <w:r w:rsidR="001D4E08" w:rsidRPr="001D4E08">
        <w:rPr>
          <w:rFonts w:ascii="Aptos"/>
        </w:rPr>
        <w:t>ndez, 2015)</w:t>
      </w:r>
      <w:r w:rsidR="001D4E08">
        <w:fldChar w:fldCharType="end"/>
      </w:r>
      <w:r w:rsidR="00C54DC5">
        <w:t xml:space="preserve">. </w:t>
      </w:r>
      <w:r w:rsidR="006136B8">
        <w:t xml:space="preserve">Aitchison distances were used because microbiome datasets are compositional, meaning that observed read counts are constrained by sequencing depth and do not reflect absolute DNA abundances </w:t>
      </w:r>
      <w:r w:rsidR="006158D6">
        <w:fldChar w:fldCharType="begin"/>
      </w:r>
      <w:r w:rsidR="006158D6">
        <w:instrText xml:space="preserve"> ADDIN ZOTERO_ITEM CSL_CITATION {"citationID":"RU0uFdYd","properties":{"formattedCitation":"(Gloor &amp; Reid, 2016)","plainCitation":"(Gloor &amp; Reid, 2016)","noteIndex":0},"citationItems":[{"id":1387,"uris":["http://zotero.org/users/13901503/items/7MG3GNU9"],"itemData":{"id":1387,"type":"article-journal","abstract":"A workshop held at the 2015 annual meeting of the Canadian Society of Microbiologists highlighted compositional data analysis methods and the importance of exploratory data analysis for the analysis of microbiome data sets generated by high-throughput DNA sequencing. A summary of the content of that workshop, a review of new methods of analysis, and information on the importance of careful analyses are presented herein. The workshop focussed on explaining the rationale behind the use of compositional data analysis, and a demonstration of these methods for the examination of 2 microbiome data sets. A clear understanding of bioinformatics methodologies and the type of data being analyzed is essential, given the growing number of studies uncovering the critical role of the microbiome in health and disease and the need to understand alterations to its composition and function following intervention with fecal transplant, probiotics, diet, and pharmaceutical agents.","container-title":"Canadian Journal of Microbiology","DOI":"10.1139/cjm-2015-0821","ISSN":"0008-4166, 1480-3275","issue":"8","journalAbbreviation":"Can. J. Microbiol.","language":"en","license":"http://www.nrcresearchpress.com/page/about/CorporateTextAndDataMining","page":"692-703","source":"DOI.org (Crossref)","title":"Compositional analysis: a valid approach to analyze microbiome high-throughput sequencing data","title-short":"Compositional analysis","volume":"62","author":[{"family":"Gloor","given":"Gregory B."},{"family":"Reid","given":"Gregor"}],"issued":{"date-parts":[["2016",8]]}}}],"schema":"https://github.com/citation-style-language/schema/raw/master/csl-citation.json"} </w:instrText>
      </w:r>
      <w:r w:rsidR="006158D6">
        <w:fldChar w:fldCharType="separate"/>
      </w:r>
      <w:r w:rsidR="006158D6">
        <w:rPr>
          <w:noProof/>
        </w:rPr>
        <w:t>(Gloor &amp; Reid, 2016)</w:t>
      </w:r>
      <w:r w:rsidR="006158D6">
        <w:fldChar w:fldCharType="end"/>
      </w:r>
      <w:r w:rsidR="006158D6">
        <w:t xml:space="preserve">. </w:t>
      </w:r>
      <w:r w:rsidR="00E46A95">
        <w:t>Aitchison distances account for the compositional nature of microbiome data by using log-ratio transformed counts, making them less sensitive to differences in sequencing depth and</w:t>
      </w:r>
      <w:r w:rsidR="008E025B">
        <w:t xml:space="preserve"> the removal of</w:t>
      </w:r>
      <w:r w:rsidR="00E46A95">
        <w:t xml:space="preserve"> rare taxa </w:t>
      </w:r>
      <w:r w:rsidR="00E46A95">
        <w:fldChar w:fldCharType="begin"/>
      </w:r>
      <w:r w:rsidR="00E46A95">
        <w:instrText xml:space="preserve"> ADDIN ZOTERO_ITEM CSL_CITATION {"citationID":"y37eCzzJ","properties":{"formattedCitation":"(Aitchison et al., 2000)","plainCitation":"(Aitchison et al., 2000)","noteIndex":0},"citationItems":[{"id":1685,"uris":["http://zotero.org/users/13901503/items/SEIJ35KY"],"itemData":{"id":1685,"type":"article-journal","abstract":"The concept of distance between two compositions is important in the statistical analysis of compositional data, particularly in such activities as cluster analysis and multidimensional scaling. This paper exposes the fallacies in a recent criticism of logratio-based distance measures—in particular, the misstatements that logratio methods destroy distance structures and are denominator dependent. Emphasis is on ensuring that compositional data analysis involving distance concepts satisﬁes certain logically necessary invariance conditions. Logratio analysis and its associated distance measures satisfy these conditions.","language":"en","source":"Zotero","title":"Logratio Analysis and Compositional Distance","author":[{"family":"Aitchison","given":"J"},{"family":"Barcelo-Vidal","given":"C"},{"family":"Martın-Fernandez","given":"J A"},{"family":"Pawlowsky-Glahn","given":"V"}],"issued":{"date-parts":[["2000"]]}}}],"schema":"https://github.com/citation-style-language/schema/raw/master/csl-citation.json"} </w:instrText>
      </w:r>
      <w:r w:rsidR="00E46A95">
        <w:fldChar w:fldCharType="separate"/>
      </w:r>
      <w:r w:rsidR="00E46A95">
        <w:rPr>
          <w:noProof/>
        </w:rPr>
        <w:t>(Aitchison et al., 2000)</w:t>
      </w:r>
      <w:r w:rsidR="00E46A95">
        <w:fldChar w:fldCharType="end"/>
      </w:r>
      <w:r w:rsidR="00E46A95">
        <w:t xml:space="preserve"> compared to traditional beta diversity metrics (e.g., Bray-Curtis, </w:t>
      </w:r>
      <w:proofErr w:type="spellStart"/>
      <w:r w:rsidR="00E46A95">
        <w:t>Unifrac</w:t>
      </w:r>
      <w:proofErr w:type="spellEnd"/>
      <w:r w:rsidR="00E46A95">
        <w:t xml:space="preserve">, Jensen-Shannon divergence) that use raw counts or proportions </w:t>
      </w:r>
      <w:r w:rsidR="00E46A95">
        <w:fldChar w:fldCharType="begin"/>
      </w:r>
      <w:r w:rsidR="00E46A95">
        <w:instrText xml:space="preserve"> ADDIN ZOTERO_ITEM CSL_CITATION {"citationID":"eI5jWKxN","properties":{"formattedCitation":"(Gloor et al., 2017)","plainCitation":"(Gloor et al., 2017)","noteIndex":0},"citationItems":[{"id":785,"uris":["http://zotero.org/users/13901503/items/MWL4M2Q4"],"itemData":{"id":785,"type":"article-journal","abstract":"&lt;p&gt;Datasets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analysis.&lt;/p&gt;","container-title":"Frontiers in Microbiology","DOI":"10.3389/fmicb.2017.02224","ISSN":"1664-302X","journalAbbreviation":"Front. Microbiol.","language":"English","note":"publisher: Frontiers","source":"Frontiers","title":"Microbiome Datasets Are Compositional: And This Is Not Optional","title-short":"Microbiome Datasets Are Compositional","URL":"https://www-frontiersin-org.proxy.lib.umich.edu/journals/microbiology/articles/10.3389/fmicb.2017.02224/full","volume":"8","author":[{"family":"Gloor","given":"Gregory B."},{"family":"Macklaim","given":"Jean M."},{"family":"Pawlowsky-Glahn","given":"Vera"},{"family":"Egozcue","given":"Juan J."}],"accessed":{"date-parts":[["2024",6,10]]},"issued":{"date-parts":[["2017",11,15]]}}}],"schema":"https://github.com/citation-style-language/schema/raw/master/csl-citation.json"} </w:instrText>
      </w:r>
      <w:r w:rsidR="00E46A95">
        <w:fldChar w:fldCharType="separate"/>
      </w:r>
      <w:r w:rsidR="00E46A95">
        <w:rPr>
          <w:noProof/>
        </w:rPr>
        <w:t>(Gloor et al., 2017)</w:t>
      </w:r>
      <w:r w:rsidR="00E46A95">
        <w:fldChar w:fldCharType="end"/>
      </w:r>
      <w:r w:rsidR="00E46A95">
        <w:t xml:space="preserve">. </w:t>
      </w:r>
      <w:r w:rsidR="003467B0">
        <w:t>A Principle</w:t>
      </w:r>
      <w:r w:rsidR="00906045">
        <w:t xml:space="preserve"> </w:t>
      </w:r>
      <w:r w:rsidR="003467B0">
        <w:t xml:space="preserve">Components Analysis was performed on the Aitchison distance matrix and the scores for the first four principal components (PC1–PC4) were extracted </w:t>
      </w:r>
      <w:r>
        <w:t xml:space="preserve">to capture major axes of variation in community composition. </w:t>
      </w:r>
      <w:r w:rsidR="003467B0">
        <w:t xml:space="preserve">Components PC1-PC4 were selected because they explained the greatest </w:t>
      </w:r>
      <w:r w:rsidR="00D25951">
        <w:t>percent variance</w:t>
      </w:r>
      <w:r w:rsidR="003467B0">
        <w:t xml:space="preserve"> </w:t>
      </w:r>
      <w:r w:rsidR="00D25951">
        <w:t>relative to the other components (fig s)</w:t>
      </w:r>
      <w:r w:rsidR="00C05F08">
        <w:t>.</w:t>
      </w:r>
    </w:p>
    <w:p w14:paraId="22E7A915" w14:textId="77777777" w:rsidR="0003701E" w:rsidRDefault="0003701E" w:rsidP="006136B8"/>
    <w:p w14:paraId="1755D094" w14:textId="7B2A98DF" w:rsidR="00B133A3" w:rsidRDefault="003626CF" w:rsidP="00906045">
      <w:r>
        <w:t xml:space="preserve">To evaluate the relationship between temperature </w:t>
      </w:r>
      <w:r w:rsidR="00906045">
        <w:t>and community features, we built two mixed models</w:t>
      </w:r>
      <w:r w:rsidR="00B133A3">
        <w:t xml:space="preserve">,  using alpha diversity indices and the first four principal components as the outcome variables. </w:t>
      </w:r>
      <w:r w:rsidR="00906045">
        <w:t xml:space="preserve">Each community feature was modeled twice, once with each model, and the </w:t>
      </w:r>
      <w:r w:rsidR="003D5B72">
        <w:t>model fit was compared using</w:t>
      </w:r>
      <w:r w:rsidR="00906045">
        <w:t xml:space="preserve"> Akaike information criterion adjusted for small sample sizes (</w:t>
      </w:r>
      <w:proofErr w:type="spellStart"/>
      <w:r w:rsidR="00906045">
        <w:t>AICc</w:t>
      </w:r>
      <w:proofErr w:type="spellEnd"/>
      <w:r w:rsidR="00906045">
        <w:t>)</w:t>
      </w:r>
      <w:r w:rsidR="00C70552">
        <w:t xml:space="preserve"> </w:t>
      </w:r>
      <w:r w:rsidR="00C70552">
        <w:fldChar w:fldCharType="begin"/>
      </w:r>
      <w:r w:rsidR="00C70552">
        <w:instrText xml:space="preserve"> ADDIN ZOTERO_ITEM CSL_CITATION {"citationID":"9MopvbYc","properties":{"formattedCitation":"(Akaike, 1998; Hurvich &amp; Tsai, n.d.)","plainCitation":"(Akaike, 1998; Hurvich &amp; Tsai, n.d.)","noteIndex":0},"citationItems":[{"id":1693,"uris":["http://zotero.org/users/13901503/items/5WE7IHKN"],"itemData":{"id":1693,"type":"chapter","container-title":"Selected Papers of Hirotugu Akaike","event-place":"New York, NY","ISBN":"978-1-4612-7248-9","note":"collection-title: Springer Series in Statistics\nDOI: 10.1007/978-1-4612-1694-0_15","page":"199-213","publisher":"Springer New York","publisher-place":"New York, NY","source":"DOI.org (Crossref)","title":"Information Theory and an Extension of the Maximum Likelihood Principle","URL":"http://link.springer.com/10.1007/978-1-4612-1694-0_15","editor":[{"family":"Parzen","given":"Emanuel"},{"family":"Tanabe","given":"Kunio"},{"family":"Kitagawa","given":"Genshiro"}],"author":[{"family":"Akaike","given":"Hirotogu"}],"accessed":{"date-parts":[["2025",1,29]]},"issued":{"date-parts":[["1998"]]}}},{"id":1695,"uris":["http://zotero.org/users/13901503/items/R3CVDMMF"],"itemData":{"id":1695,"type":"article-journal","abstract":"A bias correction to the Akaike information criterion, AIC, is derived for regression and autoregressive time series models. The correction is of particular use when the sample size is small, or when the number of fitted parameters is a moderate to large fraction of the sample size. The corrected method, called AICC, is asymptotically efficient if the true model is infinite dimensional. Furthermore, when the true model is of finite dimension, AICC is found to provide better model order choices than any other asymptotically efficient method. Applications to nonstationary autoregressive and mixed autoregressive moving average time series models are also discussed.","language":"en","source":"Zotero","title":"Regression and time series model selection in small samples","author":[{"family":"Hurvich","given":"Clifford M"},{"family":"Tsai","given":"Chih-Ling"}]}}],"schema":"https://github.com/citation-style-language/schema/raw/master/csl-citation.json"} </w:instrText>
      </w:r>
      <w:r w:rsidR="00C70552">
        <w:fldChar w:fldCharType="separate"/>
      </w:r>
      <w:r w:rsidR="00C70552">
        <w:rPr>
          <w:noProof/>
        </w:rPr>
        <w:t>(Akaike, 1998; Hurvich &amp; Tsai, n.d.)</w:t>
      </w:r>
      <w:r w:rsidR="00C70552">
        <w:fldChar w:fldCharType="end"/>
      </w:r>
      <w:r w:rsidR="00906045">
        <w:t xml:space="preserve">. The first model, </w:t>
      </w:r>
      <w:proofErr w:type="spellStart"/>
      <w:r w:rsidR="00906045" w:rsidRPr="00B133A3">
        <w:rPr>
          <w:i/>
          <w:iCs/>
        </w:rPr>
        <w:t>m_main</w:t>
      </w:r>
      <w:proofErr w:type="spellEnd"/>
      <w:r w:rsidR="00B133A3">
        <w:t>,</w:t>
      </w:r>
      <w:r w:rsidR="00906045">
        <w:t xml:space="preserve"> included predictors for social group, age, sex, rainfall, diet diversity and fruit consumption. The second model, </w:t>
      </w:r>
      <w:proofErr w:type="spellStart"/>
      <w:r w:rsidR="00906045" w:rsidRPr="00B133A3">
        <w:rPr>
          <w:i/>
          <w:iCs/>
        </w:rPr>
        <w:t>m_full</w:t>
      </w:r>
      <w:proofErr w:type="spellEnd"/>
      <w:r w:rsidR="00B133A3">
        <w:t>,</w:t>
      </w:r>
      <w:r w:rsidR="00906045">
        <w:t xml:space="preserve"> included all of the same predictors with an additional predictor for temperature. Both models included a random intercept for individual to control for repeated sampling and an offset for the log-transformed number of reads to control for differences in sequencing depth between samples. Fruit consumption was included as a predictor because it increased with rising temperatures (fig s), and we wanted to control for this effect to better isolate the relationship between temperature and community features.</w:t>
      </w:r>
      <w:r w:rsidR="004B35F8">
        <w:t xml:space="preserve"> </w:t>
      </w:r>
      <w:r w:rsidR="00C56B91">
        <w:t>We scaled</w:t>
      </w:r>
      <w:r w:rsidR="00B133A3">
        <w:t xml:space="preserve"> </w:t>
      </w:r>
      <w:r w:rsidR="00AA1E85">
        <w:t>all continuous predictors</w:t>
      </w:r>
      <w:r w:rsidR="00B133A3">
        <w:t xml:space="preserve"> (i.e.</w:t>
      </w:r>
      <w:r w:rsidR="00C56B91">
        <w:t xml:space="preserve"> age, rainfall, diet diversity, fruit consumption</w:t>
      </w:r>
      <w:r w:rsidR="00B133A3">
        <w:t>,</w:t>
      </w:r>
      <w:r w:rsidR="00C56B91">
        <w:t xml:space="preserve"> temperature</w:t>
      </w:r>
      <w:r w:rsidR="00B133A3">
        <w:t>)</w:t>
      </w:r>
      <w:r w:rsidR="00C56B91">
        <w:t xml:space="preserve"> for ease of coefficient interpretation. </w:t>
      </w:r>
      <w:r w:rsidR="00906045">
        <w:t xml:space="preserve">All models were fit as linear mixed models (LMM’s) with a Gaussian distribution except for observed richness, which was fit using a Gamma distribution with a log link function because the variable was </w:t>
      </w:r>
      <w:r w:rsidR="00906045" w:rsidRPr="00364B0D">
        <w:t>continuous, positive, and left</w:t>
      </w:r>
      <w:r w:rsidR="00906045">
        <w:t>-</w:t>
      </w:r>
      <w:r w:rsidR="00906045" w:rsidRPr="00364B0D">
        <w:t>skewed with a long right tail</w:t>
      </w:r>
      <w:r w:rsidR="00906045">
        <w:t xml:space="preserve">. </w:t>
      </w:r>
      <w:r w:rsidR="00AA1E85">
        <w:t xml:space="preserve">We used the model weights from the </w:t>
      </w:r>
      <w:proofErr w:type="spellStart"/>
      <w:r w:rsidR="00AA1E85">
        <w:t>AICc</w:t>
      </w:r>
      <w:proofErr w:type="spellEnd"/>
      <w:r w:rsidR="00AA1E85">
        <w:t xml:space="preserve"> comparison to evaluate the importance of temperature as a predictor of community features.</w:t>
      </w:r>
    </w:p>
    <w:p w14:paraId="44362907" w14:textId="77777777" w:rsidR="003C2694" w:rsidRDefault="003C2694" w:rsidP="009B60BE"/>
    <w:p w14:paraId="5B7FD217" w14:textId="7B0F98AF" w:rsidR="003C2694" w:rsidRDefault="009B60BE" w:rsidP="009B60BE">
      <w:r>
        <w:t>We chose to use an Information-</w:t>
      </w:r>
      <w:r w:rsidR="003C2694">
        <w:t>theoretic</w:t>
      </w:r>
      <w:r>
        <w:t xml:space="preserve"> approach</w:t>
      </w:r>
      <w:r w:rsidR="003C2694">
        <w:t xml:space="preserve"> </w:t>
      </w:r>
      <w:r w:rsidR="00161CFD">
        <w:t>for</w:t>
      </w:r>
      <w:r w:rsidR="003C2694">
        <w:t xml:space="preserve"> our analysis because, unlike null-hypothesis significance testing, it allows for the comparison of multiple alternative hypotheses to assess biological significance </w:t>
      </w:r>
      <w:r w:rsidR="003C2694">
        <w:fldChar w:fldCharType="begin"/>
      </w:r>
      <w:r w:rsidR="003C2694">
        <w:instrText xml:space="preserve"> ADDIN ZOTERO_ITEM CSL_CITATION {"citationID":"gCjcBlAp","properties":{"formattedCitation":"(Anderson et al., 2000; Burnham et al., 2011)","plainCitation":"(Anderson et al., 2000; Burnham et al., 2011)","noteIndex":0},"citationItems":[{"id":1696,"uris":["http://zotero.org/users/13901503/items/QCC5VYTU"],"itemData":{"id":1696,"type":"article-journal","abstract":"This paper presents a review and critique of statistical null hypothesis testing in ecological studies in general, and wildlife studies in particular, and describes an alternative. Our review of Ecology and the Journal of Wildlife Management found the use of null hypothesis testing to be pervasive. The estimated number of P-values appearing within articles of Ecology exceeded 8,000 in 1991 and has exceeded 3,000 in each year since 1984, whereas the estimated number of P-values in the Journal of Wildlife Management exceeded 8,000 in 1997 and has exceeded 3,000 in each year since 1994. We estimated that 47% (SE = 3.9%) of the P-values in the Journal of Wildlife Management lacked estimates of means or effect sizes or even the sign of the difference in means or other parameters. We find that null hypothesis testing is uninformative when no estimates of means or effect size and their precision are given. Contrary to common dogma, tests of statistical null hypotheses have relatively little utility in science and are not a fundamental aspect of the scientific method. We recommend their use be reduced in favor of more informative approaches. Towards this objective, we describe a relatively new paradigm of data analysis based on Kullback-Leibler information. This paradigm is an extension of likelihood theory and, when used correctly, avoids many of the fundamental limitations and common misuses of null hypothesis testing. Information-theoretic methods focus on providing a strength of evidence for an a priori set of alternative hypotheses, rather than a statistical test of a null hypothesis. This paradigm allows the following types of evidence for the alternative hypotheses: the rank of each hypothesis, expressed as a model; an estimate of the formal likelihood of each model, given the data; a measure of precision that incorporates model selection uncertainty; and simple methods to allow the use of the set of alternative models in making formal inference. We provide an example of the information-theoretic approach using data on the effect of lead on survival in spectacled eider ducks (Somateria fischeri). Regardless of the analysis paradigm used, we strongly recommend inferences based on a priori considerations be clearly separated from those resulting from some form of data dredging.","container-title":"The Journal of Wildlife Management","DOI":"10.2307/3803199","ISSN":"0022-541X","issue":"4","note":"publisher: [Wiley, Wildlife Society]","page":"912-923","source":"JSTOR","title":"Null Hypothesis Testing: Problems, Prevalence, and an Alternative","title-short":"Null Hypothesis Testing","volume":"64","author":[{"family":"Anderson","given":"David R."},{"family":"Burnham","given":"Kenneth P."},{"family":"Thompson","given":"William L."}],"issued":{"date-parts":[["2000"]]}}},{"id":1043,"uris":["http://zotero.org/users/13901503/items/MUQFF6P5"],"itemData":{"id":1043,"type":"article-journal","abstract":"We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3C2694">
        <w:fldChar w:fldCharType="separate"/>
      </w:r>
      <w:r w:rsidR="003C2694">
        <w:rPr>
          <w:noProof/>
        </w:rPr>
        <w:t>(Anderson et al., 2000; Burnham et al., 2011)</w:t>
      </w:r>
      <w:r w:rsidR="003C2694">
        <w:fldChar w:fldCharType="end"/>
      </w:r>
      <w:r w:rsidR="003C2694">
        <w:t xml:space="preserve">. </w:t>
      </w:r>
    </w:p>
    <w:p w14:paraId="7EDF874A" w14:textId="2812CE99" w:rsidR="00475360" w:rsidRDefault="003C2694" w:rsidP="00475360">
      <w:r>
        <w:t xml:space="preserve">In contrast, </w:t>
      </w:r>
      <w:r w:rsidR="00475360">
        <w:t xml:space="preserve">null hypothesis testing relies on a null hypothesis that is never directly observed and </w:t>
      </w:r>
      <w:r w:rsidR="00161CFD">
        <w:t>is</w:t>
      </w:r>
      <w:r w:rsidR="00475360">
        <w:t xml:space="preserve"> inappropriate for drawing biologically meaningful conclusions </w:t>
      </w:r>
      <w:r w:rsidR="00475360">
        <w:fldChar w:fldCharType="begin"/>
      </w:r>
      <w:r w:rsidR="00475360">
        <w:instrText xml:space="preserve"> ADDIN ZOTERO_ITEM CSL_CITATION {"citationID":"Ze48qZo2","properties":{"formattedCitation":"(Burnham et al., 2011; Yoccoz, 1991)","plainCitation":"(Burnham et al., 2011; Yoccoz, 1991)","noteIndex":0},"citationItems":[{"id":1043,"uris":["http://zotero.org/users/13901503/items/MUQFF6P5"],"itemData":{"id":1043,"type":"article-journal","abstract":"We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P."}],"issued":{"date-parts":[["2011",1,1]]}}},{"id":1698,"uris":["http://zotero.org/users/13901503/items/BN6B54VG"],"itemData":{"id":1698,"type":"article-journal","container-title":"Bulletin of the Ecological Society of America","ISSN":"0012-9623","issue":"2","note":"publisher: [Wiley, Ecological Society of America]","page":"106-111","source":"JSTOR","title":"Use, Overuse, and Misuse of Significance Tests in Evolutionary Biology and Ecology","volume":"72","author":[{"family":"Yoccoz","given":"Nigel G."}],"issued":{"date-parts":[["1991"]]}}}],"schema":"https://github.com/citation-style-language/schema/raw/master/csl-citation.json"} </w:instrText>
      </w:r>
      <w:r w:rsidR="00475360">
        <w:fldChar w:fldCharType="separate"/>
      </w:r>
      <w:r w:rsidR="00475360">
        <w:rPr>
          <w:noProof/>
        </w:rPr>
        <w:t>(Burnham et al., 2011; Yoccoz, 1991)</w:t>
      </w:r>
      <w:r w:rsidR="00475360">
        <w:fldChar w:fldCharType="end"/>
      </w:r>
      <w:r w:rsidR="00475360">
        <w:t xml:space="preserve">. </w:t>
      </w:r>
    </w:p>
    <w:p w14:paraId="41E6C8B8" w14:textId="60562C46" w:rsidR="003C2694" w:rsidRDefault="003C2694" w:rsidP="009B60BE"/>
    <w:p w14:paraId="16F824DF" w14:textId="2946BEED" w:rsidR="009B60BE" w:rsidRDefault="0081434A" w:rsidP="009B60BE">
      <w:pPr>
        <w:rPr>
          <w:u w:val="single"/>
        </w:rPr>
      </w:pPr>
      <w:r>
        <w:rPr>
          <w:u w:val="single"/>
        </w:rPr>
        <w:t>Temperature d</w:t>
      </w:r>
      <w:r w:rsidR="00A32281" w:rsidRPr="00A32281">
        <w:rPr>
          <w:u w:val="single"/>
        </w:rPr>
        <w:t xml:space="preserve">ifferential abundance </w:t>
      </w:r>
      <w:r>
        <w:rPr>
          <w:u w:val="single"/>
        </w:rPr>
        <w:t>analysis</w:t>
      </w:r>
    </w:p>
    <w:p w14:paraId="6E25032A" w14:textId="358F6013" w:rsidR="00344E58" w:rsidRDefault="00344E58" w:rsidP="00344E58">
      <w:r>
        <w:t xml:space="preserve">Similar to our community feature analysis, we used a comparative modeling approach to evaluate </w:t>
      </w:r>
      <w:r w:rsidR="00AA1E85">
        <w:t>which</w:t>
      </w:r>
      <w:r>
        <w:t xml:space="preserve"> individual taxa abundances are related to temperature. T</w:t>
      </w:r>
      <w:r w:rsidR="00363B4D">
        <w:t xml:space="preserve">he number of reads per </w:t>
      </w:r>
      <w:r w:rsidR="00363B4D">
        <w:lastRenderedPageBreak/>
        <w:t>taxa w</w:t>
      </w:r>
      <w:r w:rsidR="004358B6">
        <w:t>as</w:t>
      </w:r>
      <w:r w:rsidR="00363B4D">
        <w:t xml:space="preserve"> aggregated on </w:t>
      </w:r>
      <w:r w:rsidR="00EB0FF1">
        <w:t xml:space="preserve">the family and genus levels using the </w:t>
      </w:r>
      <w:proofErr w:type="spellStart"/>
      <w:r w:rsidR="00FC65B2">
        <w:t>tax_glom</w:t>
      </w:r>
      <w:proofErr w:type="spellEnd"/>
      <w:r w:rsidR="00FC65B2">
        <w:t xml:space="preserve"> function in the {</w:t>
      </w:r>
      <w:proofErr w:type="spellStart"/>
      <w:r w:rsidR="00FC65B2">
        <w:t>phyloseq</w:t>
      </w:r>
      <w:proofErr w:type="spellEnd"/>
      <w:r w:rsidR="00FC65B2">
        <w:t xml:space="preserve">} package and </w:t>
      </w:r>
      <w:r w:rsidR="005D59FC">
        <w:t xml:space="preserve">then used to </w:t>
      </w:r>
      <w:r w:rsidR="00FC65B2">
        <w:t>calculate the relative abundance of each taxa by dividing the number of reads per taxa by the total number of reads per sample. Taxa with less than 0.2% average relative abundance across all samples were removed to avoid analyzing</w:t>
      </w:r>
      <w:r w:rsidR="005D59FC">
        <w:t xml:space="preserve"> extremely</w:t>
      </w:r>
      <w:r w:rsidR="00FC65B2">
        <w:t xml:space="preserve"> low</w:t>
      </w:r>
      <w:r w:rsidR="004358B6">
        <w:t xml:space="preserve"> </w:t>
      </w:r>
      <w:r w:rsidR="00FC65B2">
        <w:t>abundance</w:t>
      </w:r>
      <w:r w:rsidR="004358B6">
        <w:t xml:space="preserve"> taxa,</w:t>
      </w:r>
      <w:r w:rsidR="00FC65B2">
        <w:t xml:space="preserve"> </w:t>
      </w:r>
      <w:r w:rsidR="004358B6">
        <w:t>resulting in 134 genera and 79 families to be used for differential abundance testing.</w:t>
      </w:r>
      <w:r>
        <w:t xml:space="preserve"> </w:t>
      </w:r>
    </w:p>
    <w:p w14:paraId="2E57E335" w14:textId="77777777" w:rsidR="00344E58" w:rsidRDefault="00344E58" w:rsidP="00344E58"/>
    <w:p w14:paraId="70C0C364" w14:textId="7FDE5830" w:rsidR="00344E58" w:rsidRDefault="00344E58" w:rsidP="00344E58">
      <w:r>
        <w:t xml:space="preserve">We built two generalized linear mixed models (GLMMs) </w:t>
      </w:r>
      <w:r w:rsidR="00B92BA2">
        <w:t>using</w:t>
      </w:r>
      <w:r>
        <w:t xml:space="preserve"> a negative binomial distribution</w:t>
      </w:r>
      <w:r w:rsidR="00B92BA2">
        <w:t xml:space="preserve"> with a log link function</w:t>
      </w:r>
      <w:r>
        <w:t xml:space="preserve"> and used individual family and genera abundances as our outcome variables. Negative binomial GLMMs </w:t>
      </w:r>
      <w:r w:rsidR="00B92BA2">
        <w:t xml:space="preserve">were used because they </w:t>
      </w:r>
      <w:r>
        <w:t xml:space="preserve">can effectively model over-dispersed, zero-inflated count data typical of microbiome datasets and can account for repeated measurements in longitudinal studies by incorporating random effects </w:t>
      </w:r>
      <w:r>
        <w:fldChar w:fldCharType="begin"/>
      </w:r>
      <w:r>
        <w:instrText xml:space="preserve"> ADDIN ZOTERO_ITEM CSL_CITATION {"citationID":"rVFSfUFA","properties":{"formattedCitation":"(Zhang et al., 2018)","plainCitation":"(Zhang et al., 2018)","noteIndex":0},"citationItems":[{"id":1248,"uris":["http://zotero.org/users/13901503/items/ATW2MVB6"],"itemData":{"id":1248,"type":"article-journal","abstract":"&lt;p&gt;The metagenomics sequencing data provide valuable resources for investigating the associations between the microbiome and host environmental/clinical factors and the dynamic changes of microbial abundance over time. The distinct properties of microbiome measurements include varied total sequence reads across samples, over-dispersion and zero-inflation. Additionally, microbiome studies usually collect samples longitudinally, which introduces time-dependent and correlation structures among the samples and thus further complicates the analysis and interpretation of microbiome count data. In this article, we propose negative binomial mixed models (NBMMs) for longitudinal microbiome studies. The proposed NBMMs can efficiently handle over-dispersion and varying total reads, and can account for the dynamic trend and correlation among longitudinal samples. We develop an efficient and stable algorithm to fit the NBMMs. We evaluate and demonstrate the NBMMs method via extensive simulation studies and application to a longitudinal microbiome data. The results show that the proposed method has desirable properties and outperform the previously used methods in terms of flexible framework for modeling correlation structures and detecting dynamic effects. We have developed an R package NBZIMM to implement the proposed method, which is freely available from the public GitHub repository &lt;ext-link ext-link-type=\"uri\" xlink:href=\"http://github.com//nyiuab//NBZIMM\" xmlns:xlink=\"http://www.w3.org/1999/xlink\"&gt;http://github.com//nyiuab//NBZIMM&lt;/ext-link&gt; and provides a useful tool for analyzing longitudinal microbiome data.&lt;/p&gt;","container-title":"Frontiers in Microbiology","DOI":"10.3389/fmicb.2018.01683","ISSN":"1664-302X","journalAbbreviation":"Front. Microbiol.","language":"English","note":"publisher: Frontiers","source":"Frontiers","title":"Negative Binomial Mixed Models for Analyzing Longitudinal Microbiome Data","URL":"https://www.frontiersin.org/journals/microbiology/articles/10.3389/fmicb.2018.01683/full","volume":"9","author":[{"family":"Zhang","given":"Xinyan"},{"family":"Pei","given":"Yu-Fang"},{"family":"Zhang","given":"Lei"},{"family":"Guo","given":"Boyi"},{"family":"Pendegraft","given":"Amanda H."},{"family":"Zhuang","given":"Wenzhuo"},{"family":"Yi","given":"Nengjun"}],"accessed":{"date-parts":[["2024",11,14]]},"issued":{"date-parts":[["2018",7,26]]}}}],"schema":"https://github.com/citation-style-language/schema/raw/master/csl-citation.json"} </w:instrText>
      </w:r>
      <w:r>
        <w:fldChar w:fldCharType="separate"/>
      </w:r>
      <w:r>
        <w:rPr>
          <w:noProof/>
        </w:rPr>
        <w:t>(Zhang et al., 2018)</w:t>
      </w:r>
      <w:r>
        <w:fldChar w:fldCharType="end"/>
      </w:r>
      <w:r>
        <w:t>.</w:t>
      </w:r>
      <w:r w:rsidRPr="00344E58">
        <w:t xml:space="preserve"> </w:t>
      </w:r>
      <w:r>
        <w:t xml:space="preserve"> Each taxa was modeled twice, once with each model, and </w:t>
      </w:r>
      <w:r w:rsidR="003D5B72">
        <w:t xml:space="preserve">model fit was compared using </w:t>
      </w:r>
      <w:proofErr w:type="spellStart"/>
      <w:r w:rsidR="003D5B72">
        <w:t>AICc</w:t>
      </w:r>
      <w:proofErr w:type="spellEnd"/>
      <w:r>
        <w:t xml:space="preserve">.  The first model, </w:t>
      </w:r>
      <w:proofErr w:type="spellStart"/>
      <w:r w:rsidRPr="00AA1E85">
        <w:rPr>
          <w:i/>
          <w:iCs/>
        </w:rPr>
        <w:t>m_main</w:t>
      </w:r>
      <w:proofErr w:type="spellEnd"/>
      <w:r w:rsidR="00AA1E85">
        <w:t>,</w:t>
      </w:r>
      <w:r>
        <w:t xml:space="preserve"> included predictors for social group, age, sex, rainfall,</w:t>
      </w:r>
      <w:r w:rsidR="00B92BA2">
        <w:t xml:space="preserve"> </w:t>
      </w:r>
      <w:r>
        <w:t xml:space="preserve">and fruit consumption. The second model, </w:t>
      </w:r>
      <w:proofErr w:type="spellStart"/>
      <w:r w:rsidRPr="00AA1E85">
        <w:rPr>
          <w:i/>
          <w:iCs/>
        </w:rPr>
        <w:t>m_full</w:t>
      </w:r>
      <w:proofErr w:type="spellEnd"/>
      <w:r w:rsidR="00AA1E85">
        <w:t>,</w:t>
      </w:r>
      <w:r>
        <w:t xml:space="preserve"> included all of the same predictors with an additional predictor for temperature.</w:t>
      </w:r>
      <w:r w:rsidR="004358B6">
        <w:t xml:space="preserve"> </w:t>
      </w:r>
      <w:r>
        <w:t xml:space="preserve">Both models included a random intercept for individuals to control for repeated sampling and an offset for the log-transformed number of reads to control for differences in sequencing depth between samples. </w:t>
      </w:r>
      <w:r w:rsidR="00B92BA2">
        <w:t>Similar to our community feature analysis, fruit consumption was included to better isolate the relationship between temperature and individual taxa while accounting for diet components also related to temperature.</w:t>
      </w:r>
      <w:r w:rsidR="00732E8F">
        <w:t xml:space="preserve"> </w:t>
      </w:r>
      <w:r w:rsidR="00B92BA2">
        <w:t>However, we</w:t>
      </w:r>
      <w:r>
        <w:t xml:space="preserve"> did not include diet diversity as a predictor to reduce model complexity and facilitate</w:t>
      </w:r>
      <w:r w:rsidR="00B92BA2">
        <w:t xml:space="preserve"> </w:t>
      </w:r>
      <w:r>
        <w:t xml:space="preserve">model convergence. </w:t>
      </w:r>
      <w:r w:rsidR="00AA1E85">
        <w:t xml:space="preserve">We scaled all continuous predictors. </w:t>
      </w:r>
      <w:r>
        <w:t xml:space="preserve">Model weights were used to </w:t>
      </w:r>
      <w:r w:rsidR="00AA1E85">
        <w:t>evaluate</w:t>
      </w:r>
      <w:r>
        <w:t xml:space="preserve"> the importance of temperature as a predictor of individual taxa</w:t>
      </w:r>
      <w:r w:rsidR="00B92BA2">
        <w:t xml:space="preserve"> abundance</w:t>
      </w:r>
      <w:r>
        <w:t xml:space="preserve">. </w:t>
      </w:r>
      <w:r w:rsidR="00B92BA2">
        <w:t xml:space="preserve">Taxa where </w:t>
      </w:r>
      <w:proofErr w:type="spellStart"/>
      <w:r w:rsidR="00B92BA2" w:rsidRPr="00AA1E85">
        <w:rPr>
          <w:i/>
          <w:iCs/>
        </w:rPr>
        <w:t>m_full</w:t>
      </w:r>
      <w:proofErr w:type="spellEnd"/>
      <w:r w:rsidR="00B92BA2">
        <w:t xml:space="preserve"> held greater than 50% of the model weight were considered temperature sensitive. </w:t>
      </w:r>
    </w:p>
    <w:p w14:paraId="6FF88C5C" w14:textId="2E14B483" w:rsidR="00344E58" w:rsidRDefault="00344E58" w:rsidP="00344E58"/>
    <w:p w14:paraId="5A2CE29B" w14:textId="256D1895" w:rsidR="0026367F" w:rsidRDefault="00CD4F74" w:rsidP="0023189F">
      <w:r>
        <w:t>Given that most individual taxa exhibited a negative relationship with temperature, we used another comparative modeling approach to assess whether this relationship was non-linear.</w:t>
      </w:r>
      <w:r w:rsidR="004A1A9F">
        <w:t xml:space="preserve"> First, we filtered for taxa that were temperature-sensitive (i.e.</w:t>
      </w:r>
      <w:r w:rsidR="00AA1E85">
        <w:t xml:space="preserve"> taxa where</w:t>
      </w:r>
      <w:r w:rsidR="004A1A9F">
        <w:t xml:space="preserve"> </w:t>
      </w:r>
      <w:proofErr w:type="spellStart"/>
      <w:r w:rsidR="004A1A9F" w:rsidRPr="00AA1E85">
        <w:rPr>
          <w:i/>
          <w:iCs/>
        </w:rPr>
        <w:t>m_full</w:t>
      </w:r>
      <w:proofErr w:type="spellEnd"/>
      <w:r w:rsidR="004A1A9F">
        <w:t xml:space="preserve"> held greater than 50% of the model weight)</w:t>
      </w:r>
      <w:r w:rsidR="00AA1E85">
        <w:t>.</w:t>
      </w:r>
      <w:r w:rsidR="00686862">
        <w:t xml:space="preserve"> </w:t>
      </w:r>
      <w:r w:rsidR="00AA1E85">
        <w:t>T</w:t>
      </w:r>
      <w:r w:rsidR="004A1A9F">
        <w:t>hen</w:t>
      </w:r>
      <w:r w:rsidR="00AA1E85">
        <w:t>,</w:t>
      </w:r>
      <w:r w:rsidR="004A1A9F">
        <w:t xml:space="preserve"> we filtered for taxa with a negative beta coefficient for temperature. We built two generalized additive models</w:t>
      </w:r>
      <w:r w:rsidR="00942019">
        <w:t xml:space="preserve"> (GAMs) using a negative binomial distribution with a log link function and </w:t>
      </w:r>
      <w:r w:rsidR="00AA1E85">
        <w:t xml:space="preserve">the taxa abundances were used as outcome variables. </w:t>
      </w:r>
      <w:r w:rsidR="004A1A9F">
        <w:t xml:space="preserve">Both </w:t>
      </w:r>
      <w:r w:rsidR="00942019">
        <w:t>GAMs used</w:t>
      </w:r>
      <w:r w:rsidR="004A1A9F">
        <w:t xml:space="preserve"> the same predictors as </w:t>
      </w:r>
      <w:proofErr w:type="spellStart"/>
      <w:r w:rsidR="004A1A9F" w:rsidRPr="00AA1E85">
        <w:rPr>
          <w:i/>
          <w:iCs/>
        </w:rPr>
        <w:t>m_full</w:t>
      </w:r>
      <w:proofErr w:type="spellEnd"/>
      <w:r w:rsidR="004A1A9F">
        <w:t xml:space="preserve">   (i.e. social group, age, sex, rainfall, fruit consumption, temperature, random effect for ID, l</w:t>
      </w:r>
      <w:r w:rsidR="00942019">
        <w:t>og total reads offset)</w:t>
      </w:r>
      <w:r w:rsidR="00686862">
        <w:t>,</w:t>
      </w:r>
      <w:r w:rsidR="00942019">
        <w:t xml:space="preserve"> but the first</w:t>
      </w:r>
      <w:r w:rsidR="00AA1E85">
        <w:t xml:space="preserve"> model</w:t>
      </w:r>
      <w:r w:rsidR="00942019">
        <w:t xml:space="preserve">, </w:t>
      </w:r>
      <w:proofErr w:type="spellStart"/>
      <w:r w:rsidR="00942019" w:rsidRPr="00AA1E85">
        <w:rPr>
          <w:i/>
          <w:iCs/>
        </w:rPr>
        <w:t>gam_main</w:t>
      </w:r>
      <w:proofErr w:type="spellEnd"/>
      <w:r w:rsidR="00AA1E85">
        <w:t>,</w:t>
      </w:r>
      <w:r w:rsidR="00942019">
        <w:t xml:space="preserve">  modeled temperature as a linear predictor whereas the second</w:t>
      </w:r>
      <w:r w:rsidR="00AA1E85">
        <w:t xml:space="preserve"> model, </w:t>
      </w:r>
      <w:proofErr w:type="spellStart"/>
      <w:r w:rsidR="00942019" w:rsidRPr="00AA1E85">
        <w:rPr>
          <w:i/>
          <w:iCs/>
        </w:rPr>
        <w:t>gam_full</w:t>
      </w:r>
      <w:proofErr w:type="spellEnd"/>
      <w:r w:rsidR="00942019">
        <w:t xml:space="preserve">, modeled temperature with a spline. </w:t>
      </w:r>
      <w:r w:rsidR="00AA1E85">
        <w:t xml:space="preserve">Using a spline to model the temperature predictor allowed </w:t>
      </w:r>
      <w:r w:rsidR="00647CFC">
        <w:t xml:space="preserve">the </w:t>
      </w:r>
      <w:r w:rsidR="00686862">
        <w:t>model to evaluate the non-linear relationship between temperature and taxa abundance.</w:t>
      </w:r>
      <w:r w:rsidR="00AA1E85" w:rsidRPr="00AA1E85">
        <w:t xml:space="preserve"> </w:t>
      </w:r>
      <w:r w:rsidR="00AA1E85">
        <w:t xml:space="preserve">We scaled all continuous predictors. </w:t>
      </w:r>
      <w:r w:rsidR="00686862">
        <w:t xml:space="preserve">Each taxa was modeled twice, once with each model, and </w:t>
      </w:r>
      <w:r w:rsidR="003D5B72">
        <w:t xml:space="preserve">model fit was compared using </w:t>
      </w:r>
      <w:proofErr w:type="spellStart"/>
      <w:r w:rsidR="003D5B72">
        <w:t>AICc</w:t>
      </w:r>
      <w:proofErr w:type="spellEnd"/>
      <w:r w:rsidR="00686862">
        <w:t>. Taxa where “</w:t>
      </w:r>
      <w:proofErr w:type="spellStart"/>
      <w:r w:rsidR="00686862">
        <w:t>gam_full</w:t>
      </w:r>
      <w:proofErr w:type="spellEnd"/>
      <w:r w:rsidR="00686862">
        <w:t>” held greater than 50% of the model weight were considered to have a non-linear relationship with temperature.</w:t>
      </w:r>
    </w:p>
    <w:p w14:paraId="37A24723" w14:textId="77777777" w:rsidR="0026367F" w:rsidRDefault="0026367F" w:rsidP="0023189F"/>
    <w:p w14:paraId="168F56F7" w14:textId="041F21D2" w:rsidR="00F159B6" w:rsidRDefault="00022392" w:rsidP="0023189F">
      <w:r>
        <w:t>To assess whether individual taxa exhibit a common "tipping point" where abundances decline beyond a certain temperature, we grouped taxa into clusters based on the shape of their non-linear relationships with temperature.</w:t>
      </w:r>
      <w:r w:rsidR="00364FDA">
        <w:t xml:space="preserve"> For each tax</w:t>
      </w:r>
      <w:r w:rsidR="00AA1E85">
        <w:t>on</w:t>
      </w:r>
      <w:r w:rsidR="00364FDA">
        <w:t xml:space="preserve"> where</w:t>
      </w:r>
      <w:r w:rsidR="00AA1E85">
        <w:t xml:space="preserve">, </w:t>
      </w:r>
      <w:proofErr w:type="spellStart"/>
      <w:r w:rsidR="00AA1E85" w:rsidRPr="00AA1E85">
        <w:rPr>
          <w:i/>
          <w:iCs/>
        </w:rPr>
        <w:t>g</w:t>
      </w:r>
      <w:r w:rsidR="00364FDA" w:rsidRPr="00AA1E85">
        <w:rPr>
          <w:i/>
          <w:iCs/>
        </w:rPr>
        <w:t>am_full</w:t>
      </w:r>
      <w:proofErr w:type="spellEnd"/>
      <w:r w:rsidR="00AA1E85">
        <w:t>,</w:t>
      </w:r>
      <w:r w:rsidR="00364FDA">
        <w:t xml:space="preserve"> held greater than 50% of the model weight, we used </w:t>
      </w:r>
      <w:r w:rsidR="00AA1E85">
        <w:t xml:space="preserve">the </w:t>
      </w:r>
      <w:proofErr w:type="spellStart"/>
      <w:r w:rsidR="00364FDA" w:rsidRPr="00AA1E85">
        <w:rPr>
          <w:i/>
          <w:iCs/>
        </w:rPr>
        <w:t>gam_full</w:t>
      </w:r>
      <w:proofErr w:type="spellEnd"/>
      <w:r w:rsidR="00364FDA">
        <w:t xml:space="preserve"> model to predict abundance values over the entire temperature range on the log scale. </w:t>
      </w:r>
      <w:r w:rsidR="001E63E6">
        <w:t xml:space="preserve">Pairwise distances between taxa were computed using a correlation matrix because correlation-based distances are better suited for clustering by shape </w:t>
      </w:r>
      <w:r w:rsidR="001E63E6">
        <w:lastRenderedPageBreak/>
        <w:t xml:space="preserve">rather than magnitude </w:t>
      </w:r>
      <w:r w:rsidR="001E63E6">
        <w:fldChar w:fldCharType="begin"/>
      </w:r>
      <w:r w:rsidR="001E63E6">
        <w:instrText xml:space="preserve"> ADDIN ZOTERO_ITEM CSL_CITATION {"citationID":"Yk7BwNsT","properties":{"formattedCitation":"(Tiessen et al., 2017)","plainCitation":"(Tiessen et al., 2017)","noteIndex":0},"citationItems":[{"id":1244,"uris":["http://zotero.org/users/13901503/items/G9J4J9T3"],"itemData":{"id":1244,"type":"article-journal","abstract":"Heatmap cluster figures are often used to represent data sets in the omic sciences. The default option of the frequently used R heatmap function is to cluster data according to Euclidean distance, which groups data mainly to their numerical value and not to its relative behaviour. The disadvantage of using the default clustering dendrograms of R is demonstrated. Instead, a script is provided that uses correlation as distance function, which better reveals biologically meaningful information. This optimized script was used to detect heterotic groups in Vitamaize hybrids (purple maize with high nutraceutical value). A field trial with different genetic combinations was performed through an agricultural phenomics approach (holistic evaluation of the phenotype). The grain yield data and other phenotypic variables were represented through heatmap figures. In the data set of Mexican tropical maize germplasm, at least three heterotic groups were detected, in contrast to only two heterotic groups reported earlier in temperate yellow maize from USA and Europe. This optimized script for heatmap correlation bicluster can also be used to better represent metabolomic fingerprints and transcriptomic data sets.","container-title":"American Journal of Plant Sciences","DOI":"10.4236/ajps.2017.83035","issue":"3","language":"en","license":"http://creativecommons.org/licenses/by/4.0/","note":"number: 3\npublisher: Scientific Research Publishing","page":"502-516","source":"www.scirp.org","title":"Improved Representation of Biological Information by Using Correlation as Distance Function for Heatmap Cluster Analysis","volume":"8","author":[{"family":"Tiessen","given":"Axel"},{"family":"Cubedo-Ruiz","given":"Edgar A."},{"family":"Winkler","given":"Robert"}],"issued":{"date-parts":[["2017",2,4]]}}}],"schema":"https://github.com/citation-style-language/schema/raw/master/csl-citation.json"} </w:instrText>
      </w:r>
      <w:r w:rsidR="001E63E6">
        <w:fldChar w:fldCharType="separate"/>
      </w:r>
      <w:r w:rsidR="001E63E6">
        <w:rPr>
          <w:noProof/>
        </w:rPr>
        <w:t>(Tiessen et al., 2017)</w:t>
      </w:r>
      <w:r w:rsidR="001E63E6">
        <w:fldChar w:fldCharType="end"/>
      </w:r>
      <w:r w:rsidR="001E63E6">
        <w:t xml:space="preserve">. This approach allowed us to focus on clustering by </w:t>
      </w:r>
      <w:r w:rsidR="00F159B6">
        <w:t xml:space="preserve">the shape of the non-linear relationship because </w:t>
      </w:r>
      <w:r w:rsidR="001E63E6">
        <w:t xml:space="preserve">individual taxa often vary drastically in abundance. Hierarchical clustering was performed using the </w:t>
      </w:r>
      <w:proofErr w:type="spellStart"/>
      <w:r w:rsidR="001E63E6">
        <w:t>hclust</w:t>
      </w:r>
      <w:proofErr w:type="spellEnd"/>
      <w:r w:rsidR="00AA1E85">
        <w:t>()</w:t>
      </w:r>
      <w:r w:rsidR="001E63E6">
        <w:t xml:space="preserve"> function from the {stats} package</w:t>
      </w:r>
      <w:r w:rsidR="00787E3A">
        <w:t xml:space="preserve"> and three clusters were selected (fig s)</w:t>
      </w:r>
      <w:r w:rsidR="00F159B6">
        <w:t>. The elbow method was used to determine the optimal number of clusters</w:t>
      </w:r>
      <w:r w:rsidR="00787E3A">
        <w:t xml:space="preserve"> (fig s)</w:t>
      </w:r>
      <w:r w:rsidR="00464162">
        <w:t xml:space="preserve"> by </w:t>
      </w:r>
      <w:r w:rsidR="00F159B6">
        <w:t xml:space="preserve">selecting the point where adding another cluster did not meaningfully reduce the within-cluster sum of squares </w:t>
      </w:r>
      <w:r w:rsidR="00F159B6">
        <w:fldChar w:fldCharType="begin"/>
      </w:r>
      <w:r w:rsidR="00F159B6">
        <w:instrText xml:space="preserve"> ADDIN ZOTERO_ITEM CSL_CITATION {"citationID":"xWOBWluI","properties":{"formattedCitation":"(Syakur et al., 2018)","plainCitation":"(Syakur et al., 2018)","noteIndex":0},"citationItems":[{"id":1714,"uris":["http://zotero.org/users/13901503/items/IZ688MNA"],"itemData":{"id":1714,"type":"article-journal","abstract":"Clustering is a data mining technique used to analyse data that has variations and the number of lots. Clustering was process of grouping data into a cluster, so they contained data that is as similar as possible and different from other cluster objects. SMEs Indonesia has a variety of customers, but SMEs do not have the mapping of these customers so they did not know which customers are loyal or otherwise. Customer mapping is a grouping of customer profiling to facilitate analysis and policy of SMEs in the production of goods, especially batik sales. Researchers will use a combination of K-Means method with elbow to improve efficient and effective k-means performance in processing large amounts of data. K-Means Clustering is a localized optimization method that is sensitive to the selection of the starting position from the midpoint of the cluster. So choosing the starting position from the midpoint of a bad cluster will result in K-Means Clustering algorithm resulting in high errors and poor cluster results. The K-means algorithm has problems in determining the best number of clusters. So Elbow looks for the best number of clusters on the K-means method. Based on the results obtained from the process in determining the best number of clusters with elbow method can produce the same number of clusters K on the amount of different data. The result of determining the best number of clusters with elbow method will be the default for characteristic process based on case study. Measurement of k-means value of k-means has resulted in the best clusters based on SSE values on 500 clusters of batik visitors. The result shows the cluster has a sharp decrease is at K = 3, so K as the cut-off point as the best cluster.","container-title":"IOP Conference Series: Materials Science and Engineering","DOI":"10.1088/1757-899X/336/1/012017","ISSN":"1757-899X","issue":"1","journalAbbreviation":"IOP Conf. Ser.: Mater. Sci. Eng.","language":"en","note":"publisher: IOP Publishing","page":"012017","source":"Institute of Physics","title":"Integration K-Means Clustering Method and Elbow Method For Identification of The Best Customer Profile Cluster","volume":"336","author":[{"family":"Syakur","given":"M A"},{"family":"Khotimah","given":"B K"},{"family":"Rochman","given":"E M S"},{"family":"Satoto","given":"B D"}],"issued":{"date-parts":[["2018",4]]}}}],"schema":"https://github.com/citation-style-language/schema/raw/master/csl-citation.json"} </w:instrText>
      </w:r>
      <w:r w:rsidR="00F159B6">
        <w:fldChar w:fldCharType="separate"/>
      </w:r>
      <w:r w:rsidR="00F159B6">
        <w:rPr>
          <w:noProof/>
        </w:rPr>
        <w:t>(Syakur et al., 2018)</w:t>
      </w:r>
      <w:r w:rsidR="00F159B6">
        <w:fldChar w:fldCharType="end"/>
      </w:r>
      <w:r w:rsidR="00F159B6">
        <w:t>. The results of each</w:t>
      </w:r>
      <w:r w:rsidR="00787E3A">
        <w:t xml:space="preserve"> of the three</w:t>
      </w:r>
      <w:r w:rsidR="00F159B6">
        <w:t xml:space="preserve"> cluster</w:t>
      </w:r>
      <w:r w:rsidR="00787E3A">
        <w:t>s</w:t>
      </w:r>
      <w:r w:rsidR="00F159B6">
        <w:t xml:space="preserve"> were visualized by plotting the predictions for each </w:t>
      </w:r>
      <w:commentRangeStart w:id="0"/>
      <w:r w:rsidR="00F159B6">
        <w:t xml:space="preserve">taxa. </w:t>
      </w:r>
      <w:commentRangeEnd w:id="0"/>
      <w:r w:rsidR="0081434A">
        <w:rPr>
          <w:rStyle w:val="CommentReference"/>
        </w:rPr>
        <w:commentReference w:id="0"/>
      </w:r>
    </w:p>
    <w:p w14:paraId="6802A9DA" w14:textId="77777777" w:rsidR="00F159B6" w:rsidRDefault="00F159B6" w:rsidP="0023189F"/>
    <w:p w14:paraId="750031FC" w14:textId="7B2BBA8F" w:rsidR="00CD4F74" w:rsidRPr="0081434A" w:rsidRDefault="0081434A" w:rsidP="0023189F">
      <w:pPr>
        <w:rPr>
          <w:u w:val="single"/>
        </w:rPr>
      </w:pPr>
      <w:r w:rsidRPr="0081434A">
        <w:rPr>
          <w:u w:val="single"/>
        </w:rPr>
        <w:t>Immune and temperature interaction analysis</w:t>
      </w:r>
    </w:p>
    <w:p w14:paraId="2E1D2DBF" w14:textId="7B132245" w:rsidR="00690FDD" w:rsidRDefault="00690FDD" w:rsidP="0023189F">
      <w:r>
        <w:t xml:space="preserve">To assess whether the relationship between temperature and community composition is associated with immune performance, we employed a third comparative modeling approach and used alpha diversity and the first four principal components as outcome variables. Similar to our previous approach, each community feature was modeled twice, once with each model, and </w:t>
      </w:r>
      <w:r w:rsidR="003D5B72">
        <w:t>model fit was compared</w:t>
      </w:r>
      <w:r>
        <w:t xml:space="preserve"> </w:t>
      </w:r>
      <w:r w:rsidR="003D5B72">
        <w:t xml:space="preserve">using </w:t>
      </w:r>
      <w:proofErr w:type="spellStart"/>
      <w:r>
        <w:t>AICc</w:t>
      </w:r>
      <w:proofErr w:type="spellEnd"/>
      <w:r>
        <w:t>. The first</w:t>
      </w:r>
      <w:r w:rsidR="00E17CBD">
        <w:t xml:space="preserve"> model</w:t>
      </w:r>
      <w:r>
        <w:t xml:space="preserve">, </w:t>
      </w:r>
      <w:proofErr w:type="spellStart"/>
      <w:r w:rsidRPr="00E17CBD">
        <w:rPr>
          <w:i/>
          <w:iCs/>
        </w:rPr>
        <w:t>m_immune_main</w:t>
      </w:r>
      <w:proofErr w:type="spellEnd"/>
      <w:r w:rsidR="00E17CBD">
        <w:t>,</w:t>
      </w:r>
      <w:r>
        <w:t xml:space="preserve"> included the same predictors as </w:t>
      </w:r>
      <w:proofErr w:type="spellStart"/>
      <w:r w:rsidRPr="00E17CBD">
        <w:rPr>
          <w:i/>
          <w:iCs/>
        </w:rPr>
        <w:t>m_full</w:t>
      </w:r>
      <w:proofErr w:type="spellEnd"/>
      <w:r>
        <w:t xml:space="preserve"> </w:t>
      </w:r>
      <w:r w:rsidR="00F92E8B">
        <w:t xml:space="preserve">(i.e. social group, age, sex, rainfall, fruit consumption, temperature, random effect for ID, log total reads offset). The second model, </w:t>
      </w:r>
      <w:proofErr w:type="spellStart"/>
      <w:r w:rsidR="00F92E8B" w:rsidRPr="00E17CBD">
        <w:rPr>
          <w:i/>
          <w:iCs/>
        </w:rPr>
        <w:t>m_immune_full</w:t>
      </w:r>
      <w:proofErr w:type="spellEnd"/>
      <w:r w:rsidR="00E17CBD">
        <w:t>,</w:t>
      </w:r>
      <w:r w:rsidR="00F92E8B" w:rsidRPr="00F92E8B">
        <w:t xml:space="preserve"> </w:t>
      </w:r>
      <w:r w:rsidR="00F92E8B">
        <w:t xml:space="preserve">included all of the same predictors with an additional interaction effect between temperature and neopterin. The interaction effect allowed us to test if the relationship between community composition changes depending on neopterin levels. </w:t>
      </w:r>
      <w:r w:rsidR="00724C3E">
        <w:t xml:space="preserve">We scaled all continuous predictors, including neopterin. </w:t>
      </w:r>
      <w:r w:rsidR="00F92E8B">
        <w:t xml:space="preserve">All models were fit as linear mixed models (LMM’s) with a Gaussian distribution except for observed richness, which was fit using a Gamma distribution with a log link function because the variable was </w:t>
      </w:r>
      <w:r w:rsidR="00F92E8B" w:rsidRPr="00364B0D">
        <w:t>continuous, positive, and left</w:t>
      </w:r>
      <w:r w:rsidR="00F92E8B">
        <w:t>-</w:t>
      </w:r>
      <w:r w:rsidR="00F92E8B" w:rsidRPr="00364B0D">
        <w:t>skewed with a long right tail</w:t>
      </w:r>
      <w:r w:rsidR="00F92E8B">
        <w:t>.</w:t>
      </w:r>
    </w:p>
    <w:p w14:paraId="498BDAF5" w14:textId="77777777" w:rsidR="00F92E8B" w:rsidRDefault="00F92E8B" w:rsidP="0023189F"/>
    <w:p w14:paraId="6B0C1CEC" w14:textId="7E1A4A87" w:rsidR="00F25021" w:rsidRDefault="00F92E8B" w:rsidP="00F25021">
      <w:r>
        <w:t>To assess whether the relationship between temperature and individual taxa</w:t>
      </w:r>
      <w:r w:rsidR="00F25021">
        <w:t xml:space="preserve"> </w:t>
      </w:r>
      <w:r>
        <w:t xml:space="preserve">is associated with immune performance, we </w:t>
      </w:r>
      <w:r w:rsidR="00F25021">
        <w:t xml:space="preserve">employed the same model comparison approach but used taxa abundances as outcome variables. First, we filtered for taxa that were temperature-sensitive (i.e. </w:t>
      </w:r>
      <w:proofErr w:type="spellStart"/>
      <w:r w:rsidR="00F25021" w:rsidRPr="00E17CBD">
        <w:rPr>
          <w:i/>
          <w:iCs/>
        </w:rPr>
        <w:t>m_full</w:t>
      </w:r>
      <w:proofErr w:type="spellEnd"/>
      <w:r w:rsidR="00F25021">
        <w:t xml:space="preserve"> held greater than 50% of the model weight). Then, each tax</w:t>
      </w:r>
      <w:r w:rsidR="00E17CBD">
        <w:t>on</w:t>
      </w:r>
      <w:r w:rsidR="00F25021">
        <w:t xml:space="preserve"> was fitted twice, once with </w:t>
      </w:r>
      <w:proofErr w:type="spellStart"/>
      <w:r w:rsidR="00F25021" w:rsidRPr="00E17CBD">
        <w:rPr>
          <w:i/>
          <w:iCs/>
        </w:rPr>
        <w:t>m_immune_main</w:t>
      </w:r>
      <w:proofErr w:type="spellEnd"/>
      <w:r w:rsidR="00F25021">
        <w:t xml:space="preserve"> and once with </w:t>
      </w:r>
      <w:proofErr w:type="spellStart"/>
      <w:r w:rsidR="00F25021" w:rsidRPr="00E17CBD">
        <w:rPr>
          <w:i/>
          <w:iCs/>
        </w:rPr>
        <w:t>m_immune_full</w:t>
      </w:r>
      <w:proofErr w:type="spellEnd"/>
      <w:r w:rsidR="00E17CBD">
        <w:t xml:space="preserve">. Model fit was compared using </w:t>
      </w:r>
      <w:proofErr w:type="spellStart"/>
      <w:r w:rsidR="00E17CBD">
        <w:t>AICc</w:t>
      </w:r>
      <w:proofErr w:type="spellEnd"/>
      <w:r w:rsidR="00E17CBD">
        <w:t xml:space="preserve">. </w:t>
      </w:r>
      <w:r w:rsidR="00F25021">
        <w:t xml:space="preserve">The only difference between these models and the community feature models is that these models were GLMMs with a negative binomial distribution and a log link function. Taxa where </w:t>
      </w:r>
      <w:proofErr w:type="spellStart"/>
      <w:r w:rsidR="00F25021" w:rsidRPr="00E17CBD">
        <w:rPr>
          <w:i/>
          <w:iCs/>
        </w:rPr>
        <w:t>m_immune_full</w:t>
      </w:r>
      <w:proofErr w:type="spellEnd"/>
      <w:r w:rsidR="00F25021">
        <w:t xml:space="preserve"> held greater than 50% of the model weight were considered to have a relationship between temperature and abundance that changes depending on neopterin levels. These taxa were then visualized using a coplot, where the relationship between taxa abundance and temperature was plotted over three ranges of neopterin values. </w:t>
      </w:r>
    </w:p>
    <w:p w14:paraId="07129827" w14:textId="77777777" w:rsidR="00F25021" w:rsidRDefault="00F25021" w:rsidP="00F25021"/>
    <w:p w14:paraId="6870AB06" w14:textId="1EE1582B" w:rsidR="00F25021" w:rsidRDefault="00F25021" w:rsidP="00F25021"/>
    <w:p w14:paraId="496E9229" w14:textId="5EF3F6F0" w:rsidR="0097690E" w:rsidRDefault="00AE374C" w:rsidP="00521E9D">
      <w:r>
        <w:t>Results</w:t>
      </w:r>
    </w:p>
    <w:p w14:paraId="7307A286" w14:textId="77777777" w:rsidR="00AE374C" w:rsidRDefault="00AE374C" w:rsidP="00521E9D"/>
    <w:p w14:paraId="60FB389E" w14:textId="77777777" w:rsidR="00AE374C" w:rsidRDefault="00AE374C" w:rsidP="00AE374C">
      <w:pPr>
        <w:rPr>
          <w:u w:val="single"/>
        </w:rPr>
      </w:pPr>
      <w:r w:rsidRPr="00AE374C">
        <w:rPr>
          <w:u w:val="single"/>
        </w:rPr>
        <w:t xml:space="preserve">Gut microbiome composition is sensitive to temperature </w:t>
      </w:r>
    </w:p>
    <w:p w14:paraId="79C77B5C" w14:textId="77777777" w:rsidR="00F67753" w:rsidRDefault="00F67753" w:rsidP="00AE374C">
      <w:pPr>
        <w:rPr>
          <w:u w:val="single"/>
        </w:rPr>
      </w:pPr>
    </w:p>
    <w:p w14:paraId="172CD7FA" w14:textId="09A46BC4" w:rsidR="00F67753" w:rsidRPr="00F67753" w:rsidRDefault="00F67753" w:rsidP="00AE374C">
      <w:r>
        <w:t xml:space="preserve">Descriptive paragraph on the capuchin gut microbiome? Number of phyla and dominating phyla, how it compared to the other published capuchin guts? </w:t>
      </w:r>
    </w:p>
    <w:p w14:paraId="1849B8DC" w14:textId="77777777" w:rsidR="00887114" w:rsidRDefault="00887114" w:rsidP="00AE374C">
      <w:pPr>
        <w:rPr>
          <w:u w:val="single"/>
        </w:rPr>
      </w:pPr>
    </w:p>
    <w:p w14:paraId="56B9E5AF" w14:textId="23BA68F5" w:rsidR="002678C9" w:rsidRDefault="00AE27F7" w:rsidP="00AE27F7">
      <w:r>
        <w:t xml:space="preserve">We found a strong relationship between temperature and the gut microbiome on the community level and across diverse individual taxa. Our model comparison approach indicated that both alpha and beta diversity are associated with temperature. We evaluated whether adding </w:t>
      </w:r>
      <w:r>
        <w:lastRenderedPageBreak/>
        <w:t>temperature as a predictor to our model improved model fit beyond accounting for known predictors of microbiome composition (i.e., sex, social group, diet, and seasonality). We found that the model that included temperature accounted for 100% of the model weight for all community features, except for principal coordinate 4</w:t>
      </w:r>
      <w:r w:rsidR="00CD66F3">
        <w:t>,</w:t>
      </w:r>
      <w:r>
        <w:t xml:space="preserve"> where it accounted for 90% of the model weight (table s). Both alpha diversity indices showed a reliable, negative relationship with temperature (Shannon </w:t>
      </w:r>
      <w:r w:rsidRPr="00887114">
        <w:t>β</w:t>
      </w:r>
      <w:r>
        <w:rPr>
          <w:vertAlign w:val="subscript"/>
        </w:rPr>
        <w:t>temp</w:t>
      </w:r>
      <w:r>
        <w:t xml:space="preserve"> = -0.49, </w:t>
      </w:r>
      <w:r w:rsidR="00530AA1">
        <w:t>o</w:t>
      </w:r>
      <w:r>
        <w:t xml:space="preserve">bserved </w:t>
      </w:r>
      <w:r w:rsidRPr="00887114">
        <w:t>β</w:t>
      </w:r>
      <w:r>
        <w:rPr>
          <w:vertAlign w:val="subscript"/>
        </w:rPr>
        <w:t>temp</w:t>
      </w:r>
      <w:r>
        <w:t xml:space="preserve"> = -0.49)(fig)</w:t>
      </w:r>
      <w:r w:rsidR="002678C9">
        <w:t xml:space="preserve">. While the effect size for alpha diversity indices was smaller compared to the principal components (fig), alpha diversity appeared to decline steeply with increasing temperatures (fig). Since Shannon’s diversity accounts for community evenness and </w:t>
      </w:r>
      <w:r w:rsidR="00530AA1">
        <w:t xml:space="preserve">observed richness </w:t>
      </w:r>
      <w:r w:rsidR="002678C9">
        <w:t>reflect</w:t>
      </w:r>
      <w:r w:rsidR="00530AA1">
        <w:t>s</w:t>
      </w:r>
      <w:r w:rsidR="002678C9">
        <w:t xml:space="preserve"> the total number of </w:t>
      </w:r>
      <w:r w:rsidR="00530AA1">
        <w:t>ASV’s</w:t>
      </w:r>
      <w:r w:rsidR="002678C9">
        <w:t xml:space="preserve">, this suggests that higher temperatures are associated with reductions in both overall levels of diversity and community evenness. </w:t>
      </w:r>
    </w:p>
    <w:p w14:paraId="6798C33A" w14:textId="77777777" w:rsidR="00AE27F7" w:rsidRDefault="00AE27F7" w:rsidP="00AE27F7"/>
    <w:p w14:paraId="0449233F" w14:textId="27B05DA5" w:rsidR="002678C9" w:rsidRDefault="009D5F53" w:rsidP="00AE374C">
      <w:r>
        <w:t>Consistent with the</w:t>
      </w:r>
      <w:r w:rsidR="00F67753">
        <w:t xml:space="preserve"> community feature analysis, we found that </w:t>
      </w:r>
      <w:r w:rsidR="00566E96">
        <w:t xml:space="preserve">temperature </w:t>
      </w:r>
      <w:r>
        <w:t xml:space="preserve">was associated with the abundance of </w:t>
      </w:r>
      <w:r w:rsidR="00F67753">
        <w:t>diverse individual taxa on both the family and genus level</w:t>
      </w:r>
      <w:r>
        <w:t>s</w:t>
      </w:r>
      <w:r w:rsidR="00F67753">
        <w:t xml:space="preserve">. </w:t>
      </w:r>
      <w:r>
        <w:t xml:space="preserve">Our model comparison approach </w:t>
      </w:r>
      <w:r w:rsidR="00566E96">
        <w:t xml:space="preserve">showed that for </w:t>
      </w:r>
      <w:r>
        <w:t>93 out of 163</w:t>
      </w:r>
      <w:r w:rsidR="00566E96">
        <w:t xml:space="preserve"> total</w:t>
      </w:r>
      <w:r>
        <w:t xml:space="preserve"> taxa tested</w:t>
      </w:r>
      <w:r w:rsidR="00566E96">
        <w:t>,</w:t>
      </w:r>
      <w:r w:rsidRPr="009D5F53">
        <w:t xml:space="preserve"> </w:t>
      </w:r>
      <w:r>
        <w:t xml:space="preserve">the model </w:t>
      </w:r>
      <w:r w:rsidR="002678C9">
        <w:t>that included</w:t>
      </w:r>
      <w:r w:rsidR="00566E96">
        <w:t xml:space="preserve"> </w:t>
      </w:r>
      <w:r>
        <w:t xml:space="preserve">temperature </w:t>
      </w:r>
      <w:r w:rsidR="00566E96">
        <w:t xml:space="preserve">as a </w:t>
      </w:r>
      <w:r>
        <w:t xml:space="preserve">predictor accounted for </w:t>
      </w:r>
      <w:r w:rsidR="00566E96">
        <w:t>more</w:t>
      </w:r>
      <w:r>
        <w:t xml:space="preserve"> than 50% of the model weight (table s). </w:t>
      </w:r>
      <w:r w:rsidR="00566E96">
        <w:t>Among</w:t>
      </w:r>
      <w:r>
        <w:t xml:space="preserve"> the 93 differentially abundant taxa, 38 were families and 56 were genera</w:t>
      </w:r>
      <w:r w:rsidR="0097310C">
        <w:t xml:space="preserve"> spanning ___ number of phyla. </w:t>
      </w:r>
      <w:r w:rsidR="00566E96">
        <w:t>Most taxa showed a</w:t>
      </w:r>
      <w:r>
        <w:t xml:space="preserve"> negative relationship </w:t>
      </w:r>
      <w:r w:rsidR="00566E96">
        <w:t>with temperature</w:t>
      </w:r>
      <w:r w:rsidR="002678C9">
        <w:t>,</w:t>
      </w:r>
      <w:r w:rsidR="0097310C">
        <w:t xml:space="preserve"> where</w:t>
      </w:r>
      <w:r>
        <w:t xml:space="preserve"> 83 of the taxa declined in abundance with increasing temperatures </w:t>
      </w:r>
      <w:commentRangeStart w:id="1"/>
      <w:r>
        <w:t>(fig s)</w:t>
      </w:r>
      <w:commentRangeEnd w:id="1"/>
      <w:r w:rsidR="0091126C">
        <w:rPr>
          <w:rStyle w:val="CommentReference"/>
        </w:rPr>
        <w:commentReference w:id="1"/>
      </w:r>
      <w:r>
        <w:t>.</w:t>
      </w:r>
      <w:r w:rsidR="0091126C">
        <w:t xml:space="preserve"> </w:t>
      </w:r>
      <w:r w:rsidR="007161B2">
        <w:t xml:space="preserve"> </w:t>
      </w:r>
      <w:r w:rsidR="00D27E6C">
        <w:t>For a subset of these taxa, the decline in abundance with increasing temperature was non-linear. In 36 out of the 83 taxa, the model with the smooth term for temperature (to model temperature as a non-linear spline) accounted for more than 50% of the model weight compared to the model with a linear temperature predictor.</w:t>
      </w:r>
      <w:r w:rsidR="007161B2">
        <w:t xml:space="preserve"> </w:t>
      </w:r>
      <w:r w:rsidR="00D27E6C">
        <w:t xml:space="preserve">The non-linear relationships </w:t>
      </w:r>
      <w:r w:rsidR="002678C9">
        <w:t xml:space="preserve">were </w:t>
      </w:r>
      <w:r w:rsidR="007161B2">
        <w:t xml:space="preserve">grouped </w:t>
      </w:r>
      <w:r w:rsidR="00D27E6C">
        <w:t xml:space="preserve">into three main clusters, with the first cluster </w:t>
      </w:r>
      <w:r w:rsidR="007161B2">
        <w:t>containing the most</w:t>
      </w:r>
      <w:r w:rsidR="00D27E6C">
        <w:t xml:space="preserve"> taxa (24 out of the total 36 taxa)(fig s). </w:t>
      </w:r>
      <w:r w:rsidR="002678C9">
        <w:t>This cluster exhibited a tipping point around 29°C, where taxa abundances remained relatively stable before declining at higher temperatures</w:t>
      </w:r>
      <w:r w:rsidR="007161B2">
        <w:t xml:space="preserve"> (fig). </w:t>
      </w:r>
    </w:p>
    <w:p w14:paraId="20B7FBB6" w14:textId="77777777" w:rsidR="00AE374C" w:rsidRPr="00AE374C" w:rsidRDefault="00AE374C" w:rsidP="00AE374C">
      <w:pPr>
        <w:rPr>
          <w:u w:val="single"/>
        </w:rPr>
      </w:pPr>
    </w:p>
    <w:p w14:paraId="31F6B7F0" w14:textId="599085B3" w:rsidR="00AE374C" w:rsidRDefault="00AE374C" w:rsidP="00521E9D">
      <w:pPr>
        <w:rPr>
          <w:u w:val="single"/>
        </w:rPr>
      </w:pPr>
      <w:r w:rsidRPr="00AE374C">
        <w:rPr>
          <w:u w:val="single"/>
        </w:rPr>
        <w:t>Immune performance is related to the gut microbiome’s response to temperature</w:t>
      </w:r>
    </w:p>
    <w:p w14:paraId="6ECB8DE6" w14:textId="65DBD9A2" w:rsidR="0074330C" w:rsidRDefault="0074330C" w:rsidP="00521E9D">
      <w:pPr>
        <w:rPr>
          <w:u w:val="single"/>
        </w:rPr>
      </w:pPr>
    </w:p>
    <w:p w14:paraId="2DA5FACF" w14:textId="77777777" w:rsidR="00FD219D" w:rsidRDefault="00530AA1" w:rsidP="00FD219D">
      <w:r>
        <w:t xml:space="preserve">Immune performance appears to influence the gut microbiome’s response to temperature </w:t>
      </w:r>
      <w:r w:rsidR="00863462">
        <w:t xml:space="preserve">in some aspects of community composition and </w:t>
      </w:r>
      <w:r w:rsidR="00FF6E96">
        <w:t>for several</w:t>
      </w:r>
      <w:r w:rsidR="00863462">
        <w:t xml:space="preserve"> individual taxa. Our model comparison approach indicated that the relationship between temperature and beta diversity may be related to immune performance</w:t>
      </w:r>
      <w:r w:rsidR="00FF6E96">
        <w:t>,</w:t>
      </w:r>
      <w:r w:rsidR="00863462">
        <w:t xml:space="preserve"> but</w:t>
      </w:r>
      <w:r w:rsidR="00495EE3">
        <w:t xml:space="preserve"> </w:t>
      </w:r>
      <w:r w:rsidR="00863462">
        <w:t xml:space="preserve">the relationship between temperature and alpha diversity is </w:t>
      </w:r>
      <w:r w:rsidR="009934EB">
        <w:t xml:space="preserve">not </w:t>
      </w:r>
      <w:r w:rsidR="00FF6E96">
        <w:t>affected by</w:t>
      </w:r>
      <w:r w:rsidR="00863462">
        <w:t xml:space="preserve"> immune performance. We evaluated whether adding an interaction effect between temperature </w:t>
      </w:r>
      <w:r w:rsidR="00FF6E96">
        <w:t xml:space="preserve">and neopterin to our model that already included temperature as a predictor would improve the model fit for the community features. We found that the model that included the interaction accounted for more than 50% of the model weight for all principal coordinates (fig). In contrast, the interaction model accounted for less than 15% of the model weight for the alpha diversity indices (fig). </w:t>
      </w:r>
      <w:r w:rsidR="009934EB">
        <w:t xml:space="preserve"> Principal Component 1 is the only component with reliable confidence intervals (i.e., 95% CIs do not cross zero) and accounts for the greatest proportion of variance among all components. While the confidence intervals for other components are unreliable, the reliable interaction effect for PC1 provides compelling evidence that immune performance is related to the community-level response to temperature. Additionally, PC3 resembles PC1 in model weight and magnitude despite the unreliable confidence intervals (fig), further supporting the interaction effect in explaining beta diversity. In contrast, the low model weight</w:t>
      </w:r>
      <w:r w:rsidR="006E3431">
        <w:t>, small effect sizes, and unreliable confidence intervals</w:t>
      </w:r>
      <w:r w:rsidR="009934EB">
        <w:t xml:space="preserve"> for the interaction effect indicate that alpha diversity </w:t>
      </w:r>
      <w:r w:rsidR="009934EB">
        <w:lastRenderedPageBreak/>
        <w:t xml:space="preserve">response to temperature is independent of immune performance. </w:t>
      </w:r>
      <w:r w:rsidR="00FD219D">
        <w:t>This suggests that even though immune performance does not influence the relationship between diversity or evenness of taxa with temperature, the interaction is instead linked to beta diversity through its influence on the abundance of individual taxa that drive similarity and differences between samples.</w:t>
      </w:r>
    </w:p>
    <w:p w14:paraId="2B5E97BE" w14:textId="77777777" w:rsidR="00FD219D" w:rsidRDefault="00FD219D" w:rsidP="00FD219D"/>
    <w:p w14:paraId="74ED4E48" w14:textId="73D1300A" w:rsidR="001D4CA7" w:rsidRDefault="00344A67" w:rsidP="00FD219D">
      <w:r>
        <w:t xml:space="preserve">Immune performance influences the relationship between temperature and the abundance of individual taxa. </w:t>
      </w:r>
      <w:r w:rsidR="002A3DCE">
        <w:t xml:space="preserve">The same model comparison used for the community feature analysis showed </w:t>
      </w:r>
      <w:r w:rsidR="001D4CA7">
        <w:t xml:space="preserve">that the interaction model accounted for more than 50% of the model weight for 24 out of the 93 individual taxa associated with temperature (fig). </w:t>
      </w:r>
      <w:r>
        <w:t xml:space="preserve">Among these taxa, __ were families and __ were genera spanning ___ number of phyla. </w:t>
      </w:r>
      <w:r w:rsidR="000D0967">
        <w:t>To interpret the interaction</w:t>
      </w:r>
      <w:r w:rsidR="00140951">
        <w:t>,</w:t>
      </w:r>
      <w:r w:rsidR="000D0967">
        <w:t xml:space="preserve"> effect we plotted the relationship between abundance and temperature across four discrete ranges of neopterin values. </w:t>
      </w:r>
      <w:r w:rsidR="00140951" w:rsidRPr="00140951">
        <w:t>Our analysis revealed three distinct effects of neopterin on this relationship: (1) a positive amplifying effect, (2) a reverse effect, and (3) a negative amplifying effect. The positive amplifying effect strengthens an already positive relationship between abundance and temperature, making it increasingly more positive at higher neopterin levels.</w:t>
      </w:r>
      <w:r w:rsidR="00140951">
        <w:t xml:space="preserve"> </w:t>
      </w:r>
      <w:r w:rsidR="00140951" w:rsidRPr="00140951">
        <w:t xml:space="preserve">The reverse effect flips an initially negative relationship between abundance and temperature, </w:t>
      </w:r>
      <w:r w:rsidR="00140951">
        <w:t>making</w:t>
      </w:r>
      <w:r w:rsidR="00140951" w:rsidRPr="00140951">
        <w:t xml:space="preserve"> it positive as neopterin increases</w:t>
      </w:r>
      <w:r w:rsidR="00140951">
        <w:t xml:space="preserve">. </w:t>
      </w:r>
      <w:r w:rsidR="00140951" w:rsidRPr="00140951">
        <w:t>The negative amplifying effect intensifies a negative relationship between abundance and temperature, making it even more negative at higher neopterin levels.</w:t>
      </w:r>
      <w:r w:rsidR="00140951">
        <w:t xml:space="preserve"> </w:t>
      </w:r>
      <w:r w:rsidR="001D4CA7">
        <w:t>The majority of taxa (13 out of 24) exhibited a negative amplifying effect, suggesting that high neopterin levels most commonly exacerbate declines in taxa abundance as temperatures rise.</w:t>
      </w:r>
      <w:r w:rsidR="001C3ECE">
        <w:t xml:space="preserve"> We expect these effects to represent different physiological relationships in the gut-immune axis and their response to ecology.</w:t>
      </w:r>
    </w:p>
    <w:p w14:paraId="2C6FA8EF" w14:textId="77777777" w:rsidR="001D4CA7" w:rsidRDefault="001D4CA7" w:rsidP="00FD219D"/>
    <w:p w14:paraId="5C275201" w14:textId="4C813393" w:rsidR="00CA392E" w:rsidRDefault="00CA392E" w:rsidP="001D4CA7">
      <w:r>
        <w:t xml:space="preserve"> </w:t>
      </w:r>
    </w:p>
    <w:p w14:paraId="4677AA9F" w14:textId="77777777" w:rsidR="008632DA" w:rsidRDefault="008632DA" w:rsidP="00FD219D"/>
    <w:p w14:paraId="0A60290C" w14:textId="5449B1A3" w:rsidR="00FF6E96" w:rsidRDefault="00FF6E96" w:rsidP="00521E9D"/>
    <w:p w14:paraId="199D2050" w14:textId="18D09E38" w:rsidR="0091126C" w:rsidRDefault="0091126C" w:rsidP="00521E9D">
      <w:r>
        <w:t xml:space="preserve"> </w:t>
      </w:r>
    </w:p>
    <w:p w14:paraId="53B8BF39" w14:textId="77777777" w:rsidR="001A1540" w:rsidRDefault="001A1540" w:rsidP="00521E9D"/>
    <w:p w14:paraId="425CC5AF" w14:textId="00A98959" w:rsidR="001A1540" w:rsidRDefault="001A1540" w:rsidP="00521E9D">
      <w:r>
        <w:t xml:space="preserve">Tree methods: </w:t>
      </w:r>
    </w:p>
    <w:p w14:paraId="011D0DAB" w14:textId="40047BB6" w:rsidR="001A1540" w:rsidRDefault="001A1540" w:rsidP="00521E9D"/>
    <w:p w14:paraId="42063D75" w14:textId="5851F684" w:rsidR="005C6E2E" w:rsidRDefault="005C6E2E" w:rsidP="00521E9D">
      <w:r>
        <w:t xml:space="preserve">Problem with de novo trees: based on short fragments that do not carry enough evolutionary signal </w:t>
      </w:r>
    </w:p>
    <w:p w14:paraId="7B9B008D" w14:textId="59AAD466" w:rsidR="00B55C0D" w:rsidRDefault="00B55C0D" w:rsidP="00521E9D">
      <w:r>
        <w:t xml:space="preserve">Why is SEPP better: </w:t>
      </w:r>
    </w:p>
    <w:p w14:paraId="493887CE" w14:textId="77777777" w:rsidR="0016209D" w:rsidRDefault="0016209D" w:rsidP="00521E9D"/>
    <w:p w14:paraId="6ADB44B4" w14:textId="77777777" w:rsidR="0016209D" w:rsidRDefault="0016209D" w:rsidP="00521E9D"/>
    <w:p w14:paraId="34263E27" w14:textId="77777777" w:rsidR="007771DD" w:rsidRDefault="007771DD" w:rsidP="00521E9D"/>
    <w:p w14:paraId="230B64B3" w14:textId="77777777" w:rsidR="007771DD" w:rsidRDefault="007771DD" w:rsidP="00521E9D"/>
    <w:p w14:paraId="61B4BB0C" w14:textId="77777777" w:rsidR="007771DD" w:rsidRDefault="007771DD" w:rsidP="00521E9D"/>
    <w:p w14:paraId="48DAB65A" w14:textId="77777777" w:rsidR="007771DD" w:rsidRDefault="007771DD" w:rsidP="00521E9D"/>
    <w:p w14:paraId="50D89119" w14:textId="77777777" w:rsidR="007771DD" w:rsidRDefault="007771DD" w:rsidP="00521E9D"/>
    <w:p w14:paraId="74AFEB74" w14:textId="77777777" w:rsidR="007771DD" w:rsidRDefault="007771DD" w:rsidP="00521E9D"/>
    <w:p w14:paraId="48ECBA22" w14:textId="77777777" w:rsidR="007771DD" w:rsidRDefault="007771DD" w:rsidP="00521E9D"/>
    <w:p w14:paraId="6761C139" w14:textId="77777777" w:rsidR="007771DD" w:rsidRDefault="007771DD" w:rsidP="00521E9D"/>
    <w:p w14:paraId="759502AD" w14:textId="77777777" w:rsidR="007771DD" w:rsidRDefault="007771DD" w:rsidP="00521E9D"/>
    <w:p w14:paraId="0DCBBE16" w14:textId="77777777" w:rsidR="007771DD" w:rsidRDefault="007771DD" w:rsidP="00521E9D"/>
    <w:p w14:paraId="50B36D86" w14:textId="77777777" w:rsidR="007771DD" w:rsidRDefault="007771DD" w:rsidP="00521E9D"/>
    <w:p w14:paraId="6B1DF069" w14:textId="0E7DA0FF" w:rsidR="0016209D" w:rsidRDefault="007771DD" w:rsidP="00521E9D">
      <w:pPr>
        <w:rPr>
          <w:u w:val="single"/>
        </w:rPr>
      </w:pPr>
      <w:r w:rsidRPr="007771DD">
        <w:rPr>
          <w:u w:val="single"/>
        </w:rPr>
        <w:lastRenderedPageBreak/>
        <w:t>M</w:t>
      </w:r>
      <w:r w:rsidR="0016209D" w:rsidRPr="007771DD">
        <w:rPr>
          <w:u w:val="single"/>
        </w:rPr>
        <w:t xml:space="preserve">etagenomic </w:t>
      </w:r>
      <w:r w:rsidRPr="007771DD">
        <w:rPr>
          <w:u w:val="single"/>
        </w:rPr>
        <w:t>sequencing and processing</w:t>
      </w:r>
      <w:r w:rsidR="0016209D" w:rsidRPr="007771DD">
        <w:rPr>
          <w:u w:val="single"/>
        </w:rPr>
        <w:t xml:space="preserve">: </w:t>
      </w:r>
    </w:p>
    <w:p w14:paraId="1CD1FBBE" w14:textId="53116FAD" w:rsidR="000663E1" w:rsidRDefault="000663E1" w:rsidP="00521E9D">
      <w:pPr>
        <w:rPr>
          <w:u w:val="single"/>
        </w:rPr>
      </w:pPr>
    </w:p>
    <w:p w14:paraId="22D40025" w14:textId="581C7F69" w:rsidR="000663E1" w:rsidRPr="000663E1" w:rsidRDefault="000663E1" w:rsidP="00521E9D">
      <w:r>
        <w:t>Paragraph about the lab</w:t>
      </w:r>
    </w:p>
    <w:p w14:paraId="2101D53A" w14:textId="77777777" w:rsidR="0016209D" w:rsidRDefault="0016209D" w:rsidP="00521E9D"/>
    <w:p w14:paraId="0CEDF1A4" w14:textId="1A9F8F9D" w:rsidR="009E57A6" w:rsidRDefault="0016209D" w:rsidP="003D15B6">
      <w:r>
        <w:t xml:space="preserve">We used </w:t>
      </w:r>
      <w:proofErr w:type="spellStart"/>
      <w:r>
        <w:t>KneadData</w:t>
      </w:r>
      <w:proofErr w:type="spellEnd"/>
      <w:r>
        <w:t xml:space="preserve"> </w:t>
      </w:r>
      <w:r w:rsidR="003D15B6">
        <w:t>(</w:t>
      </w:r>
      <w:r w:rsidR="003D15B6" w:rsidRPr="003D15B6">
        <w:t>v0.12.0</w:t>
      </w:r>
      <w:r w:rsidR="003D15B6">
        <w:t xml:space="preserve">) </w:t>
      </w:r>
      <w:r w:rsidR="00CE327A">
        <w:t>from</w:t>
      </w:r>
      <w:r w:rsidR="003D15B6">
        <w:t xml:space="preserve"> the</w:t>
      </w:r>
      <w:r w:rsidR="00CE327A">
        <w:t xml:space="preserve"> </w:t>
      </w:r>
      <w:proofErr w:type="spellStart"/>
      <w:r w:rsidR="00CE327A">
        <w:t>bioBakery</w:t>
      </w:r>
      <w:proofErr w:type="spellEnd"/>
      <w:r w:rsidR="00CE327A">
        <w:t xml:space="preserve"> 3 </w:t>
      </w:r>
      <w:r w:rsidR="003D15B6">
        <w:t xml:space="preserve">platform </w:t>
      </w:r>
      <w:r w:rsidR="00CE327A">
        <w:t>to perform</w:t>
      </w:r>
      <w:r>
        <w:t xml:space="preserve"> </w:t>
      </w:r>
      <w:r w:rsidR="00162A99">
        <w:t xml:space="preserve">basic </w:t>
      </w:r>
      <w:r w:rsidR="003D15B6">
        <w:t xml:space="preserve">and remove </w:t>
      </w:r>
      <w:r>
        <w:t>host</w:t>
      </w:r>
      <w:r w:rsidR="00162A99">
        <w:t>-</w:t>
      </w:r>
      <w:r>
        <w:t>associated reads</w:t>
      </w:r>
      <w:r w:rsidR="003D15B6">
        <w:t xml:space="preserve"> </w:t>
      </w:r>
      <w:r w:rsidR="003D15B6">
        <w:fldChar w:fldCharType="begin"/>
      </w:r>
      <w:r w:rsidR="003D15B6">
        <w:instrText xml:space="preserve"> ADDIN ZOTERO_ITEM CSL_CITATION {"citationID":"1Zg0y02O","properties":{"formattedCitation":"(Beghini et al., 2021)","plainCitation":"(Beghini et al., 2021)","noteIndex":0},"citationItems":[{"id":968,"uris":["http://zotero.org/users/13901503/items/9YGIV4WL"],"itemData":{"id":968,"type":"article-journal","abstract":"Culture-independent analyses of microbial communities have progressed dramatically in the last decade, particularly due to advances in methods for biological profiling via shotgun metagenomics. Opportunities for improvement continue to accelerate, with greater access to multi-omics, microbial reference genomes, and strain-level diversity. To leverage these, we present bioBakery 3, a set of integrated, improved methods for taxonomic, strain-level, functional, and phylogenetic profiling of metagenomes newly developed to build on the largest set of reference sequences now available. Compared to current alternatives, MetaPhlAn 3 increases the accuracy of taxonomic profiling, and HUMAnN 3 improves that of functional potential and activity. These methods detected novel disease-microbiome links in applications to CRC (1262 metagenomes) and IBD (1635 metagenomes and 817 metatranscriptomes). Strain-level profiling of an additional 4077 metagenomes with StrainPhlAn 3 and PanPhlAn 3 unraveled the phylogenetic and functional structure of the common gut microbe Ruminococcus bromii, previously described by only 15 isolate genomes. With open-source implementations and cloud-deployable reproducible workflows, the bioBakery 3 platform can help researchers deepen the resolution, scale, and accuracy of multi-omic profiling for microbial community studies.","container-title":"eLife","DOI":"10.7554/eLife.65088","ISSN":"2050-084X","note":"publisher: eLife Sciences Publications, Ltd","page":"e65088","source":"eLife","title":"Integrating taxonomic, functional, and strain-level profiling of diverse microbial communities with bioBakery 3","volume":"10","author":[{"family":"Beghini","given":"Francesco"},{"family":"McIver","given":"Lauren J"},{"family":"Blanco-Míguez","given":"Aitor"},{"family":"Dubois","given":"Leonard"},{"family":"Asnicar","given":"Francesco"},{"family":"Maharjan","given":"Sagun"},{"family":"Mailyan","given":"Ana"},{"family":"Manghi","given":"Paolo"},{"family":"Scholz","given":"Matthias"},{"family":"Thomas","given":"Andrew Maltez"},{"family":"Valles-Colomer","given":"Mireia"},{"family":"Weingart","given":"George"},{"family":"Zhang","given":"Yancong"},{"family":"Zolfo","given":"Moreno"},{"family":"Huttenhower","given":"Curtis"},{"family":"Franzosa","given":"Eric A"},{"family":"Segata","given":"Nicola"}],"editor":[{"family":"Turnbaugh","given":"Peter"},{"family":"Franco","given":"Eduardo"},{"family":"Brown","given":"C Titus"}],"issued":{"date-parts":[["2021",5,4]]}}}],"schema":"https://github.com/citation-style-language/schema/raw/master/csl-citation.json"} </w:instrText>
      </w:r>
      <w:r w:rsidR="003D15B6">
        <w:fldChar w:fldCharType="separate"/>
      </w:r>
      <w:r w:rsidR="003D15B6">
        <w:rPr>
          <w:noProof/>
        </w:rPr>
        <w:t>(Beghini et al., 2021)</w:t>
      </w:r>
      <w:r w:rsidR="003D15B6">
        <w:fldChar w:fldCharType="end"/>
      </w:r>
      <w:r w:rsidR="003D15B6">
        <w:t>. We used the standard parameters (</w:t>
      </w:r>
      <w:r w:rsidR="003D15B6" w:rsidRPr="00B16BC5">
        <w:t>SLIDINGWINDOW:4:20 MINLEN:90</w:t>
      </w:r>
      <w:r w:rsidR="003D15B6">
        <w:t>) to trim reads when the average quality score dropped below 20 and remove reads shorter than 90bp.</w:t>
      </w:r>
      <w:r w:rsidR="003D15B6" w:rsidRPr="003D15B6">
        <w:t xml:space="preserve"> </w:t>
      </w:r>
      <w:r w:rsidR="003D15B6">
        <w:t xml:space="preserve">To remove host-associated reads, we used the recommended human database, which has been used to filter host genome data in previous capuchin metagenome studies </w:t>
      </w:r>
      <w:r w:rsidR="003D15B6">
        <w:fldChar w:fldCharType="begin"/>
      </w:r>
      <w:r w:rsidR="003D15B6">
        <w:instrText xml:space="preserve"> ADDIN ZOTERO_ITEM CSL_CITATION {"citationID":"e5PQThsy","properties":{"formattedCitation":"(Orkin et al., 2019)","plainCitation":"(Orkin et al., 2019)","noteIndex":0},"citationItems":[{"id":700,"uris":["http://zotero.org/users/13901503/items/HCYVY6PR"],"itemData":{"id":700,"type":"article-journal","abstract":"Research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rsidR="003D15B6">
        <w:fldChar w:fldCharType="separate"/>
      </w:r>
      <w:r w:rsidR="003D15B6">
        <w:rPr>
          <w:noProof/>
        </w:rPr>
        <w:t>(Orkin et al., 2019)</w:t>
      </w:r>
      <w:r w:rsidR="003D15B6">
        <w:fldChar w:fldCharType="end"/>
      </w:r>
      <w:r w:rsidR="003D15B6">
        <w:t xml:space="preserve">. After preprocessing, we were left with 95 metagenomes, which yielded </w:t>
      </w:r>
      <w:r w:rsidR="003D15B6" w:rsidRPr="00CE327A">
        <w:rPr>
          <w:color w:val="000000"/>
        </w:rPr>
        <w:t>931</w:t>
      </w:r>
      <w:r w:rsidR="003D15B6">
        <w:rPr>
          <w:color w:val="000000"/>
        </w:rPr>
        <w:t>,</w:t>
      </w:r>
      <w:r w:rsidR="003D15B6" w:rsidRPr="00CE327A">
        <w:rPr>
          <w:color w:val="000000"/>
        </w:rPr>
        <w:t>326</w:t>
      </w:r>
      <w:r w:rsidR="003D15B6">
        <w:rPr>
          <w:color w:val="000000"/>
        </w:rPr>
        <w:t>,</w:t>
      </w:r>
      <w:r w:rsidR="003D15B6" w:rsidRPr="00CE327A">
        <w:rPr>
          <w:color w:val="000000"/>
        </w:rPr>
        <w:t>495</w:t>
      </w:r>
      <w:r w:rsidR="003D15B6">
        <w:rPr>
          <w:rFonts w:ascii="Aptos Narrow" w:hAnsi="Aptos Narrow"/>
          <w:color w:val="000000"/>
        </w:rPr>
        <w:t xml:space="preserve"> </w:t>
      </w:r>
      <w:r w:rsidR="003D15B6" w:rsidRPr="00CE327A">
        <w:rPr>
          <w:color w:val="000000"/>
        </w:rPr>
        <w:t>sequencing reads</w:t>
      </w:r>
      <w:r w:rsidR="003D15B6">
        <w:rPr>
          <w:rFonts w:ascii="Aptos Narrow" w:hAnsi="Aptos Narrow"/>
          <w:color w:val="000000"/>
        </w:rPr>
        <w:t xml:space="preserve"> (</w:t>
      </w:r>
      <w:r w:rsidR="003D15B6">
        <w:t xml:space="preserve">average </w:t>
      </w:r>
      <w:r w:rsidR="003D15B6" w:rsidRPr="00CE327A">
        <w:t>9</w:t>
      </w:r>
      <w:r w:rsidR="003D15B6">
        <w:t>,</w:t>
      </w:r>
      <w:r w:rsidR="003D15B6" w:rsidRPr="00CE327A">
        <w:t>803</w:t>
      </w:r>
      <w:r w:rsidR="003D15B6">
        <w:t>,</w:t>
      </w:r>
      <w:r w:rsidR="003D15B6" w:rsidRPr="00CE327A">
        <w:t>43</w:t>
      </w:r>
      <w:r w:rsidR="003D15B6">
        <w:t>7 reads per sample, range of 178,711—</w:t>
      </w:r>
      <w:r w:rsidR="003D15B6" w:rsidRPr="00CE327A">
        <w:t>22</w:t>
      </w:r>
      <w:r w:rsidR="003D15B6">
        <w:t>,</w:t>
      </w:r>
      <w:r w:rsidR="003D15B6" w:rsidRPr="00CE327A">
        <w:t>386</w:t>
      </w:r>
      <w:r w:rsidR="003D15B6">
        <w:t>,</w:t>
      </w:r>
      <w:r w:rsidR="003D15B6" w:rsidRPr="00CE327A">
        <w:t>906</w:t>
      </w:r>
      <w:r w:rsidR="003D15B6">
        <w:t xml:space="preserve">). </w:t>
      </w:r>
      <w:r w:rsidR="009E57A6">
        <w:t>We</w:t>
      </w:r>
      <w:r w:rsidR="00F50C9D">
        <w:t xml:space="preserve"> concatenated the forward and reverse reads </w:t>
      </w:r>
      <w:r w:rsidR="009E57A6">
        <w:t>and used HUMAnN3 (v3.9)</w:t>
      </w:r>
      <w:r w:rsidR="009E57A6" w:rsidRPr="009E57A6">
        <w:t xml:space="preserve"> </w:t>
      </w:r>
      <w:r w:rsidR="009E57A6">
        <w:t>to generate the abundance of biochemical pathways and gene ortholog groups.</w:t>
      </w:r>
    </w:p>
    <w:p w14:paraId="21D18407" w14:textId="77777777" w:rsidR="009E57A6" w:rsidRDefault="009E57A6" w:rsidP="003D15B6"/>
    <w:p w14:paraId="4CF27301" w14:textId="6136FB56" w:rsidR="00CE352F" w:rsidRDefault="00CE352F" w:rsidP="003D15B6">
      <w:r>
        <w:t xml:space="preserve">Need info about </w:t>
      </w:r>
      <w:proofErr w:type="spellStart"/>
      <w:r>
        <w:t>humann</w:t>
      </w:r>
      <w:proofErr w:type="spellEnd"/>
      <w:r>
        <w:t xml:space="preserve"> data, put together </w:t>
      </w:r>
      <w:proofErr w:type="spellStart"/>
      <w:r>
        <w:t>humann</w:t>
      </w:r>
      <w:proofErr w:type="spellEnd"/>
      <w:r>
        <w:t xml:space="preserve"> script, and see how many genes were </w:t>
      </w:r>
      <w:proofErr w:type="spellStart"/>
      <w:r>
        <w:t>unnasigned</w:t>
      </w:r>
      <w:proofErr w:type="spellEnd"/>
      <w:r>
        <w:t xml:space="preserve">, which database did you use, </w:t>
      </w:r>
      <w:proofErr w:type="spellStart"/>
      <w:r>
        <w:t>uniref</w:t>
      </w:r>
      <w:proofErr w:type="spellEnd"/>
      <w:r>
        <w:t xml:space="preserve"> 90 or 50, what are the different outputs etc. </w:t>
      </w:r>
    </w:p>
    <w:p w14:paraId="04C9648F" w14:textId="6C3E3528" w:rsidR="00B16BC5" w:rsidRPr="0091126C" w:rsidRDefault="00B16BC5" w:rsidP="00521E9D"/>
    <w:sectPr w:rsidR="00B16BC5" w:rsidRPr="0091126C"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1-30T11:22:00Z" w:initials="JL">
    <w:p w14:paraId="34AF9FE4" w14:textId="2040DBA0" w:rsidR="0081434A" w:rsidRDefault="0081434A" w:rsidP="0081434A">
      <w:r>
        <w:rPr>
          <w:rStyle w:val="CommentReference"/>
        </w:rPr>
        <w:annotationRef/>
      </w:r>
      <w:r>
        <w:rPr>
          <w:color w:val="000000"/>
          <w:sz w:val="20"/>
          <w:szCs w:val="20"/>
        </w:rPr>
        <w:t>make sure you go back and check these models for convergence errors</w:t>
      </w:r>
    </w:p>
  </w:comment>
  <w:comment w:id="1" w:author="Lucore, Jordan" w:date="2025-02-04T12:48:00Z" w:initials="JL">
    <w:p w14:paraId="40501F7A" w14:textId="681A3C27" w:rsidR="0091126C" w:rsidRDefault="0091126C" w:rsidP="0091126C">
      <w:r>
        <w:rPr>
          <w:rStyle w:val="CommentReference"/>
        </w:rPr>
        <w:annotationRef/>
      </w:r>
      <w:r>
        <w:rPr>
          <w:color w:val="000000"/>
          <w:sz w:val="20"/>
          <w:szCs w:val="20"/>
        </w:rPr>
        <w:t>figure out why some of the taxa aren’t showing up on the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AF9FE4" w15:done="0"/>
  <w15:commentEx w15:paraId="40501F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5F4031" w16cex:dateUtc="2025-01-30T16:22:00Z"/>
  <w16cex:commentExtensible w16cex:durableId="1DF1508B" w16cex:dateUtc="2025-02-04T1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AF9FE4" w16cid:durableId="005F4031"/>
  <w16cid:commentId w16cid:paraId="40501F7A" w16cid:durableId="1DF1508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A53FA"/>
    <w:multiLevelType w:val="hybridMultilevel"/>
    <w:tmpl w:val="E9E22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4B6C57"/>
    <w:multiLevelType w:val="hybridMultilevel"/>
    <w:tmpl w:val="4C141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24555F"/>
    <w:multiLevelType w:val="hybridMultilevel"/>
    <w:tmpl w:val="D76E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777B32"/>
    <w:multiLevelType w:val="hybridMultilevel"/>
    <w:tmpl w:val="FABCB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886A64"/>
    <w:multiLevelType w:val="hybridMultilevel"/>
    <w:tmpl w:val="B8C6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C849DA"/>
    <w:multiLevelType w:val="hybridMultilevel"/>
    <w:tmpl w:val="CFBA9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164715">
    <w:abstractNumId w:val="3"/>
  </w:num>
  <w:num w:numId="2" w16cid:durableId="2100439240">
    <w:abstractNumId w:val="5"/>
  </w:num>
  <w:num w:numId="3" w16cid:durableId="1327585634">
    <w:abstractNumId w:val="2"/>
  </w:num>
  <w:num w:numId="4" w16cid:durableId="1470826050">
    <w:abstractNumId w:val="4"/>
  </w:num>
  <w:num w:numId="5" w16cid:durableId="928732590">
    <w:abstractNumId w:val="1"/>
  </w:num>
  <w:num w:numId="6" w16cid:durableId="7990367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835"/>
    <w:rsid w:val="0000439A"/>
    <w:rsid w:val="00011D30"/>
    <w:rsid w:val="00012720"/>
    <w:rsid w:val="00022392"/>
    <w:rsid w:val="0003332A"/>
    <w:rsid w:val="000365B2"/>
    <w:rsid w:val="0003701E"/>
    <w:rsid w:val="0005281B"/>
    <w:rsid w:val="000663E1"/>
    <w:rsid w:val="00074715"/>
    <w:rsid w:val="00075B95"/>
    <w:rsid w:val="00080884"/>
    <w:rsid w:val="000D0967"/>
    <w:rsid w:val="000E33E1"/>
    <w:rsid w:val="001221F5"/>
    <w:rsid w:val="001243B0"/>
    <w:rsid w:val="00130AA5"/>
    <w:rsid w:val="00140951"/>
    <w:rsid w:val="00141F05"/>
    <w:rsid w:val="00161CFD"/>
    <w:rsid w:val="0016209D"/>
    <w:rsid w:val="00162A99"/>
    <w:rsid w:val="001771F9"/>
    <w:rsid w:val="00191536"/>
    <w:rsid w:val="00192935"/>
    <w:rsid w:val="00196F3A"/>
    <w:rsid w:val="001A1540"/>
    <w:rsid w:val="001C3ECE"/>
    <w:rsid w:val="001D4CA7"/>
    <w:rsid w:val="001D4E08"/>
    <w:rsid w:val="001E63E6"/>
    <w:rsid w:val="00212529"/>
    <w:rsid w:val="0023189F"/>
    <w:rsid w:val="0026367F"/>
    <w:rsid w:val="00265A5E"/>
    <w:rsid w:val="002678C9"/>
    <w:rsid w:val="002A3DCE"/>
    <w:rsid w:val="002E139F"/>
    <w:rsid w:val="0032774C"/>
    <w:rsid w:val="00337EBD"/>
    <w:rsid w:val="00344A67"/>
    <w:rsid w:val="00344E58"/>
    <w:rsid w:val="003467B0"/>
    <w:rsid w:val="00350F02"/>
    <w:rsid w:val="003543BE"/>
    <w:rsid w:val="003563E7"/>
    <w:rsid w:val="003626CF"/>
    <w:rsid w:val="00363B4D"/>
    <w:rsid w:val="00364B0D"/>
    <w:rsid w:val="00364FDA"/>
    <w:rsid w:val="003929CF"/>
    <w:rsid w:val="003C2694"/>
    <w:rsid w:val="003C5A0B"/>
    <w:rsid w:val="003D15B6"/>
    <w:rsid w:val="003D4519"/>
    <w:rsid w:val="003D5B72"/>
    <w:rsid w:val="003D631D"/>
    <w:rsid w:val="003E32DC"/>
    <w:rsid w:val="00402AB5"/>
    <w:rsid w:val="00433393"/>
    <w:rsid w:val="004358B6"/>
    <w:rsid w:val="00455DE1"/>
    <w:rsid w:val="00464162"/>
    <w:rsid w:val="00475360"/>
    <w:rsid w:val="00485154"/>
    <w:rsid w:val="00487A6E"/>
    <w:rsid w:val="00495EE3"/>
    <w:rsid w:val="004A1A9F"/>
    <w:rsid w:val="004A7CFF"/>
    <w:rsid w:val="004B35F8"/>
    <w:rsid w:val="004C1AF1"/>
    <w:rsid w:val="004D5F6D"/>
    <w:rsid w:val="004E2620"/>
    <w:rsid w:val="004F6A4F"/>
    <w:rsid w:val="00510277"/>
    <w:rsid w:val="00513A8D"/>
    <w:rsid w:val="00521E9D"/>
    <w:rsid w:val="005238F1"/>
    <w:rsid w:val="00530AA1"/>
    <w:rsid w:val="0053370D"/>
    <w:rsid w:val="00540B60"/>
    <w:rsid w:val="00541E0C"/>
    <w:rsid w:val="00544BF7"/>
    <w:rsid w:val="00544D33"/>
    <w:rsid w:val="00566E96"/>
    <w:rsid w:val="00575B88"/>
    <w:rsid w:val="005A15EC"/>
    <w:rsid w:val="005C6E2E"/>
    <w:rsid w:val="005D24FC"/>
    <w:rsid w:val="005D59FC"/>
    <w:rsid w:val="006136B8"/>
    <w:rsid w:val="006158D6"/>
    <w:rsid w:val="006261B2"/>
    <w:rsid w:val="00647CFC"/>
    <w:rsid w:val="00667BE5"/>
    <w:rsid w:val="0067040E"/>
    <w:rsid w:val="00686862"/>
    <w:rsid w:val="00690FDD"/>
    <w:rsid w:val="006D67CF"/>
    <w:rsid w:val="006E3431"/>
    <w:rsid w:val="006E3AD1"/>
    <w:rsid w:val="006F0E21"/>
    <w:rsid w:val="006F6832"/>
    <w:rsid w:val="007161B2"/>
    <w:rsid w:val="00724C3E"/>
    <w:rsid w:val="0073053D"/>
    <w:rsid w:val="00732E8F"/>
    <w:rsid w:val="0073633F"/>
    <w:rsid w:val="0074330C"/>
    <w:rsid w:val="00746E02"/>
    <w:rsid w:val="00751B35"/>
    <w:rsid w:val="007563FC"/>
    <w:rsid w:val="00762009"/>
    <w:rsid w:val="007771DD"/>
    <w:rsid w:val="00787E3A"/>
    <w:rsid w:val="007A7158"/>
    <w:rsid w:val="007E2BBA"/>
    <w:rsid w:val="007F4E8B"/>
    <w:rsid w:val="00803548"/>
    <w:rsid w:val="00805F15"/>
    <w:rsid w:val="00813DA0"/>
    <w:rsid w:val="0081434A"/>
    <w:rsid w:val="00815692"/>
    <w:rsid w:val="00817C54"/>
    <w:rsid w:val="00830DDA"/>
    <w:rsid w:val="008360F2"/>
    <w:rsid w:val="00846451"/>
    <w:rsid w:val="008631EB"/>
    <w:rsid w:val="008632DA"/>
    <w:rsid w:val="00863462"/>
    <w:rsid w:val="008739E3"/>
    <w:rsid w:val="00887114"/>
    <w:rsid w:val="008959D6"/>
    <w:rsid w:val="008D3054"/>
    <w:rsid w:val="008E025B"/>
    <w:rsid w:val="008E0849"/>
    <w:rsid w:val="00906045"/>
    <w:rsid w:val="0091126C"/>
    <w:rsid w:val="00942019"/>
    <w:rsid w:val="00944736"/>
    <w:rsid w:val="0097310C"/>
    <w:rsid w:val="0097690E"/>
    <w:rsid w:val="009934EB"/>
    <w:rsid w:val="009A42EB"/>
    <w:rsid w:val="009B2578"/>
    <w:rsid w:val="009B60BE"/>
    <w:rsid w:val="009C594A"/>
    <w:rsid w:val="009D5F53"/>
    <w:rsid w:val="009E09B8"/>
    <w:rsid w:val="009E4697"/>
    <w:rsid w:val="009E57A6"/>
    <w:rsid w:val="009F746A"/>
    <w:rsid w:val="00A00AEA"/>
    <w:rsid w:val="00A011D7"/>
    <w:rsid w:val="00A32281"/>
    <w:rsid w:val="00A62ED3"/>
    <w:rsid w:val="00AA1E85"/>
    <w:rsid w:val="00AA6BEA"/>
    <w:rsid w:val="00AE27F7"/>
    <w:rsid w:val="00AE374C"/>
    <w:rsid w:val="00AF79F9"/>
    <w:rsid w:val="00B010B2"/>
    <w:rsid w:val="00B05B6E"/>
    <w:rsid w:val="00B133A3"/>
    <w:rsid w:val="00B16BC5"/>
    <w:rsid w:val="00B333B9"/>
    <w:rsid w:val="00B55C0D"/>
    <w:rsid w:val="00B831BA"/>
    <w:rsid w:val="00B92BA2"/>
    <w:rsid w:val="00BD42E9"/>
    <w:rsid w:val="00BD50F8"/>
    <w:rsid w:val="00BE3C49"/>
    <w:rsid w:val="00BE5795"/>
    <w:rsid w:val="00BF708A"/>
    <w:rsid w:val="00C03775"/>
    <w:rsid w:val="00C05F08"/>
    <w:rsid w:val="00C4093D"/>
    <w:rsid w:val="00C53131"/>
    <w:rsid w:val="00C54DC5"/>
    <w:rsid w:val="00C566E1"/>
    <w:rsid w:val="00C56B91"/>
    <w:rsid w:val="00C70552"/>
    <w:rsid w:val="00CA392E"/>
    <w:rsid w:val="00CD4F74"/>
    <w:rsid w:val="00CD57B0"/>
    <w:rsid w:val="00CD66F3"/>
    <w:rsid w:val="00CE327A"/>
    <w:rsid w:val="00CE352F"/>
    <w:rsid w:val="00CE49B3"/>
    <w:rsid w:val="00CF493A"/>
    <w:rsid w:val="00D0572C"/>
    <w:rsid w:val="00D05A04"/>
    <w:rsid w:val="00D25951"/>
    <w:rsid w:val="00D27E6C"/>
    <w:rsid w:val="00D32D0D"/>
    <w:rsid w:val="00D37BDE"/>
    <w:rsid w:val="00D5074F"/>
    <w:rsid w:val="00D807D7"/>
    <w:rsid w:val="00D87AF9"/>
    <w:rsid w:val="00DA15A9"/>
    <w:rsid w:val="00E17CBD"/>
    <w:rsid w:val="00E356F2"/>
    <w:rsid w:val="00E46A95"/>
    <w:rsid w:val="00E66835"/>
    <w:rsid w:val="00EB0FF1"/>
    <w:rsid w:val="00EB2753"/>
    <w:rsid w:val="00EB2FDE"/>
    <w:rsid w:val="00ED7AA6"/>
    <w:rsid w:val="00F159B6"/>
    <w:rsid w:val="00F2415B"/>
    <w:rsid w:val="00F25021"/>
    <w:rsid w:val="00F50C9D"/>
    <w:rsid w:val="00F56944"/>
    <w:rsid w:val="00F67753"/>
    <w:rsid w:val="00F836A6"/>
    <w:rsid w:val="00F90FF8"/>
    <w:rsid w:val="00F92E8B"/>
    <w:rsid w:val="00FB7CB1"/>
    <w:rsid w:val="00FC1037"/>
    <w:rsid w:val="00FC47B0"/>
    <w:rsid w:val="00FC65B2"/>
    <w:rsid w:val="00FD219D"/>
    <w:rsid w:val="00FF3798"/>
    <w:rsid w:val="00FF6E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BC7BAC"/>
  <w15:chartTrackingRefBased/>
  <w15:docId w15:val="{9EE4564E-51D7-3448-8F14-AB5205F20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27A"/>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66835"/>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E66835"/>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E66835"/>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66835"/>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E66835"/>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E66835"/>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E66835"/>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E66835"/>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E66835"/>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8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8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8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8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8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835"/>
    <w:rPr>
      <w:rFonts w:eastAsiaTheme="majorEastAsia" w:cstheme="majorBidi"/>
      <w:color w:val="272727" w:themeColor="text1" w:themeTint="D8"/>
    </w:rPr>
  </w:style>
  <w:style w:type="paragraph" w:styleId="Title">
    <w:name w:val="Title"/>
    <w:basedOn w:val="Normal"/>
    <w:next w:val="Normal"/>
    <w:link w:val="TitleChar"/>
    <w:uiPriority w:val="10"/>
    <w:qFormat/>
    <w:rsid w:val="00E6683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66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835"/>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66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835"/>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E66835"/>
    <w:rPr>
      <w:i/>
      <w:iCs/>
      <w:color w:val="404040" w:themeColor="text1" w:themeTint="BF"/>
    </w:rPr>
  </w:style>
  <w:style w:type="paragraph" w:styleId="ListParagraph">
    <w:name w:val="List Paragraph"/>
    <w:basedOn w:val="Normal"/>
    <w:uiPriority w:val="34"/>
    <w:qFormat/>
    <w:rsid w:val="00E66835"/>
    <w:pPr>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E66835"/>
    <w:rPr>
      <w:i/>
      <w:iCs/>
      <w:color w:val="0F4761" w:themeColor="accent1" w:themeShade="BF"/>
    </w:rPr>
  </w:style>
  <w:style w:type="paragraph" w:styleId="IntenseQuote">
    <w:name w:val="Intense Quote"/>
    <w:basedOn w:val="Normal"/>
    <w:next w:val="Normal"/>
    <w:link w:val="IntenseQuoteChar"/>
    <w:uiPriority w:val="30"/>
    <w:qFormat/>
    <w:rsid w:val="00E6683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E66835"/>
    <w:rPr>
      <w:i/>
      <w:iCs/>
      <w:color w:val="0F4761" w:themeColor="accent1" w:themeShade="BF"/>
    </w:rPr>
  </w:style>
  <w:style w:type="character" w:styleId="IntenseReference">
    <w:name w:val="Intense Reference"/>
    <w:basedOn w:val="DefaultParagraphFont"/>
    <w:uiPriority w:val="32"/>
    <w:qFormat/>
    <w:rsid w:val="00E66835"/>
    <w:rPr>
      <w:b/>
      <w:bCs/>
      <w:smallCaps/>
      <w:color w:val="0F4761" w:themeColor="accent1" w:themeShade="BF"/>
      <w:spacing w:val="5"/>
    </w:rPr>
  </w:style>
  <w:style w:type="character" w:styleId="Hyperlink">
    <w:name w:val="Hyperlink"/>
    <w:basedOn w:val="DefaultParagraphFont"/>
    <w:uiPriority w:val="99"/>
    <w:unhideWhenUsed/>
    <w:rsid w:val="009C594A"/>
    <w:rPr>
      <w:color w:val="467886" w:themeColor="hyperlink"/>
      <w:u w:val="single"/>
    </w:rPr>
  </w:style>
  <w:style w:type="character" w:styleId="UnresolvedMention">
    <w:name w:val="Unresolved Mention"/>
    <w:basedOn w:val="DefaultParagraphFont"/>
    <w:uiPriority w:val="99"/>
    <w:semiHidden/>
    <w:unhideWhenUsed/>
    <w:rsid w:val="009C594A"/>
    <w:rPr>
      <w:color w:val="605E5C"/>
      <w:shd w:val="clear" w:color="auto" w:fill="E1DFDD"/>
    </w:rPr>
  </w:style>
  <w:style w:type="character" w:styleId="FollowedHyperlink">
    <w:name w:val="FollowedHyperlink"/>
    <w:basedOn w:val="DefaultParagraphFont"/>
    <w:uiPriority w:val="99"/>
    <w:semiHidden/>
    <w:unhideWhenUsed/>
    <w:rsid w:val="00846451"/>
    <w:rPr>
      <w:color w:val="96607D" w:themeColor="followedHyperlink"/>
      <w:u w:val="single"/>
    </w:rPr>
  </w:style>
  <w:style w:type="character" w:styleId="CommentReference">
    <w:name w:val="annotation reference"/>
    <w:basedOn w:val="DefaultParagraphFont"/>
    <w:uiPriority w:val="99"/>
    <w:semiHidden/>
    <w:unhideWhenUsed/>
    <w:rsid w:val="00CD4F74"/>
    <w:rPr>
      <w:sz w:val="16"/>
      <w:szCs w:val="16"/>
    </w:rPr>
  </w:style>
  <w:style w:type="paragraph" w:styleId="CommentText">
    <w:name w:val="annotation text"/>
    <w:basedOn w:val="Normal"/>
    <w:link w:val="CommentTextChar"/>
    <w:uiPriority w:val="99"/>
    <w:semiHidden/>
    <w:unhideWhenUsed/>
    <w:rsid w:val="00CD4F74"/>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CD4F74"/>
    <w:rPr>
      <w:sz w:val="20"/>
      <w:szCs w:val="20"/>
    </w:rPr>
  </w:style>
  <w:style w:type="paragraph" w:styleId="CommentSubject">
    <w:name w:val="annotation subject"/>
    <w:basedOn w:val="CommentText"/>
    <w:next w:val="CommentText"/>
    <w:link w:val="CommentSubjectChar"/>
    <w:uiPriority w:val="99"/>
    <w:semiHidden/>
    <w:unhideWhenUsed/>
    <w:rsid w:val="00CD4F74"/>
    <w:rPr>
      <w:b/>
      <w:bCs/>
    </w:rPr>
  </w:style>
  <w:style w:type="character" w:customStyle="1" w:styleId="CommentSubjectChar">
    <w:name w:val="Comment Subject Char"/>
    <w:basedOn w:val="CommentTextChar"/>
    <w:link w:val="CommentSubject"/>
    <w:uiPriority w:val="99"/>
    <w:semiHidden/>
    <w:rsid w:val="00CD4F74"/>
    <w:rPr>
      <w:b/>
      <w:bCs/>
      <w:sz w:val="20"/>
      <w:szCs w:val="20"/>
    </w:rPr>
  </w:style>
  <w:style w:type="character" w:styleId="Emphasis">
    <w:name w:val="Emphasis"/>
    <w:basedOn w:val="DefaultParagraphFont"/>
    <w:uiPriority w:val="20"/>
    <w:qFormat/>
    <w:rsid w:val="00F90FF8"/>
    <w:rPr>
      <w:i/>
      <w:iCs/>
    </w:rPr>
  </w:style>
  <w:style w:type="paragraph" w:styleId="Bibliography">
    <w:name w:val="Bibliography"/>
    <w:basedOn w:val="Normal"/>
    <w:next w:val="Normal"/>
    <w:uiPriority w:val="37"/>
    <w:unhideWhenUsed/>
    <w:rsid w:val="00B010B2"/>
    <w:pPr>
      <w:spacing w:line="480" w:lineRule="auto"/>
      <w:ind w:left="720" w:hanging="720"/>
    </w:pPr>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507224">
      <w:bodyDiv w:val="1"/>
      <w:marLeft w:val="0"/>
      <w:marRight w:val="0"/>
      <w:marTop w:val="0"/>
      <w:marBottom w:val="0"/>
      <w:divBdr>
        <w:top w:val="none" w:sz="0" w:space="0" w:color="auto"/>
        <w:left w:val="none" w:sz="0" w:space="0" w:color="auto"/>
        <w:bottom w:val="none" w:sz="0" w:space="0" w:color="auto"/>
        <w:right w:val="none" w:sz="0" w:space="0" w:color="auto"/>
      </w:divBdr>
    </w:div>
    <w:div w:id="790368703">
      <w:bodyDiv w:val="1"/>
      <w:marLeft w:val="0"/>
      <w:marRight w:val="0"/>
      <w:marTop w:val="0"/>
      <w:marBottom w:val="0"/>
      <w:divBdr>
        <w:top w:val="none" w:sz="0" w:space="0" w:color="auto"/>
        <w:left w:val="none" w:sz="0" w:space="0" w:color="auto"/>
        <w:bottom w:val="none" w:sz="0" w:space="0" w:color="auto"/>
        <w:right w:val="none" w:sz="0" w:space="0" w:color="auto"/>
      </w:divBdr>
    </w:div>
    <w:div w:id="842235020">
      <w:bodyDiv w:val="1"/>
      <w:marLeft w:val="0"/>
      <w:marRight w:val="0"/>
      <w:marTop w:val="0"/>
      <w:marBottom w:val="0"/>
      <w:divBdr>
        <w:top w:val="none" w:sz="0" w:space="0" w:color="auto"/>
        <w:left w:val="none" w:sz="0" w:space="0" w:color="auto"/>
        <w:bottom w:val="none" w:sz="0" w:space="0" w:color="auto"/>
        <w:right w:val="none" w:sz="0" w:space="0" w:color="auto"/>
      </w:divBdr>
    </w:div>
    <w:div w:id="854811049">
      <w:bodyDiv w:val="1"/>
      <w:marLeft w:val="0"/>
      <w:marRight w:val="0"/>
      <w:marTop w:val="0"/>
      <w:marBottom w:val="0"/>
      <w:divBdr>
        <w:top w:val="none" w:sz="0" w:space="0" w:color="auto"/>
        <w:left w:val="none" w:sz="0" w:space="0" w:color="auto"/>
        <w:bottom w:val="none" w:sz="0" w:space="0" w:color="auto"/>
        <w:right w:val="none" w:sz="0" w:space="0" w:color="auto"/>
      </w:divBdr>
    </w:div>
    <w:div w:id="1037701492">
      <w:bodyDiv w:val="1"/>
      <w:marLeft w:val="0"/>
      <w:marRight w:val="0"/>
      <w:marTop w:val="0"/>
      <w:marBottom w:val="0"/>
      <w:divBdr>
        <w:top w:val="none" w:sz="0" w:space="0" w:color="auto"/>
        <w:left w:val="none" w:sz="0" w:space="0" w:color="auto"/>
        <w:bottom w:val="none" w:sz="0" w:space="0" w:color="auto"/>
        <w:right w:val="none" w:sz="0" w:space="0" w:color="auto"/>
      </w:divBdr>
    </w:div>
    <w:div w:id="1097335501">
      <w:bodyDiv w:val="1"/>
      <w:marLeft w:val="0"/>
      <w:marRight w:val="0"/>
      <w:marTop w:val="0"/>
      <w:marBottom w:val="0"/>
      <w:divBdr>
        <w:top w:val="none" w:sz="0" w:space="0" w:color="auto"/>
        <w:left w:val="none" w:sz="0" w:space="0" w:color="auto"/>
        <w:bottom w:val="none" w:sz="0" w:space="0" w:color="auto"/>
        <w:right w:val="none" w:sz="0" w:space="0" w:color="auto"/>
      </w:divBdr>
    </w:div>
    <w:div w:id="1795752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earthmicrobiome.org"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CEEF7-2FAF-2B4C-ABD9-2D4393BFD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9</Pages>
  <Words>18480</Words>
  <Characters>105337</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86</cp:revision>
  <dcterms:created xsi:type="dcterms:W3CDTF">2025-01-27T13:24:00Z</dcterms:created>
  <dcterms:modified xsi:type="dcterms:W3CDTF">2025-03-19T19:30:00Z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id="vFdZpGzy"/&gt;&lt;style id="http://www.zotero.org/styles/apa" locale="en-US" hasBibliography="1" bibliographyStyleHasBeenSet="1"/&gt;&lt;prefs&gt;&lt;pref name="fieldType" value="Field"/&gt;&lt;/prefs&gt;&lt;/data&gt;</vt:lpwstr>
  </property>
</Properties>
</file>