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2B76D" w14:textId="4E20CB4F" w:rsidR="00F512FA" w:rsidRDefault="00F512FA" w:rsidP="00F512FA">
      <w:pPr>
        <w:ind w:firstLine="720"/>
      </w:pPr>
      <w:r>
        <w:t>Temperature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 Efforts to evaluate mechanisms by which species respond and adapt to heat stress have revealed that microbiomes may play a key role in determining the thermal tolerance of their host species () and could be important in facilitating adaptation to higher temperatures (). Animals have evolved complex relationships with the microbial communities (i.e., microbiomes) that live on and inside of them to the extent that hosts rely on their microbiomes to support diverse aspects of their physiology. Experimental research has shown that heat stress can deplete microbiome communities and</w:t>
      </w:r>
      <w:r>
        <w:t xml:space="preserve"> </w:t>
      </w:r>
      <w:r>
        <w:t>this</w:t>
      </w:r>
      <w:r>
        <w:t xml:space="preserve"> has</w:t>
      </w:r>
      <w:r>
        <w:t xml:space="preserve"> been associated with negative phenotypic, survivorship, and fitness outcomes for the host (). The gastrointestinal tract is home to a particularly dense microbial community, the gut microbiome (), that plays a crucial role in regulating host responses to environmental change (), making it an ideal system to explore how species may respond to rising temperatures.</w:t>
      </w:r>
      <w:r>
        <w:t xml:space="preserve"> </w:t>
      </w:r>
    </w:p>
    <w:p w14:paraId="075FCE88" w14:textId="0B027B03" w:rsidR="008631EB" w:rsidRDefault="00F512FA" w:rsidP="00F512FA">
      <w:pPr>
        <w:ind w:firstLine="720"/>
      </w:pPr>
      <w:r>
        <w:t>The gut microbiome is sensitive to ambient temperature, and changes in the microbiome associated with heat stress may be detrimental to the host. For example,  heat stress has been shown to alter the abundances of specific microbial taxa and is associated with reductions in host digestion and metabolism (). The gut microbiome’s response to heat may be conserved (), as similar compositional changes at high temperatures have been observed in a range of species (e.g. reptiles, amphibians, birds, mammals). These include a marked decrease in community diversity () and shifts in the</w:t>
      </w:r>
      <w:r w:rsidRPr="003B7822">
        <w:t xml:space="preserve"> </w:t>
      </w:r>
      <w:r>
        <w:t>abundances of key taxa (i.e., Firmicutes, Proteobacteria, and Bacteroides ()). However, some species do not adhere to these patterns (). Compositional changes associated with high temperatures may also reduce host colonization resistance () and increase the risk of infection because intestinal pathogens can tolerate and even thrive at high temperatures () compared to other gut commensals. Importantly, compositional changes induced by rising temperatures may be inherited, as gut microbiome composition can be passed from parents to offspring (). Already, changes to the gut microbiome associated with rising temperatures have been shown to compound over generations () and speak to the long-term effects of climate change on gut microbiomes.</w:t>
      </w:r>
      <w:r>
        <w:t xml:space="preserve"> </w:t>
      </w:r>
    </w:p>
    <w:p w14:paraId="075769BC" w14:textId="53BEB93E" w:rsidR="00BF1EC0" w:rsidRDefault="00BF1EC0" w:rsidP="002672DD">
      <w:pPr>
        <w:ind w:firstLine="720"/>
      </w:pPr>
      <w:r>
        <w:t xml:space="preserve">The majority of research investigating how temperature affects microbiomes has been conducted in experimental settings on ectotherms because their lack of physiological thermoregulation leaves them vulnerable to temperature change (e.g. reptiles (), amphibians (), fish (), insects (), corals ()).  While experimental research is advantageous because it can isolate the effect of temperature on the gut microbiome, it does little to evaluate why the temperature-microbiome relationship evolved and how it </w:t>
      </w:r>
      <w:r>
        <w:lastRenderedPageBreak/>
        <w:t>functions in a natural system. Further, it is clear that endotherms are also vulnerable to deleterious physiological effects of high temperatures (), and understanding how the gut microbiome may contribute to these effects is an area of important theoretical and conservation implications for many charismatic species.</w:t>
      </w:r>
      <w:r>
        <w:t xml:space="preserve"> </w:t>
      </w:r>
      <w:r>
        <w:t xml:space="preserve">Here, </w:t>
      </w:r>
      <w:r w:rsidR="002672DD">
        <w:t xml:space="preserve">we </w:t>
      </w:r>
      <w:r>
        <w:t xml:space="preserve">show that the gut microbiome </w:t>
      </w:r>
      <w:r>
        <w:t xml:space="preserve">is related to temperature in a wild population of capuchin monkeys, </w:t>
      </w:r>
      <w:r w:rsidRPr="00297A0D">
        <w:rPr>
          <w:i/>
          <w:iCs/>
        </w:rPr>
        <w:t>Cebus imitator</w:t>
      </w:r>
      <w:r>
        <w:t>, in Costa Rica.</w:t>
      </w:r>
      <w:r>
        <w:t xml:space="preserve"> </w:t>
      </w:r>
      <w:r>
        <w:t xml:space="preserve">Field research on primate gut microbiomes has traditionally focused on how aspects of ecology, other than temperature, are broadly associated with the gut microbiome (e.g. seasonality (), habitat disturbance (), cross-site comparison ()), and differences are usually attributed to host diet. However, no study has illustrated the importance of temperature in determining gut microbiome composition and function in a wild primate species. </w:t>
      </w:r>
      <w:r w:rsidR="002672DD">
        <w:t>Our study population inhabits a tropical dry forest fragment characterized by marked seasonality. Since season can be reliably measured by rainfall, we can control for its confounding effects and evaluate the relationship between temperature and the gut microbiome.</w:t>
      </w:r>
    </w:p>
    <w:p w14:paraId="6B6458FD" w14:textId="2191797F" w:rsidR="00C1423A" w:rsidRDefault="00F512FA" w:rsidP="006D357F">
      <w:pPr>
        <w:ind w:firstLine="720"/>
      </w:pPr>
      <w:r w:rsidRPr="00031A43">
        <w:t>Since the gut microbiome and the host share a bidirectional relationship</w:t>
      </w:r>
      <w:r>
        <w:t xml:space="preserve"> </w:t>
      </w:r>
      <w:r w:rsidRPr="00031A43">
        <w:t>—</w:t>
      </w:r>
      <w:r>
        <w:t xml:space="preserve"> </w:t>
      </w:r>
      <w:r w:rsidRPr="00031A43">
        <w:t>where the host can modulate microbiome communities</w:t>
      </w:r>
      <w:r>
        <w:t xml:space="preserve"> ()</w:t>
      </w:r>
      <w:r w:rsidRPr="00031A43">
        <w:t>, and the microbiome supports host functions</w:t>
      </w:r>
      <w:r>
        <w:t xml:space="preserve"> () </w:t>
      </w:r>
      <w:r w:rsidRPr="00031A43">
        <w:t>—</w:t>
      </w:r>
      <w:r>
        <w:t xml:space="preserve"> </w:t>
      </w:r>
      <w:r w:rsidRPr="00031A43">
        <w:t>it is unlikely that the gut microbiome’s response to temperature is independent of host physiology.</w:t>
      </w:r>
      <w:r>
        <w:t xml:space="preserve"> Previous research evaluating the relationship between temperature and the gut microbiome may reflect the influence of host physiology in mediating this relationship rather than the direct effect of temperature</w:t>
      </w:r>
      <w:r>
        <w:t xml:space="preserve"> on the gut microbiome</w:t>
      </w:r>
      <w:r>
        <w:t xml:space="preserve"> (). The immune system is a key pathway by which temperature may influence the gut microbiome as these systems are connected via the bi-directional gut-immune axis. Function in </w:t>
      </w:r>
      <w:r>
        <w:t xml:space="preserve">the </w:t>
      </w:r>
      <w:r>
        <w:t xml:space="preserve">gut-immune axis broadly involves host-driven </w:t>
      </w:r>
      <w:r>
        <w:t xml:space="preserve">immune mechanisms that confine the gut microbiome to the </w:t>
      </w:r>
      <w:r>
        <w:t>intestinal lumen</w:t>
      </w:r>
      <w:r>
        <w:t xml:space="preserve">, </w:t>
      </w:r>
      <w:r>
        <w:t>as well as microbial support for the immune system</w:t>
      </w:r>
      <w:r>
        <w:t xml:space="preserve"> where </w:t>
      </w:r>
      <w:r>
        <w:t xml:space="preserve">the microbiome shapes immune system development in early life () and modulates white blood cell activity (). The immune system is also sensitive to temperature and is particularly affected by high temperatures (). Here, </w:t>
      </w:r>
      <w:r w:rsidR="00BF1EC0">
        <w:t xml:space="preserve">we show that host immunity is associated with the </w:t>
      </w:r>
      <w:r>
        <w:t>gut microbiome’s relationship with temperature</w:t>
      </w:r>
      <w:r>
        <w:t xml:space="preserve">. </w:t>
      </w:r>
      <w:r>
        <w:t xml:space="preserve">We measure host immunity using neopterin, a byproduct of macrophage activity stimulated by the </w:t>
      </w:r>
      <w:r w:rsidRPr="00F60396">
        <w:t>T helper 1 (TH1) cellular immune response</w:t>
      </w:r>
      <w:r>
        <w:t>. The gastrointestinal tract harbors the highest density of macrophages in the body, as they play a central role in the gut-immune axis ().  Macrophages limit systemic exposure to gut microbes by engulfing those that breach the epithelium ()</w:t>
      </w:r>
      <w:r>
        <w:t>,</w:t>
      </w:r>
      <w:r>
        <w:t xml:space="preserve"> and, in turn, gut microbes regulate macrophage activity through</w:t>
      </w:r>
      <w:r w:rsidRPr="00FA374E">
        <w:t xml:space="preserve"> </w:t>
      </w:r>
      <w:r>
        <w:t xml:space="preserve">microbially derived compounds such as short-chain fatty acids (SCFA) and lipopolysaccharides (LPS) (). Therefore, neopterin is likely a valuable indicator of intestinal immune activity and bidirectional interactions in the gut immune axis. Neopterin can also </w:t>
      </w:r>
      <w:r>
        <w:lastRenderedPageBreak/>
        <w:t>be measured in urine, making it an ideal choice for non-invasive field research, and is associated with gut microbiome composition in wild primates</w:t>
      </w:r>
      <w:r w:rsidR="006D357F">
        <w:t xml:space="preserve">. </w:t>
      </w:r>
    </w:p>
    <w:p w14:paraId="7E754F7D" w14:textId="00BBDBB8" w:rsidR="006D357F" w:rsidRDefault="00C1423A" w:rsidP="006D357F">
      <w:pPr>
        <w:ind w:firstLine="720"/>
      </w:pPr>
      <w:r>
        <w:t>This study builds on previous research examining the relationship between temperature and the gut microbiome by (1) investigating this relationship in a wild population of capuchin monkeys (</w:t>
      </w:r>
      <w:r>
        <w:rPr>
          <w:rStyle w:val="Emphasis"/>
        </w:rPr>
        <w:t>Cebus imitator</w:t>
      </w:r>
      <w:r>
        <w:t>) in Costa Rica and (2) exploring interactions with the host immune system, specifically how immunity influences the relationship between the gut microbiome and temperature.</w:t>
      </w:r>
      <w:r w:rsidR="006D357F">
        <w:t xml:space="preserve"> </w:t>
      </w:r>
      <w:r w:rsidR="00365110">
        <w:t xml:space="preserve">To assess microbiome composition and function, we use 16S rRNA sequencing </w:t>
      </w:r>
      <w:r w:rsidR="006D357F">
        <w:t xml:space="preserve">(n = samples) </w:t>
      </w:r>
      <w:r w:rsidR="00365110">
        <w:t>and shotgun metagenomic sequencing</w:t>
      </w:r>
      <w:r w:rsidR="006D357F">
        <w:t xml:space="preserve"> (n = samples)</w:t>
      </w:r>
      <w:r w:rsidR="00365110">
        <w:t xml:space="preserve">, respectively. Additionally, 16S data paired with urinary neopterin </w:t>
      </w:r>
      <w:r w:rsidR="006D357F">
        <w:t xml:space="preserve">(n = samples) </w:t>
      </w:r>
      <w:r w:rsidR="00365110">
        <w:t>allows us to evaluate links between the microbiome and immunity. We also account for potential confounding factors such as seasonal ecology and diet</w:t>
      </w:r>
      <w:r w:rsidR="00365110">
        <w:t xml:space="preserve"> to isolate the effect of temperature. </w:t>
      </w:r>
      <w:r w:rsidR="006D357F">
        <w:t>This work will microbiomes respond to temperature in a wild environment and shed light on how microbiome will respond to increased warming caused by climate change.</w:t>
      </w:r>
    </w:p>
    <w:p w14:paraId="495C50BF" w14:textId="77777777" w:rsidR="007A42BE" w:rsidRDefault="007A42BE" w:rsidP="006D357F"/>
    <w:p w14:paraId="147E8707" w14:textId="2A5042E1" w:rsidR="007A42BE" w:rsidRDefault="007A42BE" w:rsidP="007A42BE">
      <w:pPr>
        <w:ind w:firstLine="720"/>
      </w:pPr>
      <w:r>
        <w:t>Here we aim t</w:t>
      </w:r>
      <w:r w:rsidR="00BF1EC0">
        <w:t xml:space="preserve">o (1) evaluate the relationship between temperature and gut the gut microbiome while controlling for confounding factors like seasonal ecology and diet in a wild population of capuchins and (2) evaluate if host immunity may affect the relationship between the gut microbiome and temperature. We predict that </w:t>
      </w:r>
    </w:p>
    <w:p w14:paraId="01C77E5F" w14:textId="27796D28" w:rsidR="002672DD" w:rsidRDefault="002672DD" w:rsidP="007A42BE">
      <w:pPr>
        <w:ind w:firstLine="720"/>
      </w:pPr>
      <w:r>
        <w:t xml:space="preserve">(3) function???? </w:t>
      </w:r>
    </w:p>
    <w:p w14:paraId="047D832A" w14:textId="77777777" w:rsidR="007A42BE" w:rsidRDefault="007A42BE" w:rsidP="007A42BE">
      <w:pPr>
        <w:ind w:firstLine="720"/>
      </w:pPr>
    </w:p>
    <w:p w14:paraId="3D7AE0D9" w14:textId="77777777" w:rsidR="00F512FA" w:rsidRDefault="00F512FA" w:rsidP="00F512FA">
      <w:pPr>
        <w:ind w:firstLine="720"/>
      </w:pPr>
    </w:p>
    <w:sectPr w:rsidR="00F512FA"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FA"/>
    <w:rsid w:val="000365B2"/>
    <w:rsid w:val="002672DD"/>
    <w:rsid w:val="00337EBD"/>
    <w:rsid w:val="003563E7"/>
    <w:rsid w:val="00365110"/>
    <w:rsid w:val="004335B6"/>
    <w:rsid w:val="006D357F"/>
    <w:rsid w:val="00752B2B"/>
    <w:rsid w:val="007A42BE"/>
    <w:rsid w:val="008631EB"/>
    <w:rsid w:val="00BF1EC0"/>
    <w:rsid w:val="00C1423A"/>
    <w:rsid w:val="00E356F2"/>
    <w:rsid w:val="00E55918"/>
    <w:rsid w:val="00F51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72443E"/>
  <w15:chartTrackingRefBased/>
  <w15:docId w15:val="{A4F0BBCF-B042-7D4F-B112-E6EE3FE1A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2FA"/>
  </w:style>
  <w:style w:type="paragraph" w:styleId="Heading1">
    <w:name w:val="heading 1"/>
    <w:basedOn w:val="Normal"/>
    <w:next w:val="Normal"/>
    <w:link w:val="Heading1Char"/>
    <w:uiPriority w:val="9"/>
    <w:qFormat/>
    <w:rsid w:val="00F51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2FA"/>
    <w:rPr>
      <w:rFonts w:eastAsiaTheme="majorEastAsia" w:cstheme="majorBidi"/>
      <w:color w:val="272727" w:themeColor="text1" w:themeTint="D8"/>
    </w:rPr>
  </w:style>
  <w:style w:type="paragraph" w:styleId="Title">
    <w:name w:val="Title"/>
    <w:basedOn w:val="Normal"/>
    <w:next w:val="Normal"/>
    <w:link w:val="TitleChar"/>
    <w:uiPriority w:val="10"/>
    <w:qFormat/>
    <w:rsid w:val="00F51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2FA"/>
    <w:pPr>
      <w:spacing w:before="160"/>
      <w:jc w:val="center"/>
    </w:pPr>
    <w:rPr>
      <w:i/>
      <w:iCs/>
      <w:color w:val="404040" w:themeColor="text1" w:themeTint="BF"/>
    </w:rPr>
  </w:style>
  <w:style w:type="character" w:customStyle="1" w:styleId="QuoteChar">
    <w:name w:val="Quote Char"/>
    <w:basedOn w:val="DefaultParagraphFont"/>
    <w:link w:val="Quote"/>
    <w:uiPriority w:val="29"/>
    <w:rsid w:val="00F512FA"/>
    <w:rPr>
      <w:i/>
      <w:iCs/>
      <w:color w:val="404040" w:themeColor="text1" w:themeTint="BF"/>
    </w:rPr>
  </w:style>
  <w:style w:type="paragraph" w:styleId="ListParagraph">
    <w:name w:val="List Paragraph"/>
    <w:basedOn w:val="Normal"/>
    <w:uiPriority w:val="34"/>
    <w:qFormat/>
    <w:rsid w:val="00F512FA"/>
    <w:pPr>
      <w:ind w:left="720"/>
      <w:contextualSpacing/>
    </w:pPr>
  </w:style>
  <w:style w:type="character" w:styleId="IntenseEmphasis">
    <w:name w:val="Intense Emphasis"/>
    <w:basedOn w:val="DefaultParagraphFont"/>
    <w:uiPriority w:val="21"/>
    <w:qFormat/>
    <w:rsid w:val="00F512FA"/>
    <w:rPr>
      <w:i/>
      <w:iCs/>
      <w:color w:val="0F4761" w:themeColor="accent1" w:themeShade="BF"/>
    </w:rPr>
  </w:style>
  <w:style w:type="paragraph" w:styleId="IntenseQuote">
    <w:name w:val="Intense Quote"/>
    <w:basedOn w:val="Normal"/>
    <w:next w:val="Normal"/>
    <w:link w:val="IntenseQuoteChar"/>
    <w:uiPriority w:val="30"/>
    <w:qFormat/>
    <w:rsid w:val="00F51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2FA"/>
    <w:rPr>
      <w:i/>
      <w:iCs/>
      <w:color w:val="0F4761" w:themeColor="accent1" w:themeShade="BF"/>
    </w:rPr>
  </w:style>
  <w:style w:type="character" w:styleId="IntenseReference">
    <w:name w:val="Intense Reference"/>
    <w:basedOn w:val="DefaultParagraphFont"/>
    <w:uiPriority w:val="32"/>
    <w:qFormat/>
    <w:rsid w:val="00F512FA"/>
    <w:rPr>
      <w:b/>
      <w:bCs/>
      <w:smallCaps/>
      <w:color w:val="0F4761" w:themeColor="accent1" w:themeShade="BF"/>
      <w:spacing w:val="5"/>
    </w:rPr>
  </w:style>
  <w:style w:type="character" w:styleId="Emphasis">
    <w:name w:val="Emphasis"/>
    <w:basedOn w:val="DefaultParagraphFont"/>
    <w:uiPriority w:val="20"/>
    <w:qFormat/>
    <w:rsid w:val="00C142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6</cp:revision>
  <dcterms:created xsi:type="dcterms:W3CDTF">2025-03-24T12:50:00Z</dcterms:created>
  <dcterms:modified xsi:type="dcterms:W3CDTF">2025-03-24T13:37:00Z</dcterms:modified>
</cp:coreProperties>
</file>