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F1F71" w14:textId="76F7CA82" w:rsidR="002C24BA" w:rsidRPr="00E410C3" w:rsidRDefault="002C24BA" w:rsidP="002C24BA">
      <w:pPr>
        <w:rPr>
          <w:sz w:val="28"/>
          <w:szCs w:val="28"/>
        </w:rPr>
      </w:pPr>
      <w:r w:rsidRPr="00E410C3">
        <w:rPr>
          <w:sz w:val="28"/>
          <w:szCs w:val="28"/>
        </w:rPr>
        <w:t>Heat-induced physiological cascade affects gut microbiome composition and disrupts microbiome-immune homeostasis in a wild primate</w:t>
      </w:r>
    </w:p>
    <w:p w14:paraId="6E90D89D" w14:textId="77777777" w:rsidR="008631EB" w:rsidRDefault="008631EB"/>
    <w:p w14:paraId="05714516" w14:textId="42037194" w:rsidR="002C24BA" w:rsidRPr="00E410C3" w:rsidRDefault="002C24BA" w:rsidP="002C24BA">
      <w:r w:rsidRPr="00E410C3">
        <w:t>Jordan M. Lucore</w:t>
      </w:r>
      <w:r w:rsidRPr="00E410C3">
        <w:rPr>
          <w:vertAlign w:val="superscript"/>
        </w:rPr>
        <w:t>1,2</w:t>
      </w:r>
      <w:r w:rsidRPr="00E410C3">
        <w:t>, Marcela E. Benítez</w:t>
      </w:r>
      <w:r w:rsidRPr="00E410C3">
        <w:rPr>
          <w:vertAlign w:val="superscript"/>
        </w:rPr>
        <w:t xml:space="preserve">2,3, </w:t>
      </w:r>
      <w:r w:rsidRPr="00E410C3">
        <w:t>, Amy F. White</w:t>
      </w:r>
      <w:r w:rsidRPr="00E410C3">
        <w:rPr>
          <w:vertAlign w:val="superscript"/>
        </w:rPr>
        <w:t>2,4</w:t>
      </w:r>
      <w:r w:rsidRPr="00E410C3">
        <w:t>, Juan Carlos Ordoñez</w:t>
      </w:r>
      <w:r w:rsidRPr="00E410C3">
        <w:rPr>
          <w:vertAlign w:val="superscript"/>
        </w:rPr>
        <w:t>2</w:t>
      </w:r>
      <w:r w:rsidRPr="00E410C3">
        <w:t>, Jacinta C. Beehner</w:t>
      </w:r>
      <w:r w:rsidRPr="00E410C3">
        <w:rPr>
          <w:vertAlign w:val="superscript"/>
        </w:rPr>
        <w:t>1,2,5</w:t>
      </w:r>
      <w:r w:rsidRPr="00E410C3">
        <w:t>, Thore J. Bergman</w:t>
      </w:r>
      <w:r w:rsidRPr="00E410C3">
        <w:rPr>
          <w:vertAlign w:val="superscript"/>
        </w:rPr>
        <w:t>2,5,6</w:t>
      </w:r>
      <w:r w:rsidRPr="00E410C3">
        <w:t>, Maria Luisa Savo Sardaro</w:t>
      </w:r>
      <w:r w:rsidRPr="00E410C3">
        <w:rPr>
          <w:vertAlign w:val="superscript"/>
        </w:rPr>
        <w:t>7,8</w:t>
      </w:r>
      <w:r w:rsidRPr="00E410C3">
        <w:t>, Katherine R. Amato</w:t>
      </w:r>
      <w:r w:rsidRPr="00E410C3">
        <w:rPr>
          <w:vertAlign w:val="superscript"/>
        </w:rPr>
        <w:t>7</w:t>
      </w:r>
      <w:r>
        <w:rPr>
          <w:vertAlign w:val="superscript"/>
        </w:rPr>
        <w:t>*</w:t>
      </w:r>
      <w:r w:rsidRPr="00E410C3">
        <w:t>, Andrew J. Marshall</w:t>
      </w:r>
      <w:r w:rsidRPr="00E410C3">
        <w:rPr>
          <w:vertAlign w:val="superscript"/>
        </w:rPr>
        <w:t xml:space="preserve">1,6,9, 10, 11 </w:t>
      </w:r>
      <w:r>
        <w:rPr>
          <w:vertAlign w:val="superscript"/>
        </w:rPr>
        <w:t>*</w:t>
      </w:r>
    </w:p>
    <w:p w14:paraId="65741C14" w14:textId="77777777" w:rsidR="002C24BA" w:rsidRPr="00E410C3" w:rsidRDefault="002C24BA" w:rsidP="002C24BA"/>
    <w:p w14:paraId="32662939" w14:textId="77777777" w:rsidR="002C24BA" w:rsidRDefault="002C24BA" w:rsidP="002C24BA">
      <w:r w:rsidRPr="00E410C3">
        <w:rPr>
          <w:vertAlign w:val="superscript"/>
        </w:rPr>
        <w:t>1</w:t>
      </w:r>
      <w:r w:rsidRPr="00E410C3">
        <w:t xml:space="preserve">Department of Anthropology, University of Michigan, Ann Arbor, MI, United States, </w:t>
      </w:r>
      <w:r w:rsidRPr="00E410C3">
        <w:rPr>
          <w:vertAlign w:val="superscript"/>
        </w:rPr>
        <w:t>2</w:t>
      </w:r>
      <w:r w:rsidRPr="00E410C3">
        <w:t xml:space="preserve">Capuchinos de </w:t>
      </w:r>
      <w:proofErr w:type="spellStart"/>
      <w:r w:rsidRPr="00E410C3">
        <w:t>Taboga</w:t>
      </w:r>
      <w:proofErr w:type="spellEnd"/>
      <w:r w:rsidRPr="00E410C3">
        <w:t xml:space="preserve"> Research Project, </w:t>
      </w:r>
      <w:proofErr w:type="spellStart"/>
      <w:r w:rsidRPr="00E410C3">
        <w:t>Taboga</w:t>
      </w:r>
      <w:proofErr w:type="spellEnd"/>
      <w:r w:rsidRPr="00E410C3">
        <w:t xml:space="preserve"> Forest Reserve, Guanacaste, Costa Rica, </w:t>
      </w:r>
      <w:r>
        <w:rPr>
          <w:vertAlign w:val="superscript"/>
        </w:rPr>
        <w:t>3</w:t>
      </w:r>
      <w:r w:rsidRPr="00E410C3">
        <w:t>Department of Anthropology, Emory University, Atlanta, GA, United States,</w:t>
      </w:r>
      <w:r>
        <w:t xml:space="preserve"> </w:t>
      </w:r>
      <w:r>
        <w:rPr>
          <w:vertAlign w:val="superscript"/>
        </w:rPr>
        <w:t>4</w:t>
      </w:r>
      <w:r w:rsidRPr="00E410C3">
        <w:t>Department of Anthropology, Durham University, Durham, UK,</w:t>
      </w:r>
      <w:r>
        <w:t xml:space="preserve"> </w:t>
      </w:r>
      <w:r w:rsidRPr="00E410C3">
        <w:rPr>
          <w:vertAlign w:val="superscript"/>
        </w:rPr>
        <w:t>5</w:t>
      </w:r>
      <w:r w:rsidRPr="00E410C3">
        <w:t xml:space="preserve">Department of Psychology, University of Michigan, Ann Arbor, MI, United States, </w:t>
      </w:r>
      <w:r w:rsidRPr="00E410C3">
        <w:rPr>
          <w:vertAlign w:val="superscript"/>
        </w:rPr>
        <w:t>6</w:t>
      </w:r>
      <w:r w:rsidRPr="00E410C3">
        <w:t xml:space="preserve">Department of Ecology and Evolutionary Biology, University of Michigan, Ann Arbor, MI, United States, </w:t>
      </w:r>
      <w:r w:rsidRPr="00E410C3">
        <w:rPr>
          <w:vertAlign w:val="superscript"/>
        </w:rPr>
        <w:t>7</w:t>
      </w:r>
      <w:r w:rsidRPr="00E410C3">
        <w:t xml:space="preserve">Department of Anthropology, Northwestern University, Evanston, Illinois, </w:t>
      </w:r>
      <w:r w:rsidRPr="00E410C3">
        <w:rPr>
          <w:vertAlign w:val="superscript"/>
        </w:rPr>
        <w:t>8</w:t>
      </w:r>
      <w:r w:rsidRPr="00E410C3">
        <w:t xml:space="preserve">Department for the Promotion of Human Sciences and Quality of Life, San Raffaele University, 00166 Rome, Italy, </w:t>
      </w:r>
      <w:r w:rsidRPr="00E410C3">
        <w:rPr>
          <w:vertAlign w:val="superscript"/>
        </w:rPr>
        <w:t>9</w:t>
      </w:r>
      <w:r w:rsidRPr="00E410C3">
        <w:t xml:space="preserve">Program in the Environment, University of Michigan, Ann Arbor, MI, United States, </w:t>
      </w:r>
      <w:r w:rsidRPr="00E410C3">
        <w:rPr>
          <w:vertAlign w:val="superscript"/>
        </w:rPr>
        <w:t>10</w:t>
      </w:r>
      <w:r w:rsidRPr="00E410C3">
        <w:t xml:space="preserve">School for Environment and Sustainability, University of Michigan, Ann Arbor, MI, United States, </w:t>
      </w:r>
      <w:r w:rsidRPr="00E410C3">
        <w:rPr>
          <w:vertAlign w:val="superscript"/>
        </w:rPr>
        <w:t>11</w:t>
      </w:r>
      <w:r w:rsidRPr="00E410C3">
        <w:t xml:space="preserve">Program in Computing for the Arts and Sciences, University of Michigan, Ann Arbor, MI, United States </w:t>
      </w:r>
    </w:p>
    <w:p w14:paraId="14483026" w14:textId="77777777" w:rsidR="002C24BA" w:rsidRDefault="002C24BA" w:rsidP="002C24BA"/>
    <w:p w14:paraId="3B99F289" w14:textId="46E444DF" w:rsidR="002C24BA" w:rsidRDefault="002C24BA" w:rsidP="002C24BA">
      <w:r>
        <w:t>*These authors contributed equally to this work.</w:t>
      </w:r>
    </w:p>
    <w:p w14:paraId="38BD89E8" w14:textId="77777777" w:rsidR="002C24BA" w:rsidRDefault="002C24BA" w:rsidP="002C24BA"/>
    <w:p w14:paraId="306BDD60" w14:textId="77777777" w:rsidR="002C24BA" w:rsidRDefault="002C24BA" w:rsidP="002C24BA">
      <w:r>
        <w:t>Key words: gut microbiome, neopterin, climate change, heat stress, endotherm</w:t>
      </w:r>
    </w:p>
    <w:p w14:paraId="216D9EC9" w14:textId="77777777" w:rsidR="002C24BA" w:rsidRDefault="002C24BA"/>
    <w:p w14:paraId="32A78B75" w14:textId="3B032ABB" w:rsidR="00BA3DF0" w:rsidRDefault="002C24BA" w:rsidP="00BA3DF0">
      <w:r>
        <w:t>Abstract: Rising temperatures due to climate change are impacting the function of critical physiological processes in wild animals. Heat stress may compromise the gut microbiome’s ability to support essential host functions, highlighting an important pathway by which climate change could affect diverse species. However, the relationship between the microbiome and heat stress has been studied primarily in experimental contexts and remains poorly understood in ecologically relevant environments. Here, we examine how natural thermal variation influences gut microbiome taxonomic composition and functional capacity in a wild population of white-face capuchin monkeys. We find that temperature is associated with changes in microbiome community-level diversity, taxonomic composition, and metabolic capacity. These shifts suggest that capuchins experience periods of heat stress that could compromise health by disrupting host-microbiome interactions. Further, we show that the microbiome’s response to high temperatures is linked to host immunity and may affect host tolerance of gut microbes.</w:t>
      </w:r>
      <w:r w:rsidRPr="00016265">
        <w:t xml:space="preserve"> </w:t>
      </w:r>
      <w:r>
        <w:t>Together, our results provide compelling evidence that elevated temperatures initiate a physiological cascade</w:t>
      </w:r>
      <w:r w:rsidRPr="00B92B1B">
        <w:t xml:space="preserve"> </w:t>
      </w:r>
      <w:r>
        <w:t>that disrupts</w:t>
      </w:r>
      <w:r w:rsidR="008C1952">
        <w:t xml:space="preserve"> host</w:t>
      </w:r>
      <w:r>
        <w:t xml:space="preserve"> microbiome-immune homeostasis in a wild primate population.</w:t>
      </w:r>
      <w:r w:rsidR="008C1952">
        <w:t xml:space="preserve"> </w:t>
      </w:r>
      <w:r w:rsidR="00597A43">
        <w:t xml:space="preserve">Rising temperatures may increase the risk of chronic gut inflammation by reducing </w:t>
      </w:r>
      <w:r w:rsidR="00CD5A2A">
        <w:t>the host's</w:t>
      </w:r>
      <w:r w:rsidR="00597A43">
        <w:t xml:space="preserve"> tolerance </w:t>
      </w:r>
      <w:r w:rsidR="00CD5A2A">
        <w:t>to</w:t>
      </w:r>
      <w:r w:rsidR="00597A43">
        <w:t xml:space="preserve"> </w:t>
      </w:r>
      <w:r w:rsidR="006461ED">
        <w:t xml:space="preserve">gut microbes, </w:t>
      </w:r>
      <w:r w:rsidR="00CD5A2A">
        <w:t>highlighting</w:t>
      </w:r>
      <w:r w:rsidR="00BA3DF0">
        <w:t xml:space="preserve"> a </w:t>
      </w:r>
      <w:r w:rsidR="00BA3DF0" w:rsidRPr="004A358B">
        <w:t>biologically plausible mechanism through which climate change threatens host resilience</w:t>
      </w:r>
      <w:r w:rsidR="00BA3DF0">
        <w:t xml:space="preserve">. </w:t>
      </w:r>
    </w:p>
    <w:p w14:paraId="036BC505" w14:textId="77777777" w:rsidR="00597A43" w:rsidRDefault="00597A43" w:rsidP="002C24BA"/>
    <w:p w14:paraId="69C81013" w14:textId="70D3FD82" w:rsidR="000A7B75" w:rsidRDefault="000A7B75" w:rsidP="000A7B75">
      <w:r>
        <w:t xml:space="preserve">Significance statement: While most climate change research has focused on ectotherms, it is increasingly clear that endotherms are also physiologically vulnerable to heat stress. Experimental research suggests that heat can disrupt the gut microbiome in ways that may impact host health, but little is known about these effects in wild animals. Here, we leverage sampling from a wild primate population to show that the gut microbiome responds to natural </w:t>
      </w:r>
      <w:r>
        <w:lastRenderedPageBreak/>
        <w:t xml:space="preserve">thermal variation and that these shifts are linked to host immunity. Our findings offer rare evidence from a natural population that rising temperatures may alter host-microbiome relationships, highlighting a potential </w:t>
      </w:r>
      <w:r w:rsidR="006461ED">
        <w:t>mechanism</w:t>
      </w:r>
      <w:r>
        <w:t xml:space="preserve"> by which climate change could impact endotherm species. </w:t>
      </w:r>
    </w:p>
    <w:p w14:paraId="1C7FB178" w14:textId="77777777" w:rsidR="000A7B75" w:rsidRDefault="000A7B75" w:rsidP="002C24BA"/>
    <w:p w14:paraId="555A7190" w14:textId="09C39049" w:rsidR="00597A43" w:rsidRDefault="00597A43" w:rsidP="002C24BA">
      <w:r>
        <w:t xml:space="preserve">Introduction: </w:t>
      </w:r>
    </w:p>
    <w:p w14:paraId="0C46C3C4" w14:textId="18220AD8" w:rsidR="00597A43" w:rsidRDefault="00597A43" w:rsidP="00597A43">
      <w:r>
        <w:t xml:space="preserve">Rising temperatures due to climate change are predicted to push species beyond their evolved thermal tolerance and challenge them to adapt to hotter climates </w:t>
      </w:r>
      <w:r>
        <w:fldChar w:fldCharType="begin"/>
      </w:r>
      <w:r w:rsidR="00DD12D1">
        <w:instrText xml:space="preserve"> ADDIN ZOTERO_ITEM CSL_CITATION {"citationID":"8xiH9gLt","properties":{"formattedCitation":"({\\i{}1}, {\\i{}2})","plainCitation":"(1, 2)","noteIndex":0},"citationItems":[{"id":491,"uris":["http://zotero.org/users/13901503/items/YSCHU94H"],"itemData":{"id":491,"type":"article-journal","abstract":"Ecology Letters (2012) 15: 365–377 Abstract Many studies in recent years have investigated the effects of climate change on the future of biodiversity. In this review, we first examine the different possible effects of climate change that can operate at individual, population, species, community, ecosystem and biome scales, notably showing that species can respond to climate change challenges by shifting their climatic niche along three non-exclusive axes: time (e.g. phenology), space (e.g. range) and self (e.g. physiology). Then, we present the principal specificities and caveats of the most common approaches used to estimate future biodiversity at global and sub-continental scales and we synthesise their results. Finally, we highlight several challenges for future research both in theoretical and applied realms. Overall, our review shows that current estimates are very variable, depending on the method, taxonomic group, biodiversity loss metrics, spatial scales and time periods considered. Yet, the majority of models indicate alarming consequences for biodiversity, with the worst-case scenarios leading to extinction rates that would qualify as the sixth mass extinction in the history of the earth.","container-title":"Ecology Letters","DOI":"10.1111/j.1461-0248.2011.01736.x","ISSN":"1461-0248","issue":"4","language":"en","license":"© 2012 Blackwell Publishing Ltd/CNRS","note":"_eprint: https://onlinelibrary.wiley.com/doi/pdf/10.1111/j.1461-0248.2011.01736.x","page":"365-377","source":"Wiley Online Library","title":"Impacts of climate change on the future of biodiversity","volume":"15","author":[{"family":"Bellard","given":"Céline"},{"family":"Bertelsmeier","given":"Cleo"},{"family":"Leadley","given":"Paul"},{"family":"Thuiller","given":"Wilfried"},{"family":"Courchamp","given":"Franck"}],"issued":{"date-parts":[["2012"]]}}},{"id":498,"uris":["http://zotero.org/users/13901503/items/S7CPPLIV"],"itemData":{"id":498,"type":"article-journal","abstract":"Understanding how species’ thermal limits have evolved across the tree of life is central to predicting species’ responses to climate change. Here, using experimentally-derived estimates of thermal tolerance limits for over 2000 terrestrial and aquatic species, we show that most of the variation in thermal tolerance can be attributed to a combination of adaptation to current climatic extremes, and the existence of evolutionary ‘attractors’ that reflect either boundaries or optima in thermal tolerance limits. Our results also reveal deep-time climate legacies in ectotherms, whereby orders that originated in cold paleoclimates have presently lower cold tolerance limits than those with warm thermal ancestry. Conversely, heat tolerance appears unrelated to climate ancestry. Cold tolerance has evolved more quickly than heat tolerance in endotherms and ectotherms. If the past tempo of evolution for upper thermal limits continues, adaptive responses in thermal limits will have limited potential to rescue the large majority of species given the unprecedented rate of contemporary climate change.","container-title":"Nature Communications","DOI":"10.1038/s41467-021-21263-8","ISSN":"2041-1723","issue":"1","journalAbbreviation":"Nat Commun","language":"en","license":"2021 The Author(s)","note":"publisher: Nature Publishing Group","page":"1198","source":"www-nature-com.proxy.lib.umich.edu","title":"The evolution of critical thermal limits of life on Earth","volume":"12","author":[{"family":"Bennett","given":"Joanne M."},{"family":"Sunday","given":"Jennifer"},{"family":"Calosi","given":"Piero"},{"family":"Villalobos","given":"Fabricio"},{"family":"Martínez","given":"Brezo"},{"family":"Molina-Venegas","given":"Rafael"},{"family":"Araújo","given":"Miguel B."},{"family":"Algar","given":"Adam C."},{"family":"Clusella-Trullas","given":"Susana"},{"family":"Hawkins","given":"Bradford A."},{"family":"Keith","given":"Sally A."},{"family":"Kühn","given":"Ingolf"},{"family":"Rahbek","given":"Carsten"},{"family":"Rodríguez","given":"Laura"},{"family":"Singer","given":"Alexander"},{"family":"Morales-Castilla","given":"Ignacio"},{"family":"Olalla-Tárraga","given":"Miguel Ángel"}],"issued":{"date-parts":[["2021",2,19]]}}}],"schema":"https://github.com/citation-style-language/schema/raw/master/csl-citation.json"} </w:instrText>
      </w:r>
      <w:r>
        <w:fldChar w:fldCharType="separate"/>
      </w:r>
      <w:r w:rsidR="00DD12D1" w:rsidRPr="00DD12D1">
        <w:t>(</w:t>
      </w:r>
      <w:r w:rsidR="00DD12D1" w:rsidRPr="00DD12D1">
        <w:rPr>
          <w:i/>
          <w:iCs/>
        </w:rPr>
        <w:t>1</w:t>
      </w:r>
      <w:r w:rsidR="00DD12D1" w:rsidRPr="00DD12D1">
        <w:t xml:space="preserve">, </w:t>
      </w:r>
      <w:r w:rsidR="00DD12D1" w:rsidRPr="00DD12D1">
        <w:rPr>
          <w:i/>
          <w:iCs/>
        </w:rPr>
        <w:t>2</w:t>
      </w:r>
      <w:r w:rsidR="00DD12D1" w:rsidRPr="00DD12D1">
        <w:t>)</w:t>
      </w:r>
      <w:r>
        <w:fldChar w:fldCharType="end"/>
      </w:r>
      <w:r>
        <w:t xml:space="preserve">. Efforts to evaluate the physiological consequences of heat stress in wild animals have shown that high temperatures can impair aerobic capacity, reducing oxygen availability to essential systems and compromising function </w:t>
      </w:r>
      <w:r>
        <w:fldChar w:fldCharType="begin"/>
      </w:r>
      <w:r w:rsidR="00DD12D1">
        <w:instrText xml:space="preserve"> ADDIN ZOTERO_ITEM CSL_CITATION {"citationID":"hL1Q4y4w","properties":{"formattedCitation":"({\\i{}3}, {\\i{}4})","plainCitation":"(3, 4)","noteIndex":0},"citationItems":[{"id":253,"uris":["http://zotero.org/users/13901503/items/KVJPEW2S"],"itemData":{"id":253,"type":"article-journal","abstract":"In this review we consider how small-scale temporal and spatial variation in body temperature, and biochemical/physiological variation among individuals, affect the prediction of organisms’ performance in nature. For ‘normal’ body temperatures – benign temperatures near the species’ mean – thermal biology traditionally uses performance curves to describe how physiological capabilities vary with temperature. However, these curves, which are typically measured under static laboratory conditions, can yield incomplete or inaccurate predictions of how organisms respond to natural patterns of temperature variation. For example, scale transition theory predicts that, in a variable environment, peak average performance is lower and occurs at a lower mean temperature than the peak of statically measured performance. We also demonstrate that temporal variation in performance is minimized near this new ‘optimal’ temperature. These factors add complexity to predictions of the consequences of climate change. We then move beyond the performance curve approach to consider the effects of rare, extreme temperatures. A statistical procedure (the environmental bootstrap) allows for longterm simulations that capture the temporal pattern of extremes (a Poisson interval distribution), which is characterized by clusters of events interspersed with long intervals of benign conditions. The bootstrap can be combined with biophysical models to incorporate temporal, spatial and physiological variation into evolutionary models of thermal tolerance. We conclude with several challenges that must be overcome to more fully develop our understanding of thermal performance in the context of a changing climate by explicitly considering different forms of small-scale variation. These challenges highlight the need to empirically and rigorously test existing theories.","container-title":"Journal of Experimental Biology","DOI":"10.1242/jeb.114926","ISSN":"1477-9145, 0022-0949","issue":"12","language":"en","page":"1956-1967","source":"DOI.org (Crossref)","title":"Thermal variation, thermal extremes and the physiological performance of individuals","volume":"218","author":[{"family":"Dowd","given":"W. Wesley"},{"family":"King","given":"Felicia A."},{"family":"Denny","given":"Mark W."}],"editor":[{"family":"Podrabsky","given":"Jason E."},{"family":"Stillman","given":"Jonathon H."},{"family":"Tomanek","given":"Lars"}],"issued":{"date-parts":[["2015",6,1]]}}},{"id":496,"uris":["http://zotero.org/users/13901503/items/GUZQMB3I"],"itemData":{"id":496,"type":"article-journal","abstract":"A cause-and-effect understanding of climate influences on ecosystems requires evaluation of thermal limits of member species and of their ability to cope with changing temperatures. Laboratory data available for marine fish and invertebrates from various climatic regions led to the hypothesis that, as a unifying principle, a mismatch between the demand for oxygen and the capacity of oxygen supply to tissues is the first mechanism to restrict whole-animal tolerance to thermal extremes. We show in the eelpout, Zoarces viviparus, a bioindicator fish species for environmental monitoring from North and Baltic Seas (Helcom), that thermally limited oxygen delivery closely matches environmental temperatures beyond which growth performance and abundance decrease. Decrements in aerobic performance in warming seas will thus be the first process to cause extinction or relocation to cooler waters.","container-title":"Science","DOI":"10.1126/science.1135471","issue":"5808","note":"publisher: American Association for the Advancement of Science","page":"95-97","source":"www-science-org.proxy.lib.umich.edu (Atypon)","title":"Climate Change Affects Marine Fishes Through the Oxygen Limitation of Thermal Tolerance","volume":"315","author":[{"family":"Pörtner","given":"Hans O."},{"family":"Knust","given":"Rainer"}],"issued":{"date-parts":[["2007",1,5]]}}}],"schema":"https://github.com/citation-style-language/schema/raw/master/csl-citation.json"} </w:instrText>
      </w:r>
      <w:r>
        <w:fldChar w:fldCharType="separate"/>
      </w:r>
      <w:r w:rsidR="00DD12D1" w:rsidRPr="00DD12D1">
        <w:t>(</w:t>
      </w:r>
      <w:r w:rsidR="00DD12D1" w:rsidRPr="00DD12D1">
        <w:rPr>
          <w:i/>
          <w:iCs/>
        </w:rPr>
        <w:t>3</w:t>
      </w:r>
      <w:r w:rsidR="00DD12D1" w:rsidRPr="00DD12D1">
        <w:t xml:space="preserve">, </w:t>
      </w:r>
      <w:r w:rsidR="00DD12D1" w:rsidRPr="00DD12D1">
        <w:rPr>
          <w:i/>
          <w:iCs/>
        </w:rPr>
        <w:t>4</w:t>
      </w:r>
      <w:r w:rsidR="00DD12D1" w:rsidRPr="00DD12D1">
        <w:t>)</w:t>
      </w:r>
      <w:r>
        <w:fldChar w:fldCharType="end"/>
      </w:r>
      <w:r>
        <w:t xml:space="preserve">. Much of this research has focused on ectotherms, whose lack of physiological thermoregulation makes them particularly vulnerable to high temperatures </w:t>
      </w:r>
      <w:r>
        <w:fldChar w:fldCharType="begin"/>
      </w:r>
      <w:r w:rsidR="00DD12D1">
        <w:instrText xml:space="preserve"> ADDIN ZOTERO_ITEM CSL_CITATION {"citationID":"FBJsjR0g","properties":{"formattedCitation":"({\\i{}4}\\uc0\\u8211{}{\\i{}6})","plainCitation":"(4–6)","noteIndex":0},"citationItems":[{"id":496,"uris":["http://zotero.org/users/13901503/items/GUZQMB3I"],"itemData":{"id":496,"type":"article-journal","abstract":"A cause-and-effect understanding of climate influences on ecosystems requires evaluation of thermal limits of member species and of their ability to cope with changing temperatures. Laboratory data available for marine fish and invertebrates from various climatic regions led to the hypothesis that, as a unifying principle, a mismatch between the demand for oxygen and the capacity of oxygen supply to tissues is the first mechanism to restrict whole-animal tolerance to thermal extremes. We show in the eelpout, Zoarces viviparus, a bioindicator fish species for environmental monitoring from North and Baltic Seas (Helcom), that thermally limited oxygen delivery closely matches environmental temperatures beyond which growth performance and abundance decrease. Decrements in aerobic performance in warming seas will thus be the first process to cause extinction or relocation to cooler waters.","container-title":"Science","DOI":"10.1126/science.1135471","issue":"5808","note":"publisher: American Association for the Advancement of Science","page":"95-97","source":"www-science-org.proxy.lib.umich.edu (Atypon)","title":"Climate Change Affects Marine Fishes Through the Oxygen Limitation of Thermal Tolerance","volume":"315","author":[{"family":"Pörtner","given":"Hans O."},{"family":"Knust","given":"Rainer"}],"issued":{"date-parts":[["2007",1,5]]}}},{"id":905,"uris":["http://zotero.org/users/13901503/items/3AZ25ELL"],"itemData":{"id":905,"type":"article-journal","abstract":"Thermal performance curves (TPCs), which quantify how an ectotherm's body temperature (Tb) affects its performance or fitness, are often used in an attempt to predict organismal responses to climate change. Here, we examine the key – but often biologically unreasonable – assumptions underlying this approach; for example, that physiology and thermal regimes are invariant over ontogeny, space and time, and also that TPCs are independent of previously experienced Tb. We show how a critical consideration of these assumptions can lead to biologically useful hypotheses and experimental designs. For example, rather than assuming that TPCs are fixed during ontogeny, one can measure TPCs for each major life stage and incorporate these into stage-specific ecological models to reveal the life stage most likely to be vulnerable to climate change. Our overall goal is to explicitly examine the assumptions underlying the integration of TPCs with Tb, to develop a framework within which empiricists can place their work within these limitations, and to facilitate the application of thermal physiology to understanding the biological implications of climate change.","container-title":"Ecology Letters","DOI":"10.1111/ele.12686","ISSN":"1461-0248","issue":"11","language":"en","license":"© 2016 John Wiley &amp; Sons Ltd/CNRS","note":"_eprint: https://onlinelibrary.wiley.com/doi/pdf/10.1111/ele.12686","page":"1372-1385","source":"Wiley Online Library","title":"Can we predict ectotherm responses to climate change using thermal performance curves and body temperatures?","volume":"19","author":[{"family":"Sinclair","given":"Brent J."},{"family":"Marshall","given":"Katie E."},{"family":"Sewell","given":"Mary A."},{"family":"Levesque","given":"Danielle L."},{"family":"Willett","given":"Christopher S."},{"family":"Slotsbo","given":"Stine"},{"family":"Dong","given":"Yunwei"},{"family":"Harley","given":"Christopher D. G."},{"family":"Marshall","given":"David J."},{"family":"Helmuth","given":"Brian S."},{"family":"Huey","given":"Raymond B."}],"issued":{"date-parts":[["2016"]]}}},{"id":458,"uris":["http://zotero.org/users/13901503/items/LZ3ZUX3G"],"itemData":{"id":458,"type":"article-journal","abstract":"Species in which ambient temperatures directly determine offspring sex may be at particular risk as global climates change. Whether or not climate change affects sex ratio depends upon the effectiveness of buffering mechanisms that link ambient regimes to actual nest temperatures. For example, females may simply lay nests earlier in the season, or in more shaded areas, such that incubation thermal regimes are unchanged despite massive ambient fluctuation. Based on eight years of monitoring nests over a 10-year period in the field at an alpine site in southeastern Australia, we show that, even though lizards (Bassiana duperreyi, Scincidae) have adjusted both nest depth and seasonal timing of oviposition in response to rising ambient temperatures, they have been unable to compensate entirely for climate change. That inability stems from the fact that the seasonal progression of soil temperatures, and thus, the degree to which thermal regimes at the time of laying predict subsequent conditions during incubation, also has shifted with climate change. As a result, mean incubation temperatures in natural nests now have crossed the thermal threshold at which incubation temperature directly affects offspring sex in this population.","container-title":"Ecology","DOI":"10.1890/08-1452.1","ISSN":"1939-9170","issue":"1","language":"en","note":"_eprint: https://esajournals.onlinelibrary.wiley.com/doi/pdf/10.1890/08-1452.1","page":"17-22","source":"Wiley Online Library","title":"Nesting lizards (Bassiana duperreyi) compensate partly, but not completely, for climate change","volume":"90","author":[{"family":"Telemeco","given":"Rory S."},{"family":"Elphick","given":"Melanie J."},{"family":"Shine","given":"Richard"}],"issued":{"date-parts":[["2009"]]}}}],"schema":"https://github.com/citation-style-language/schema/raw/master/csl-citation.json"} </w:instrText>
      </w:r>
      <w:r>
        <w:fldChar w:fldCharType="separate"/>
      </w:r>
      <w:r w:rsidR="00DD12D1" w:rsidRPr="00DD12D1">
        <w:t>(</w:t>
      </w:r>
      <w:r w:rsidR="00DD12D1" w:rsidRPr="00DD12D1">
        <w:rPr>
          <w:i/>
          <w:iCs/>
        </w:rPr>
        <w:t>4</w:t>
      </w:r>
      <w:r w:rsidR="00DD12D1" w:rsidRPr="00DD12D1">
        <w:t>–</w:t>
      </w:r>
      <w:r w:rsidR="00DD12D1" w:rsidRPr="00DD12D1">
        <w:rPr>
          <w:i/>
          <w:iCs/>
        </w:rPr>
        <w:t>6</w:t>
      </w:r>
      <w:r w:rsidR="00DD12D1" w:rsidRPr="00DD12D1">
        <w:t>)</w:t>
      </w:r>
      <w:r>
        <w:fldChar w:fldCharType="end"/>
      </w:r>
      <w:r>
        <w:t xml:space="preserve">. However, mounting evidence suggests that endotherms are also physiologically susceptible to heat </w:t>
      </w:r>
      <w:r>
        <w:fldChar w:fldCharType="begin"/>
      </w:r>
      <w:r w:rsidR="00DD12D1">
        <w:instrText xml:space="preserve"> ADDIN ZOTERO_ITEM CSL_CITATION {"citationID":"vuu0n6TK","properties":{"formattedCitation":"({\\i{}7}, {\\i{}8})","plainCitation":"(7, 8)","noteIndex":0},"citationItems":[{"id":328,"uris":["http://zotero.org/users/13901503/items/NPXPNXIZ"],"itemData":{"id":328,"type":"article-journal","container-title":"Physiological and Biochemical Zoology","DOI":"10.1086/673313","ISSN":"1522-2152, 1537-5293","issue":"1","journalAbbreviation":"Physiological and Biochemical Zoology","language":"en","page":"30-45","source":"DOI.org (Crossref)","title":"Are Tropical Small Mammals Physiologically Vulnerable to Arrhenius Effects and Climate Change?","volume":"87","author":[{"family":"Lovegrove","given":"Barry G."},{"family":"Canale","given":"Cindy"},{"family":"Levesque","given":"Danielle"},{"family":"Fluch","given":"Gerhard"},{"family":"Řeháková-Petrů","given":"Milada"},{"family":"Ruf","given":"Thomas"}],"issued":{"date-parts":[["2014",1]]}}},{"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00DD12D1" w:rsidRPr="00DD12D1">
        <w:t>(</w:t>
      </w:r>
      <w:r w:rsidR="00DD12D1" w:rsidRPr="00DD12D1">
        <w:rPr>
          <w:i/>
          <w:iCs/>
        </w:rPr>
        <w:t>7</w:t>
      </w:r>
      <w:r w:rsidR="00DD12D1" w:rsidRPr="00DD12D1">
        <w:t xml:space="preserve">, </w:t>
      </w:r>
      <w:r w:rsidR="00DD12D1" w:rsidRPr="00DD12D1">
        <w:rPr>
          <w:i/>
          <w:iCs/>
        </w:rPr>
        <w:t>8</w:t>
      </w:r>
      <w:r w:rsidR="00DD12D1" w:rsidRPr="00DD12D1">
        <w:t>)</w:t>
      </w:r>
      <w:r>
        <w:fldChar w:fldCharType="end"/>
      </w:r>
      <w:r>
        <w:t xml:space="preserve">, and evolved thermoregulatory mechanisms may be increasingly insufficient to cope with prolonged periods of extreme heat. Recently, research has turned to assessing the role of host-associated microbiomes in shaping how species respond to heat stress. Animals have evolved complex relationships with the microbial communities (i.e., microbiomes) that live on and inside them to the extent that hosts rely on their microbiomes to support diverse aspects of their physiology. Accordingly, studies suggest that microbiomes may play a key role in determining the thermal tolerances of their host species </w:t>
      </w:r>
      <w:r>
        <w:fldChar w:fldCharType="begin"/>
      </w:r>
      <w:r w:rsidR="00DD12D1">
        <w:instrText xml:space="preserve"> ADDIN ZOTERO_ITEM CSL_CITATION {"citationID":"oKd2vMr3","properties":{"formattedCitation":"({\\i{}9}, {\\i{}10})","plainCitation":"(9, 10)","noteIndex":0},"citationItems":[{"id":2012,"uris":["http://zotero.org/users/13901503/items/FPXKKFBT"],"itemData":{"id":2012,"type":"article-journal","abstract":"Physiological responses to changes in environmental conditions such as temperature may partly arise from the resident microbial community that integrates a wide range of bio-physiological aspects of the host. In the present study, we assessed the effect of developmental temperature on the thermal tolerance and microbial community of Drosophila melanogaster. We also developed a bacterial transplantation protocol in order to examine the possibility of reshaping the host bacterial composition and assessed its influence on the thermotolerance phenotype. We found that the temperature during development affected thermal tolerance and the microbial composition of male D. melanogaster. Flies that developed at low temperature (13°C) were the most cold resistant and showed the highest abundance of Wolbachia, while flies that developed at high temperature (31°C) were the most heat tolerant and had the highest abundance of Acetobacter. In addition, feeding newly eclosed flies with bacterial suspensions from intestines of flies developed at low temperatures changed the heat tolerance of recipient flies. However, we were not able to link this directly to a change in the host bacterial composition.","container-title":"Fly","DOI":"10.1080/19336934.2017.1394558","ISSN":"1933-6934","issue":"1","note":"publisher: Taylor &amp; Francis\n_eprint: https://doi.org/10.1080/19336934.2017.1394558\nPMID: 29095113","page":"1-12","source":"Taylor and Francis+NEJM","title":"Strong responses of Drosophila melanogaster microbiota to developmental temperature","volume":"12","author":[{"family":"Moghadam","given":"Neda N."},{"family":"","given":"Thorshauge ,Pia Mai"},{"family":"","given":"Kristensen ,Torsten N."},{"family":"","given":"de Jonge ,Nadieh"},{"family":"","given":"Bahrndorff ,Simon"},{"family":"","given":"Kjeldal ,Henrik"},{"family":"Nielsen","given":"Jeppe Lund","non-dropping-particle":"and"}],"issued":{"date-parts":[["2018",1,2]]}}},{"id":1937,"uris":["http://zotero.org/users/13901503/items/4V3ATJF7"],"itemData":{"id":1937,"type":"article-journal","abstract":"Ocean warming threatens corals and the coral reef ecosystem. Nevertheless, corals can be adapted to their thermal environment and inherit heat tolerance across generations. In addition, the diverse microbes that associate with corals have the capacity for more rapid change, potentially aiding the adaptation of long-lived corals. Here, we show that the microbiome of reef corals is different across thermally variable habitats and changes over time when corals are reciprocally transplanted. Exposing these corals to thermal bleaching conditions changes the microbiome for heat-sensitive corals, but not for heat-tolerant corals growing in habitats with natural high heat extremes. Importantly, particular bacterial taxa predict the coral host response in a short-term heat stress experiment. Such associations could result from parallel responses of the coral and the microbial community to living at high natural temperatures. A competing hypothesis is that the microbial community and coral heat tolerance are causally linked.","container-title":"Nature Communications","DOI":"10.1038/ncomms14213","ISSN":"2041-1723","issue":"1","journalAbbreviation":"Nat Commun","language":"en","license":"2017 The Author(s)","note":"publisher: Nature Publishing Group","page":"14213","source":"www.nature.com","title":"Bacterial community dynamics are linked to patterns of coral heat tolerance","volume":"8","author":[{"family":"Ziegler","given":"Maren"},{"family":"Seneca","given":"Francois O."},{"family":"Yum","given":"Lauren K."},{"family":"Palumbi","given":"Stephen R."},{"family":"Voolstra","given":"Christian R."}],"issued":{"date-parts":[["2017",2,10]]}}}],"schema":"https://github.com/citation-style-language/schema/raw/master/csl-citation.json"} </w:instrText>
      </w:r>
      <w:r>
        <w:fldChar w:fldCharType="separate"/>
      </w:r>
      <w:r w:rsidR="00DD12D1" w:rsidRPr="00DD12D1">
        <w:t>(</w:t>
      </w:r>
      <w:r w:rsidR="00DD12D1" w:rsidRPr="00DD12D1">
        <w:rPr>
          <w:i/>
          <w:iCs/>
        </w:rPr>
        <w:t>9</w:t>
      </w:r>
      <w:r w:rsidR="00DD12D1" w:rsidRPr="00DD12D1">
        <w:t xml:space="preserve">, </w:t>
      </w:r>
      <w:r w:rsidR="00DD12D1" w:rsidRPr="00DD12D1">
        <w:rPr>
          <w:i/>
          <w:iCs/>
        </w:rPr>
        <w:t>10</w:t>
      </w:r>
      <w:r w:rsidR="00DD12D1" w:rsidRPr="00DD12D1">
        <w:t>)</w:t>
      </w:r>
      <w:r>
        <w:fldChar w:fldCharType="end"/>
      </w:r>
      <w:r>
        <w:t xml:space="preserve"> and could be important in facilitating adaptation to higher temperatures </w:t>
      </w:r>
      <w:r>
        <w:fldChar w:fldCharType="begin"/>
      </w:r>
      <w:r w:rsidR="00DD12D1">
        <w:instrText xml:space="preserve"> ADDIN ZOTERO_ITEM CSL_CITATION {"citationID":"b0f0qx7i","properties":{"formattedCitation":"({\\i{}11}\\uc0\\u8211{}{\\i{}13})","plainCitation":"(11–13)","noteIndex":0},"citationItems":[{"id":2007,"uris":["http://zotero.org/users/13901503/items/HV624X5I"],"itemData":{"id":2007,"type":"article-journal","abstract":"At the current rate of climate change, it is unlikely that multicellular organisms will be able to adapt to changing environmental conditions through genetic recombination and natural selection alone. Thus, it is critical to understand alternative mechanisms that allow organisms to cope with rapid environmental changes. Here, we use the sea anemone Nematostella vectensis, which has evolved the capability of surviving in a wide range of temperatures and salinities, as a model to investigate the microbiota as a source of rapid adaptation. We long-term acclimate polyps of Nematostella to low, medium, and high temperatures, to test the impact of microbiota-mediated plasticity on animal acclimation. Using the same animal clonal line, propagated from a single polyp, allows us to eliminate the effects of the host genotype. The higher thermal tolerance of animals acclimated to high temperature can be transferred to non-acclimated animals through microbiota transplantation. The offspring fitness is highest from F0 females acclimated to high temperature and specific members of the acclimated microbiota are transmitted to the next generation. These results indicate that microbiota plasticity can contribute to animal thermal acclimation and its transmission to the next generation may represent a rapid mechanism for thermal adaptation.","container-title":"Nature Communications","DOI":"10.1038/s41467-022-31350-z","ISSN":"2041-1723","issue":"1","journalAbbreviation":"Nat Commun","language":"en","license":"2022 The Author(s)","note":"publisher: Nature Publishing Group","page":"3804","source":"www.nature.com","title":"Microbiota mediated plasticity promotes thermal adaptation in the sea anemone Nematostella vectensis","volume":"13","author":[{"family":"Baldassarre","given":"Laura"},{"family":"Ying","given":"Hua"},{"family":"Reitzel","given":"Adam M."},{"family":"Franzenburg","given":"Sören"},{"family":"Fraune","given":"Sebastian"}],"issued":{"date-parts":[["2022",7,1]]}}},{"id":1984,"uris":["http://zotero.org/users/13901503/items/MQAWHGAH"],"itemData":{"id":1984,"type":"article-journal","abstract":"Climate change and increasing global temperatures are a leading threat to ectothermic animals worldwide. Ectotherm persistence under climate change will depend on a combination of host and environmental factors; recently it has become clear that host-associated microbial communities contribute significantly to the response of ectotherms to environmental warming. However, several unanswered questions about these relationships remain before accurate predictions can be made regarding the microbiome's influence on host ecology and evolution under climate warming. In this Commentary, we provide a brief background of what is currently known about the influence of the microbiome on heat tolerance in both invertebrate and vertebrate ectothermic animals, and the mechanisms behind these effects. We then outline what we feel are important priorities for future work in the field, and how these goals could be accomplished. We specifically highlight a need for more diversity in study systems, especially through increasing representation of vertebrate hosts and hosts across a variety of life-history traits and habitats, as well as a greater understanding of how these relationships manifest in field settings. Lastly, we discuss the implications of microbiome-mediated heat tolerance for animal conservation under climate change and the possibility of ‘bioaugmentation’ approaches to bolster host heat tolerance in vulnerable populations.","container-title":"Journal of Experimental Biology","DOI":"10.1242/jeb.245761","ISSN":"0022-0949","issue":"12","journalAbbreviation":"Journal of Experimental Biology","page":"jeb245761","source":"Silverchair","title":"Ectotherm heat tolerance and the microbiome: current understanding, future directions and potential applications","title-short":"Ectotherm heat tolerance and the microbiome","volume":"226","author":[{"family":"Fontaine","given":"Samantha S."},{"family":"Kohl","given":"Kevin D."}],"issued":{"date-parts":[["2023",6,14]]}}},{"id":1981,"uris":["http://zotero.org/users/13901503/items/F3A4YYL6"],"itemData":{"id":1981,"type":"article-journal","container-title":"Trends in Ecology &amp; Evolution","DOI":"10.1016/j.tree.2022.03.011","ISSN":"0169-5347","issue":"7","journalAbbreviation":"Trends in Ecology &amp; Evolution","language":"English","note":"publisher: Elsevier\nPMID: 35491290","page":"611-624","source":"www-cell-com.proxy.lib.umich.edu","title":"Symbiosis and host responses to heating","volume":"37","author":[{"family":"Hector","given":"Tobias E."},{"family":"Hoang","given":"Kim L."},{"family":"Li","given":"Jingdi"},{"family":"King","given":"Kayla C."}],"issued":{"date-parts":[["2022",7,1]]}}}],"schema":"https://github.com/citation-style-language/schema/raw/master/csl-citation.json"} </w:instrText>
      </w:r>
      <w:r>
        <w:fldChar w:fldCharType="separate"/>
      </w:r>
      <w:r w:rsidR="00DD12D1" w:rsidRPr="00DD12D1">
        <w:t>(</w:t>
      </w:r>
      <w:r w:rsidR="00DD12D1" w:rsidRPr="00DD12D1">
        <w:rPr>
          <w:i/>
          <w:iCs/>
        </w:rPr>
        <w:t>11</w:t>
      </w:r>
      <w:r w:rsidR="00DD12D1" w:rsidRPr="00DD12D1">
        <w:t>–</w:t>
      </w:r>
      <w:r w:rsidR="00DD12D1" w:rsidRPr="00DD12D1">
        <w:rPr>
          <w:i/>
          <w:iCs/>
        </w:rPr>
        <w:t>13</w:t>
      </w:r>
      <w:r w:rsidR="00DD12D1" w:rsidRPr="00DD12D1">
        <w:t>)</w:t>
      </w:r>
      <w:r>
        <w:fldChar w:fldCharType="end"/>
      </w:r>
      <w:r>
        <w:t xml:space="preserve">. For example, experimental research has shown that heat stress can deplete microbiome communities and has been associated with negative phenotypic, survivorship, and fitness outcomes </w:t>
      </w:r>
      <w:r>
        <w:fldChar w:fldCharType="begin"/>
      </w:r>
      <w:r w:rsidR="00DD12D1">
        <w:instrText xml:space="preserve"> ADDIN ZOTERO_ITEM CSL_CITATION {"citationID":"4mSUqt8V","properties":{"formattedCitation":"({\\i{}14}, {\\i{}15})","plainCitation":"(14, 15)","noteIndex":0},"citationItems":[{"id":1939,"uris":["http://zotero.org/users/13901503/items/SAKGV5WG"],"itemData":{"id":1939,"type":"article-journal","abstract":"&lt;p&gt;The gut microbiota can contribute to host physiology leading to an increase of resistance to abiotic stress conditions. For instance, temperature has profound effects on ectotherms, and the role of the gut microbiota on the thermal tolerance of ectotherms is a matter of recent research. However, most of these studies have been focused on single static temperatures instead of evaluating thermal tolerance in a wide range of stressful temperatures. Additionally, there is evidence supporting that the gut microbiota is sensitive to environmental temperature, which induces changes in its composition and diversity. These studies have evaluated the effects of thermal acclimation (&amp;gt;2 weeks) on the gut microbiota, but we know little about the impact of transient thermal stress on the composition and diversity of the gut microbiota. Thus, we investigated the role of the gut microbiota on the heat tolerance of &lt;italic&gt;Drosophila subobscura&lt;/italic&gt; by measuring the heat tolerance of conventional and axenic flies exposed to different heat stressful temperatures (35, 36, 37, and 38°C) and estimating the heat tolerance landscape for both microbiota treatments. Conventional flies exposed to mild heat conditions exhibited higher thermal tolerance than axenic flies, whereas at higher stressful temperatures there were no differences between axenic and conventional flies. We also assessed the impact of transient heat stress on the taxonomical abundance, diversity, and community structure of the gut microbiota, comparing non-stressed flies (exposed to 21°C) and heat-stressed flies (exposed to 34°C) from both sexes. Bacterial diversity indices, bacterial abundances, and community structure changed between non-stressed and heat-stressed flies, and this response was sex-dependent. In general, our findings provide evidence that the gut microbiota influences heat tolerance and that heat stress modifies the gut microbiota at the taxonomical and structural levels. These results demonstrate that the gut microbiota contributes to heat tolerance and is also highly sensitive to transient heat stress, which could have important consequences on host fitness, population risk extinction, and the vulnerability of ectotherms to current and future climatic conditions.&lt;/p&gt;","container-title":"Frontiers in Microbiology","DOI":"10.3389/fmicb.2021.654108","ISSN":"1664-302X","journalAbbreviation":"Front. Microbiol.","language":"English","note":"publisher: Frontiers","source":"Frontiers","title":"Gut Microbiota of Drosophila subobscura Contributes to Its Heat Tolerance and Is Sensitive to Transient Thermal Stress","URL":"https://www.frontiersin.org/journals/microbiology/articles/10.3389/fmicb.2021.654108/full","volume":"12","author":[{"family":"Jaramillo","given":"Angélica"},{"family":"Castañeda","given":"Luis E."}],"accessed":{"date-parts":[["2025",3,18]]},"issued":{"date-parts":[["2021",5,6]]}}},{"id":1970,"uris":["http://zotero.org/users/13901503/items/NNJMGS6Z"],"itemData":{"id":1970,"type":"article-journal","abstract":"The thermal tolerance of an organism limits its ecological and geographic ranges and is potentially affected by dependence on temperature-sensitive symbiotic partners. Aphid species vary widely in heat sensitivity, but almost all aphids are dependent on the nutrient-provisioning intracellular bacterium Buchnera, which has evolved with aphids for 100 million years and which has a reduced genome potentially limiting heat tolerance. We addressed whether heat sensitivity of Buchnera underlies variation in thermal tolerance among 5 aphid species. We measured how heat exposure of juvenile aphids affects later survival, maturation time, and fecundity. At one extreme, heat exposure of Aphis gossypii enhanced fecundity and had no effect on the Buchnera titer. In contrast, heat suppressed Buchnera populations in Aphis fabae, which suffered elevated mortality, delayed development and reduced fecundity. Likewise, in Acyrthosiphon kondoi and Acyrthosiphon pisum, heat caused rapid declines in Buchnera numbers, as well as reduced survivorship, development rate, and fecundity. Fecundity following heat exposure is severely decreased by a Buchnera mutation that suppresses the transcriptional response of a gene encoding a small heat shock protein. Similarly, absence of this Buchnera heat shock gene may explain the heat sensitivity of Ap. fabae. Fluorescent in situ hybridization revealed heat-induced deformation and shrinkage of bacteriocytes in heat-sensitive species but not in heat-tolerant species. Sensitive and tolerant species also differed in numbers and transcriptional responses of heat shock genes. These results show that shifts in Buchnera heat sensitivity contribute to host variation in heat tolerance.","container-title":"Proceedings of the National Academy of Sciences","DOI":"10.1073/pnas.1915307116","issue":"49","note":"publisher: Proceedings of the National Academy of Sciences","page":"24712-24718","source":"www-pnas-org.proxy.lib.umich.edu (Atypon)","title":"Obligate bacterial endosymbionts limit thermal tolerance of insect host species","volume":"116","author":[{"family":"Zhang","given":"Bo"},{"family":"Leonard","given":"Sean P."},{"family":"Li","given":"Yiyuan"},{"family":"Moran","given":"Nancy A."}],"issued":{"date-parts":[["2019",12,3]]}}}],"schema":"https://github.com/citation-style-language/schema/raw/master/csl-citation.json"} </w:instrText>
      </w:r>
      <w:r>
        <w:fldChar w:fldCharType="separate"/>
      </w:r>
      <w:r w:rsidR="00DD12D1" w:rsidRPr="00DD12D1">
        <w:t>(</w:t>
      </w:r>
      <w:r w:rsidR="00DD12D1" w:rsidRPr="00DD12D1">
        <w:rPr>
          <w:i/>
          <w:iCs/>
        </w:rPr>
        <w:t>14</w:t>
      </w:r>
      <w:r w:rsidR="00DD12D1" w:rsidRPr="00DD12D1">
        <w:t xml:space="preserve">, </w:t>
      </w:r>
      <w:r w:rsidR="00DD12D1" w:rsidRPr="00DD12D1">
        <w:rPr>
          <w:i/>
          <w:iCs/>
        </w:rPr>
        <w:t>15</w:t>
      </w:r>
      <w:r w:rsidR="00DD12D1" w:rsidRPr="00DD12D1">
        <w:t>)</w:t>
      </w:r>
      <w:r>
        <w:fldChar w:fldCharType="end"/>
      </w:r>
      <w:r>
        <w:t>.</w:t>
      </w:r>
      <w:r w:rsidR="00143DA7">
        <w:t xml:space="preserve"> While this research highlights that heat is an important determinant of host-microbiome relationships, it has largely been conducted in laboratory settings and offers limited insight into how these dynamics function in ecologically relevant contexts.</w:t>
      </w:r>
    </w:p>
    <w:p w14:paraId="70E5AEA9" w14:textId="7140C14F" w:rsidR="00597A43" w:rsidRDefault="00597A43" w:rsidP="009718F1">
      <w:pPr>
        <w:ind w:firstLine="720"/>
      </w:pPr>
      <w:r>
        <w:t xml:space="preserve">The gastrointestinal tract is home to a particularly dense microbial community, the gut microbiome, that plays a crucial role in regulating host responses to environmental change </w:t>
      </w:r>
      <w:r>
        <w:fldChar w:fldCharType="begin"/>
      </w:r>
      <w:r w:rsidR="00DD12D1">
        <w:instrText xml:space="preserve"> ADDIN ZOTERO_ITEM CSL_CITATION {"citationID":"kSWF8uoc","properties":{"formattedCitation":"({\\i{}16})","plainCitation":"(16)","noteIndex":0},"citationItems":[{"id":79,"uris":["http://zotero.org/users/13901503/items/C8P3HJIC"],"itemData":{"id":79,"type":"article-journal","abstract":"The mammalian gut is home to a diverse community of microbes. Advances in technology over the past two decades have allowed us to examine this community, the gut microbiota, in more detail, revealing a wide range of influences on host nutrition, health, and behavior. These host-gut microbe interactions appear to shape host plasticity and fitness in a variety of contexts, and therefore represent a key factor missing from existing models of human and non-human primate ecology and evolution. However, current studies of the gut microbiota tend to include limited contextual data or are clinical, making it difficult to directly test broad anthropological hypotheses. Here, I review what is known about the animal gut microbiota and provide examples of how gut microbiota research can be integrated into the study of human and non-human primate ecology and evolution with targeted data collection. Specifically, I examine how the gut microbiota may impact primate diet, energetics, disease resistance, and cognition. While gut microbiota research is proliferating rapidly, especially in the context of humans, there remain important gaps in our understanding of host-gut microbe interactions that will require an anthropological perspective to fill. Likewise, gut microbiota research will be an important tool for filling remaining gaps in anthropological research. Am J Phys Anthropol 159:S196–S215, 2016. © 2016 American Association of Physical Anthropologists","container-title":"American Journal of Physical Anthropology","DOI":"10.1002/ajpa.22908","ISSN":"1096-8644","issue":"S61","language":"en","license":"© 2016 American Association of Physical Anthropologists","note":"_eprint: https://onlinelibrary.wiley.com/doi/pdf/10.1002/ajpa.22908","page":"196-215","source":"Wiley Online Library","title":"Incorporating the gut microbiota into models of human and non-human primate ecology and evolution","volume":"159","author":[{"family":"Amato","given":"Katherine R."}],"issued":{"date-parts":[["2016"]]}}}],"schema":"https://github.com/citation-style-language/schema/raw/master/csl-citation.json"} </w:instrText>
      </w:r>
      <w:r>
        <w:fldChar w:fldCharType="separate"/>
      </w:r>
      <w:r w:rsidR="00DD12D1" w:rsidRPr="00DD12D1">
        <w:t>(</w:t>
      </w:r>
      <w:r w:rsidR="00DD12D1" w:rsidRPr="00DD12D1">
        <w:rPr>
          <w:i/>
          <w:iCs/>
        </w:rPr>
        <w:t>16</w:t>
      </w:r>
      <w:r w:rsidR="00DD12D1" w:rsidRPr="00DD12D1">
        <w:t>)</w:t>
      </w:r>
      <w:r>
        <w:fldChar w:fldCharType="end"/>
      </w:r>
      <w:r>
        <w:t>, making it an ideal system to explore how species may respond to rising temperatures.</w:t>
      </w:r>
      <w:r w:rsidRPr="00EB3A97">
        <w:t xml:space="preserve"> </w:t>
      </w:r>
      <w:r>
        <w:t xml:space="preserve">High temperatures have been shown to alter community composition </w:t>
      </w:r>
      <w:r>
        <w:fldChar w:fldCharType="begin"/>
      </w:r>
      <w:r w:rsidR="00DD12D1">
        <w:instrText xml:space="preserve"> ADDIN ZOTERO_ITEM CSL_CITATION {"citationID":"CW8A05XN","properties":{"formattedCitation":"({\\i{}17})","plainCitation":"(17)","noteIndex":0},"citationItems":[{"id":960,"uris":["http://zotero.org/users/13901503/items/KQS25QFF"],"itemData":{"id":960,"type":"article-journal","abstract":"Temperature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fldChar w:fldCharType="separate"/>
      </w:r>
      <w:r w:rsidR="00DD12D1" w:rsidRPr="00DD12D1">
        <w:t>(</w:t>
      </w:r>
      <w:r w:rsidR="00DD12D1" w:rsidRPr="00DD12D1">
        <w:rPr>
          <w:i/>
          <w:iCs/>
        </w:rPr>
        <w:t>17</w:t>
      </w:r>
      <w:r w:rsidR="00DD12D1" w:rsidRPr="00DD12D1">
        <w:t>)</w:t>
      </w:r>
      <w:r>
        <w:fldChar w:fldCharType="end"/>
      </w:r>
      <w:r w:rsidRPr="00EB3A97">
        <w:t xml:space="preserve"> </w:t>
      </w:r>
      <w:r>
        <w:t xml:space="preserve">and are linked to changes in host digestion, metabolism, and immune function </w:t>
      </w:r>
      <w:r>
        <w:fldChar w:fldCharType="begin"/>
      </w:r>
      <w:r w:rsidR="00DD12D1">
        <w:instrText xml:space="preserve"> ADDIN ZOTERO_ITEM CSL_CITATION {"citationID":"AhT7VoQB","properties":{"formattedCitation":"({\\i{}18}\\uc0\\u8211{}{\\i{}21})","plainCitation":"(18–21)","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sidR="00DD12D1" w:rsidRPr="00DD12D1">
        <w:t>(</w:t>
      </w:r>
      <w:r w:rsidR="00DD12D1" w:rsidRPr="00DD12D1">
        <w:rPr>
          <w:i/>
          <w:iCs/>
        </w:rPr>
        <w:t>18</w:t>
      </w:r>
      <w:r w:rsidR="00DD12D1" w:rsidRPr="00DD12D1">
        <w:t>–</w:t>
      </w:r>
      <w:r w:rsidR="00DD12D1" w:rsidRPr="00DD12D1">
        <w:rPr>
          <w:i/>
          <w:iCs/>
        </w:rPr>
        <w:t>21</w:t>
      </w:r>
      <w:r w:rsidR="00DD12D1" w:rsidRPr="00DD12D1">
        <w:t>)</w:t>
      </w:r>
      <w:r>
        <w:fldChar w:fldCharType="end"/>
      </w:r>
      <w:r w:rsidR="009718F1">
        <w:t xml:space="preserve">, but these relationships have yet to be demonstrated in wild populations. </w:t>
      </w:r>
      <w:r>
        <w:t xml:space="preserve">Heat-induced disruptions to the intestinal redox environment may initiate a physiological cascade that alters microbiome composition and affects host immunity, compromising the gut microbiome’s ability to perform functions essential to host health. It is well-known that heat stress can cause redox imbalance— the accumulation of reactive oxygen species (ROS) that can damage cells </w:t>
      </w:r>
      <w:r>
        <w:fldChar w:fldCharType="begin"/>
      </w:r>
      <w:r w:rsidR="00DD12D1">
        <w:instrText xml:space="preserve"> ADDIN ZOTERO_ITEM CSL_CITATION {"citationID":"BO0hXDLn","properties":{"formattedCitation":"({\\i{}22}, {\\i{}23})","plainCitation":"(22, 23)","noteIndex":0},"citationItems":[{"id":3717,"uris":["http://zotero.org/users/13901503/items/UEK27R7E"],"itemData":{"id":3717,"type":"article-journal","abstract":"In recent years there has been enormous interest in researching oxidative stress. Reactive oxygen species (ROS) are derived from the metabolism of oxygen as by-products of cell respiration, and are continuously produced in all aerobic organisms. Oxidative stress occurs as a consequence of an imbalance between ROS production and the available antioxidant defence against them. Nowadays, a variety of diseases and degenerative processes such as cancer, Alzheimer’s and autoimmune diseases are mediated by oxidative stress. Heat stress was suggested to be an environmental factor responsible for stimulating ROS production because of similarities in responses observed following heat stress compared with that occurring following exposure to oxidative stress. This manuscript describes the main mitochondrial sources of ROS and the antioxidant defences involved to prevent oxidative damage in all the mitochondrial compartments. It also deals with discussions concerning the cytotoxic effect of heat stress, mitochondrial heat-induced alterations, as well as heat shock protein (HSP) expression as a defence mechanism.","container-title":"International Journal of Hyperthermia","DOI":"10.3109/02656736.2014.971446","ISSN":"0265-6736","issue":"7","note":"publisher: Taylor &amp; Francis\n_eprint: https://doi.org/10.3109/02656736.2014.971446\nPMID: 25354680","page":"513-523","source":"Taylor and Francis+NEJM","title":"Reactive oxygen species, heat stress and oxidative-induced mitochondrial damage. A review","volume":"30","author":[{"family":"Belhadj Slimen","given":"Imen"},{"family":"Taha","given":"Najar"},{"family":"Abdeljelil","given":"Ghram"},{"family":"Hajer","given":"Dabbebi"},{"family":"Moncef","given":"Ben Mrad"},{"family":"Manef","given":"Abdrabbah"}],"issued":{"date-parts":[["2014",11,1]]}}},{"id":3578,"uris":["http://zotero.org/users/13901503/items/P49Z4HNB"],"itemData":{"id":3578,"type":"article-journal","abstract":"The transcription factor nuclear factor erythroid 2-related factor 2 (NRF2) is a key regulator of the cellular antioxidant response, controlling the expression of genes that counteract oxidative and electrophilic stresses. Many pathological conditions are linked to imbalances in redox homeostasis, illustrating the important role of antioxidant defense systems in preventing the pathogenic effects associated with the accumulation of reactive species. In particular, it is becoming increasingly apparent that the accumulation of lipid peroxides has an important role in driving the pathogenesis of multiple disease states. A key example of this is the recent discovery of a novel form of cell death termed ferroptosis. Ferroptosis is an iron-dependent, lipid peroxidation-driven cell death cascade that has become a key target in the development of anti-cancer therapies, as well as the prevention of neurodegenerative and cardiovascular diseases. In this review, we will provide a brief overview of lipid peroxidation, as well as key components involved in the ferroptotic cascade. We will also highlight the role of the NRF2 signaling pathway in mediating lipid peroxidation and ferroptosis, focusing on established NRF2 target genes that mitigate these pathways, as well as the relevance of the NRF2-lipid peroxidation-ferroptosis axis in disease.","collection-title":"Lipoxidation targets: from basic mechanisms to pathophysiology","container-title":"Redox Biology","DOI":"10.1016/j.redox.2019.101107","ISSN":"2213-2317","journalAbbreviation":"Redox Biology","page":"101107","source":"ScienceDirect","title":"NRF2 plays a critical role in mitigating lipid peroxidation and ferroptosis","volume":"23","author":[{"family":"Dodson","given":"Matthew"},{"family":"Castro-Portuguez","given":"Raul"},{"family":"Zhang","given":"Donna D."}],"issued":{"date-parts":[["2019",5,1]]}}}],"schema":"https://github.com/citation-style-language/schema/raw/master/csl-citation.json"} </w:instrText>
      </w:r>
      <w:r>
        <w:fldChar w:fldCharType="separate"/>
      </w:r>
      <w:r w:rsidR="00DD12D1" w:rsidRPr="00DD12D1">
        <w:t>(</w:t>
      </w:r>
      <w:r w:rsidR="00DD12D1" w:rsidRPr="00DD12D1">
        <w:rPr>
          <w:i/>
          <w:iCs/>
        </w:rPr>
        <w:t>22</w:t>
      </w:r>
      <w:r w:rsidR="00DD12D1" w:rsidRPr="00DD12D1">
        <w:t xml:space="preserve">, </w:t>
      </w:r>
      <w:r w:rsidR="00DD12D1" w:rsidRPr="00DD12D1">
        <w:rPr>
          <w:i/>
          <w:iCs/>
        </w:rPr>
        <w:t>23</w:t>
      </w:r>
      <w:r w:rsidR="00DD12D1" w:rsidRPr="00DD12D1">
        <w:t>)</w:t>
      </w:r>
      <w:r>
        <w:fldChar w:fldCharType="end"/>
      </w:r>
      <w:r>
        <w:t xml:space="preserve">, compromise the epithelial barrier </w:t>
      </w:r>
      <w:r>
        <w:fldChar w:fldCharType="begin"/>
      </w:r>
      <w:r w:rsidR="00DD12D1">
        <w:instrText xml:space="preserve"> ADDIN ZOTERO_ITEM CSL_CITATION {"citationID":"p6SP8MSV","properties":{"formattedCitation":"({\\i{}24})","plainCitation":"(24)","noteIndex":0},"citationItems":[{"id":3191,"uris":["http://zotero.org/users/13901503/items/EJNDQDMH"],"itemData":{"id":3191,"type":"article-journal","abstract":"The purpose of this study was to characterize intestinal permeability changes over a range of physiologically relevant body temperatures in vivo and in vitro. Initially, FITC-dextran (4,000 Da), a large fluorescent molecule, was loaded into the small intestine of anesthetized rats. The rats were then maintained at </w:instrText>
      </w:r>
      <w:r w:rsidR="00DD12D1">
        <w:rPr>
          <w:rFonts w:ascii="Cambria Math" w:hAnsi="Cambria Math" w:cs="Cambria Math"/>
        </w:rPr>
        <w:instrText>∼</w:instrText>
      </w:r>
      <w:r w:rsidR="00DD12D1">
        <w:instrText xml:space="preserve">37°C or heated over 90 min to a core body temperature of </w:instrText>
      </w:r>
      <w:r w:rsidR="00DD12D1">
        <w:rPr>
          <w:rFonts w:ascii="Cambria Math" w:hAnsi="Cambria Math" w:cs="Cambria Math"/>
        </w:rPr>
        <w:instrText>∼</w:instrText>
      </w:r>
      <w:r w:rsidR="00DD12D1">
        <w:instrText xml:space="preserve">41, </w:instrText>
      </w:r>
      <w:r w:rsidR="00DD12D1">
        <w:rPr>
          <w:rFonts w:ascii="Cambria Math" w:hAnsi="Cambria Math" w:cs="Cambria Math"/>
        </w:rPr>
        <w:instrText>∼</w:instrText>
      </w:r>
      <w:r w:rsidR="00DD12D1">
        <w:instrText xml:space="preserve">41.5, or </w:instrText>
      </w:r>
      <w:r w:rsidR="00DD12D1">
        <w:rPr>
          <w:rFonts w:ascii="Cambria Math" w:hAnsi="Cambria Math" w:cs="Cambria Math"/>
        </w:rPr>
        <w:instrText>∼</w:instrText>
      </w:r>
      <w:r w:rsidR="00DD12D1">
        <w:instrText xml:space="preserve">42.5°C. Permeability was greater in the 42.5°C group compared with the 37, 41, or 41.5°C groups. Histological analysis revealed intestinal epithelial damage in heated groups. Everted intestinal sacs were then used to further characterize hyperthermia-induced intestinal permeability and to study the potential role of oxidative and nitrosative stress. Increased permeability to 4,000-Da FITC-dextran in both small intestinal and colonic sacs was observed at a temperature of 41.5–42°C compared with 37°C, along with widespread intestinal epithelial damage. Administration of antioxidant enzyme mimics or a nitric oxide synthase inhibitor did not reduce permeability due to heat stress, and tissue concentrations of a lipid peroxidation product were not altered by heat stress, suggesting that oxidative and nitrosative stress were not likely mediators of this phenomenon in vitro. In conclusion, hyperthermia produced increased permeability and marked intestinal epithelial damage both in vivo and in vitro, suggesting that thermal disruption of epithelial membranes contributes to the intestinal barrier dysfunction manifested with heat stress.","container-title":"Journal of Applied Physiology","DOI":"10.1152/japplphysiol.00787.2001","ISSN":"8750-7587","issue":"4","note":"publisher: American Physiological Society","page":"1750-1761","source":"journals.physiology.org (Atypon)","title":"Selected Contribution: Hyperthermia-induced intestinal  permeability and the role of oxidative  and nitrosative stress","title-short":"Selected Contribution","volume":"92","author":[{"family":"Lambert","given":"G. P."},{"family":"Gisolfi","given":"C. V."},{"family":"Berg","given":"D. J."},{"family":"Moseley","given":"P. L."},{"family":"Oberley","given":"L. W."},{"family":"Kregel","given":"K. C."}],"issued":{"date-parts":[["2002",4]]}}}],"schema":"https://github.com/citation-style-language/schema/raw/master/csl-citation.json"} </w:instrText>
      </w:r>
      <w:r>
        <w:fldChar w:fldCharType="separate"/>
      </w:r>
      <w:r w:rsidR="00DD12D1" w:rsidRPr="00DD12D1">
        <w:t>(</w:t>
      </w:r>
      <w:r w:rsidR="00DD12D1" w:rsidRPr="00DD12D1">
        <w:rPr>
          <w:i/>
          <w:iCs/>
        </w:rPr>
        <w:t>24</w:t>
      </w:r>
      <w:r w:rsidR="00DD12D1" w:rsidRPr="00DD12D1">
        <w:t>)</w:t>
      </w:r>
      <w:r>
        <w:fldChar w:fldCharType="end"/>
      </w:r>
      <w:r>
        <w:t xml:space="preserve">, and trigger immune activation </w:t>
      </w:r>
      <w:r>
        <w:fldChar w:fldCharType="begin"/>
      </w:r>
      <w:r w:rsidR="00DD12D1">
        <w:instrText xml:space="preserve"> ADDIN ZOTERO_ITEM CSL_CITATION {"citationID":"XmY2intM","properties":{"formattedCitation":"({\\i{}25})","plainCitation":"(25)","noteIndex":0},"citationItems":[{"id":430,"uris":["http://zotero.org/users/13901503/items/SNI7JEF9"],"itemData":{"id":430,"type":"article-journal","abstract":"High ambient temperature has multiple potential effects on the organism such as hyperthermia, endotoxemia, and/or systemic inflammation. However, it is often difficult to discriminate between cause and consequence of phenotypic effects, such as the indirect influence of heat stress via reduced food intake. Lactating dairy cows are a particularly sensitive model to examine the effects of heat stress due to their intensive metabolic heat production and small surface:volume ratio. Results from this model show heat stress directly induced a so-far unknown infiltration of yet uncategorized cells into the mucosa and submucosa of the jejunum. Due to a pair-feeding design, we can exclude this effect being a consequence of the concurrent heat-induced reduction in feed intake. Isolation and characterization of the infiltrating cells using laser capture microdissection and RNA sequencing indicated a myeloic origin and macrophage-like phenotype. Furthermore, targeted transcriptome analyses provided evidence of activated immune- and phagocytosis-related pathways with LPS and cytokines as upstream regulators directly associated with heat stress. Finally, we obtained indication that heat stress may directly alter jejunal tight junction proteins suggesting an impaired intestinal barrier. The penetration of toxic and bacterial compounds during heat stress may have triggered a modulated immune repertoire and induced an antioxidative defense mechanism to maintain homeostasis between commensal bacteria and the jejunal immune system. Our bovine model indicates direct effects of heat stress on the jejunum of mammals already at moderately elevated ambient temperature. These results need to be considered when developing concepts to combat the negative consequences of heat stress.","container-title":"Proceedings of the National Academy of Sciences","DOI":"10.1073/pnas.1820130116","issue":"21","note":"publisher: Proceedings of the National Academy of Sciences","page":"10333-10338","source":"www-pnas-org.proxy.lib.umich.edu (Atypon)","title":"Heat stress directly impairs gut integrity and recruits distinct immune cell populations into the bovine intestine","volume":"116","author":[{"family":"Koch","given":"Franziska"},{"family":"Thom","given":"Ulrike"},{"family":"Albrecht","given":"Elke"},{"family":"Weikard","given":"Rosemarie"},{"family":"Nolte","given":"Wietje"},{"family":"Kuhla","given":"Björn"},{"family":"Kuehn","given":"Christa"}],"issued":{"date-parts":[["2019",5,21]]}}}],"schema":"https://github.com/citation-style-language/schema/raw/master/csl-citation.json"} </w:instrText>
      </w:r>
      <w:r>
        <w:fldChar w:fldCharType="separate"/>
      </w:r>
      <w:r w:rsidR="00DD12D1" w:rsidRPr="00DD12D1">
        <w:t>(</w:t>
      </w:r>
      <w:r w:rsidR="00DD12D1" w:rsidRPr="00DD12D1">
        <w:rPr>
          <w:i/>
          <w:iCs/>
        </w:rPr>
        <w:t>25</w:t>
      </w:r>
      <w:r w:rsidR="00DD12D1" w:rsidRPr="00DD12D1">
        <w:t>)</w:t>
      </w:r>
      <w:r>
        <w:fldChar w:fldCharType="end"/>
      </w:r>
      <w:r>
        <w:t xml:space="preserve">. Gut microbes typically help maintain redox balance </w:t>
      </w:r>
      <w:r>
        <w:fldChar w:fldCharType="begin"/>
      </w:r>
      <w:r w:rsidR="00DD12D1">
        <w:instrText xml:space="preserve"> ADDIN ZOTERO_ITEM CSL_CITATION {"citationID":"yxSWjnfP","properties":{"formattedCitation":"({\\i{}26}\\uc0\\u8211{}{\\i{}28})","plainCitation":"(26–28)","noteIndex":0},"citationItems":[{"id":3255,"uris":["http://zotero.org/users/13901503/items/FQ9APYWZ"],"itemData":{"id":3255,"type":"article-journal","abstract":"The human gastrointestinal tract is home to a complex microbial community that plays an important role in the general well-being of the entire organism. The gut microbiota generates a variety of metabolites and thereby regulates many biological processes, such as the regulation of the immune system. In the gut, bacteria are in direct contact with the host. The major challenge here is to prevent unwanted inflammatory reactions on one hand and on the other hand to ensure that the immune system can be activated when pathogens invade. Here the REDOX equilibrium is of utmost importance. This REDOX equilibrium is controlled by the microbiota either directly or indirectly via bacterial-derived metabolites. A balanced microbiome sorts for a stable REDOX balance, whereas dysbiosis destabilizes this equilibrium. An imbalanced REDOX status directly affects the immune system by disrupting intracellular signaling and promoting inflammatory responses. Here we (i) focus on the most common reactive oxygen species (ROS) and (ii) define the transition from a balanced REDOX state to oxidative stress. Further, we (iii) describe the role of ROS in regulating the immune system and inflammatory responses. Thereafter, we (iv) examine the influence of microbiota on REDOX homeostasis and how shifts in pro- and anti-oxidative cellular conditions can suppress or promote immune responses or inflammation.","container-title":"Biomedicines","DOI":"10.3390/biomedicines11051388","ISSN":"2227-9059","issue":"5","journalAbbreviation":"Biomedicines","note":"PMID: 37239059\nPMCID: PMC10216031","page":"1388","source":"PubMed Central","title":"The Influence of Gut Microbiota on Oxidative Stress and the Immune System","volume":"11","author":[{"family":"Kunst","given":"Claudia"},{"family":"Schmid","given":"Stephan"},{"family":"Michalski","given":"Marlen"},{"family":"Tümen","given":"Deniz"},{"family":"Buttenschön","given":"Jonas"},{"family":"Müller","given":"Martina"},{"family":"Gülow","given":"Karsten"}],"issued":{"date-parts":[["2023",5,8]]}}},{"id":3297,"uris":["http://zotero.org/users/13901503/items/LKCDGAMP"],"itemData":{"id":3297,"type":"article-journal","abstract":"Recent studies have indicated that gut microbiota-mediated oxidative stress is significantly associated with intestinal diseases such as colorectal cancer, ulcerative colitis, and Crohn’s disease. The level of reactive oxygen species (ROS) has been reported to increase when the gut microbiota is dysregulated, especially when several gut bacterial metabolites are present. Although healthy gut microbiota plays a vital role in defending against excessive oxidative stress, intestinal disease is significantly influenced by excessive ROS, and this process is controlled by gut microbiota-mediated immunological responses, DNA damage, and intestinal inflammation. In this review, we discuss the relationship between gut microbiota and intestinal disease from an oxidative stress perspective. In addition, we also provide a summary of the most recent therapeutic approaches for preventing or treating intestinal diseases by modifying gut microbiota.","container-title":"Frontiers in Microbiology","DOI":"10.3389/fmicb.2024.1328324","ISSN":"1664-302X","journalAbbreviation":"Front. Microbiol.","language":"English","note":"publisher: Frontiers","source":"Frontiers","title":"The role of gut microbiota in intestinal disease: from an oxidative stress perspective","title-short":"The role of gut microbiota in intestinal disease","URL":"https://www.frontiersin.org/journals/microbiology/articles/10.3389/fmicb.2024.1328324/full","volume":"15","author":[{"family":"Sun","given":"Yiqi"},{"family":"Wang","given":"Xurui"},{"family":"Li","given":"Lei"},{"family":"Zhong","given":"Chao"},{"family":"Zhang","given":"Yu"},{"family":"Yang","given":"Xiangdong"},{"family":"Li","given":"Mingyue"},{"family":"Yang","given":"Chao"}],"accessed":{"date-parts":[["2025",5,12]]},"issued":{"date-parts":[["2024",2,14]]}}},{"id":3328,"uris":["http://zotero.org/users/13901503/items/R2W8Z2FT"],"itemData":{"id":3328,"type":"article-journal","abstract":"Changes in the gut microbiota and the mitochondrial genome are both linked with the development of disease. To investigate why, we examined the gut microbiota of mice harboring various mutations in genes that alter mitochondrial function. These studies revealed that mitochondrial genetic variations altered the composition of the gut microbiota community. In cross-fostering studies, we found that although the initial microbiota community of newborn mice was that obtained from the nursing mother, the microbiota community progressed toward that characteristic of the microbiome of unfostered pups of the same genotype within 2 months. Analysis of the mitochondrial DNA variants associated with altered gut microbiota suggested that microbiome species diversity correlated with host reactive oxygen species (ROS) production. To determine whether the abundance of ROS could alter the gut microbiota, mice were aged, treated with N-acetylcysteine, or engineered to express the ROS scavenger catalase specifically within the mitochondria. All three conditions altered the microbiota from that initially established. Thus, these data suggest that the mitochondrial genotype modulates both ROS production and the species diversity of the gut microbiome, implying that the connection between the gut microbiome and common disease phenotypes might be due to underlying changes in mitochondrial function.","container-title":"Science Signaling","DOI":"10.1126/scisignal.aaw3159","issue":"588","note":"publisher: American Association for the Advancement of Science","page":"eaaw3159","source":"www-science-org.proxy.lib.umich.edu (Atypon)","title":"Host mitochondria influence gut microbiome diversity: A role for ROS","title-short":"Host mitochondria influence gut microbiome diversity","volume":"12","author":[{"family":"Yardeni","given":"Tal"},{"family":"Tanes","given":"Ceylan E."},{"family":"Bittinger","given":"Kyle"},{"family":"Mattei","given":"Lisa M."},{"family":"Schaefer","given":"Patrick M."},{"family":"Singh","given":"Larry N."},{"family":"Wu","given":"Gary D."},{"family":"Murdock","given":"Deborah G."},{"family":"Wallace","given":"Douglas C."}],"issued":{"date-parts":[["2019",7,2]]}}}],"schema":"https://github.com/citation-style-language/schema/raw/master/csl-citation.json"} </w:instrText>
      </w:r>
      <w:r>
        <w:fldChar w:fldCharType="separate"/>
      </w:r>
      <w:r w:rsidR="00DD12D1" w:rsidRPr="00DD12D1">
        <w:t>(</w:t>
      </w:r>
      <w:r w:rsidR="00DD12D1" w:rsidRPr="00DD12D1">
        <w:rPr>
          <w:i/>
          <w:iCs/>
        </w:rPr>
        <w:t>26</w:t>
      </w:r>
      <w:r w:rsidR="00DD12D1" w:rsidRPr="00DD12D1">
        <w:t>–</w:t>
      </w:r>
      <w:r w:rsidR="00DD12D1" w:rsidRPr="00DD12D1">
        <w:rPr>
          <w:i/>
          <w:iCs/>
        </w:rPr>
        <w:t>28</w:t>
      </w:r>
      <w:r w:rsidR="00DD12D1" w:rsidRPr="00DD12D1">
        <w:t>)</w:t>
      </w:r>
      <w:r>
        <w:fldChar w:fldCharType="end"/>
      </w:r>
      <w:r>
        <w:t>, but heat-induced changes in community composition have been linked to</w:t>
      </w:r>
      <w:r w:rsidRPr="00517B83">
        <w:t xml:space="preserve"> </w:t>
      </w:r>
      <w:r>
        <w:t xml:space="preserve">reduced antioxidant metabolism </w:t>
      </w:r>
      <w:r>
        <w:fldChar w:fldCharType="begin"/>
      </w:r>
      <w:r w:rsidR="00DD12D1">
        <w:instrText xml:space="preserve"> ADDIN ZOTERO_ITEM CSL_CITATION {"citationID":"AZa8n4Us","properties":{"formattedCitation":"({\\i{}29}, {\\i{}30})","plainCitation":"(29, 30)","noteIndex":0},"citationItems":[{"id":3187,"uris":["http://zotero.org/users/13901503/items/DHD4XMP5"],"itemData":{"id":3187,"type":"article-journal","abstract":"Tsinling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label":"page"},{"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schema":"https://github.com/citation-style-language/schema/raw/master/csl-citation.json"} </w:instrText>
      </w:r>
      <w:r>
        <w:fldChar w:fldCharType="separate"/>
      </w:r>
      <w:r w:rsidR="00DD12D1" w:rsidRPr="00DD12D1">
        <w:t>(</w:t>
      </w:r>
      <w:r w:rsidR="00DD12D1" w:rsidRPr="00DD12D1">
        <w:rPr>
          <w:i/>
          <w:iCs/>
        </w:rPr>
        <w:t>29</w:t>
      </w:r>
      <w:r w:rsidR="00DD12D1" w:rsidRPr="00DD12D1">
        <w:t xml:space="preserve">, </w:t>
      </w:r>
      <w:r w:rsidR="00DD12D1" w:rsidRPr="00DD12D1">
        <w:rPr>
          <w:i/>
          <w:iCs/>
        </w:rPr>
        <w:t>30</w:t>
      </w:r>
      <w:r w:rsidR="00DD12D1" w:rsidRPr="00DD12D1">
        <w:t>)</w:t>
      </w:r>
      <w:r>
        <w:fldChar w:fldCharType="end"/>
      </w:r>
      <w:r>
        <w:t xml:space="preserve"> and increased epithelial damage </w:t>
      </w:r>
      <w:r>
        <w:fldChar w:fldCharType="begin"/>
      </w:r>
      <w:r w:rsidR="00DD12D1">
        <w:instrText xml:space="preserve"> ADDIN ZOTERO_ITEM CSL_CITATION {"citationID":"8vD9oF4J","properties":{"formattedCitation":"({\\i{}31})","plainCitation":"(31)","noteIndex":0},"citationItems":[{"id":3294,"uris":["http://zotero.org/users/13901503/items/K5DSCTE2"],"itemData":{"id":3294,"type":"article-journal","abstract":"Heat stress (HS) can be detrimental to the gut health of swine. Many negative outcomes induced by HS are increasingly recognized as including modulation of intestinal microbiota. In turn, the intestinal microbiota is a unique ecosystem playing a critical role in mediating the host stress response. Therefore, we aimed to characterize gut microbiota of pigs’ exposure to short-term HS, to explore a possible link between the intestinal microbiota and HS-related changes, including serum cytokines, oxidation status, and intestinal epithelial barrier function. Our findings showed that HS led to intestinal morphological and integrity changes (villus height, serum diamine oxidase [DAO], serum D-lactate and the relative expressions of tight junction proteins), reduction of serum cytokines (interleukin [IL]-8, IL-12, interferon-gamma [IFN-γ]), and antioxidant activity (higher glutathione [GSH] and malondialdehyde [MDA] content, and lower superoxide dismutase [SOD]). Also, 16S rRNA sequencing analysis revealed that although there was no difference in microbial α-diversity, some HS-associated composition differences were revealed in the ileum and cecum, which partly led to an imbalance in the production of short-chain fatty acids including propionate acid and valerate acid. Relevance networks revealed that HS-derived changes in bacterial genera and microbial metabolites, such as Chlamydia, Lactobacillus, Succinivibrio, Bifidobacterium, Lachnoclostridium, and propionic acid, were correlated with oxidative stress, intestinal barrier dysfunction, and inflammation in pigs. Collectively, our observations suggest that intestinal damage induced by HS is probably partly related to the gut microbiota dysbiosis, though the underlying mechanism remains to be fully elucidated.","container-title":"Animal Nutrition","DOI":"10.1016/j.aninu.2021.05.012","ISSN":"2405-6545","journalAbbreviation":"Animal Nutrition","page":"289-299","source":"ScienceDirect","title":"Heat stress-induced mucosal barrier dysfunction is potentially associated with gut microbiota dysbiosis in pigs","volume":"8","author":[{"family":"Xia","given":"Bing"},{"family":"Wu","given":"Weida"},{"family":"Fang","given":"Wei"},{"family":"Wen","given":"Xiaobin"},{"family":"Xie","given":"Jingjing"},{"family":"Zhang","given":"Hongfu"}],"issued":{"date-parts":[["2022",3,1]]}}}],"schema":"https://github.com/citation-style-language/schema/raw/master/csl-citation.json"} </w:instrText>
      </w:r>
      <w:r>
        <w:fldChar w:fldCharType="separate"/>
      </w:r>
      <w:r w:rsidR="00DD12D1" w:rsidRPr="00DD12D1">
        <w:t>(</w:t>
      </w:r>
      <w:r w:rsidR="00DD12D1" w:rsidRPr="00DD12D1">
        <w:rPr>
          <w:i/>
          <w:iCs/>
        </w:rPr>
        <w:t>31</w:t>
      </w:r>
      <w:r w:rsidR="00DD12D1" w:rsidRPr="00DD12D1">
        <w:t>)</w:t>
      </w:r>
      <w:r>
        <w:fldChar w:fldCharType="end"/>
      </w:r>
      <w:r>
        <w:t xml:space="preserve">. These redox shifts may disrupt oxygen gradients, favoring facultative anaerobes over obligate anaerobes. In fact, across a variety of vertebrate species, high temperatures are consistently associated with declines in Firmicutes and </w:t>
      </w:r>
      <w:proofErr w:type="spellStart"/>
      <w:r>
        <w:t>Bacteroidota</w:t>
      </w:r>
      <w:proofErr w:type="spellEnd"/>
      <w:r>
        <w:t xml:space="preserve"> </w:t>
      </w:r>
      <w:r>
        <w:fldChar w:fldCharType="begin"/>
      </w:r>
      <w:r w:rsidR="00DD12D1">
        <w:instrText xml:space="preserve"> ADDIN ZOTERO_ITEM CSL_CITATION {"citationID":"FwhvEzZp","properties":{"formattedCitation":"({\\i{}21}, {\\i{}32}, {\\i{}33})","plainCitation":"(21, 32, 33)","noteIndex":0},"citationItems":[{"id":3042,"uris":["http://zotero.org/users/13901503/items/AZMFVA5Z"],"itemData":{"id":3042,"type":"article-journal","abstract":"Heat stress can impair the rabbit immune system, induce oxidative stress, and cause many complications. These diseases are characterized by metabolic disorders, but the underlying mechanism is unknown. As a result, the current research determines the effects of HS on intestinal microorganisms in rabbits and the metabolic pathway disorders caused by HS. Twelve rabbits were randomly assigned to one of two groups: CON (22–24°C) and HS (30°C–32°C). Both the groups were treated for 15 days. Blood and fecal samples were collected on day 15. Serum immune oxidation indices were determined using a commercial ELISA kit, and the microbiome of rabbit feces was studied using 16S rRNA gene sequencing. Non-targeted metabolomics was analyzed using ultra-high-performance liquid chromatography-mass spectrometry (UHPC MS/MS). The findings revealed that HS significantly increased IgG and T-AOC levels in serum, whereas it decreased TNF-α and IL-10. NMDS analysis revealed a substantial difference in bacterial community composition between HS and CON groups. At the phylum level, the abundance of Firmicutes, Protobacteria, and Verrucomicrobiota was significantly higher in the HS group, whereas the abundance of Bacteriodota was reduced in the CON group. V9D2013 group, Haloplasma, Comamonas, Clostridium sensu stricto 1, Ruminiclostridium, Syntrophus Lutispora, at the genus level Syntrophorhabdus, Paeniclostridium, Clostridium sensu stricto 6, Candidatus Caldatribacterium, Spirochaeta Synergistaceae, Syner-01, [Eubacterium] xylanophilum group, Cellulosilyticum, ADurb.Bin120, and Devosia were significantly upregulated in the HS group. The metabolism of the HS group was considerably upregulated compared with the metabolism of the CON group, according to principal component analysis (PCA) and least-squares discriminant analysis (PLS-DA). HS increased the concentrations of 4-pyridoxic acid, kynurenine, 20-OH-leukotriene B4, and dopamine and decreased the concentration of pyridoxal. In the rabbit gut, these compounds primarily impact the metabolic pathways of vitamin B6, tryptophan, neutrophil activation, and prolactin. 4-Pyridoxic acid, pyridoxal, kynurenine, 20-OH-leukotriene B4, and dopamine are essential inflammatory response markers and oxidative stress.","container-title":"Frontiers in Microbiology","DOI":"10.3389/fmicb.2021.817615","ISSN":"1664-302X","journalAbbreviation":"Front. Microbiol.","language":"English","note":"publisher: Frontiers","source":"Frontiers","title":"Heat Stress Affects Faecal Microbial and Metabolic Alterations of Rabbits","URL":"https://www.frontiersin.orghttps//www.frontiersin.org/journals/microbiology/articles/10.3389/fmicb.2021.817615/full","volume":"12","author":[{"family":"Bai","given":"Xue"},{"family":"Shi","given":"Yu"},{"family":"Tang","given":"Lipeng"},{"family":"Chen","given":"Li"},{"family":"Fan","given":"Huimei"},{"family":"Wang","given":"Haoding"},{"family":"Wang","given":"Jie"},{"family":"Jia","given":"Xianbo"},{"family":"Chen","given":"Shiyi"},{"family":"Lai","given":"Songjia"}],"accessed":{"date-parts":[["2025",5,1]]},"issued":{"date-parts":[["2022",2,28]]}}},{"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sidR="00DD12D1" w:rsidRPr="00DD12D1">
        <w:t>(</w:t>
      </w:r>
      <w:r w:rsidR="00DD12D1" w:rsidRPr="00DD12D1">
        <w:rPr>
          <w:i/>
          <w:iCs/>
        </w:rPr>
        <w:t>21</w:t>
      </w:r>
      <w:r w:rsidR="00DD12D1" w:rsidRPr="00DD12D1">
        <w:t xml:space="preserve">, </w:t>
      </w:r>
      <w:r w:rsidR="00DD12D1" w:rsidRPr="00DD12D1">
        <w:rPr>
          <w:i/>
          <w:iCs/>
        </w:rPr>
        <w:t>32</w:t>
      </w:r>
      <w:r w:rsidR="00DD12D1" w:rsidRPr="00DD12D1">
        <w:t xml:space="preserve">, </w:t>
      </w:r>
      <w:r w:rsidR="00DD12D1" w:rsidRPr="00DD12D1">
        <w:rPr>
          <w:i/>
          <w:iCs/>
        </w:rPr>
        <w:t>33</w:t>
      </w:r>
      <w:r w:rsidR="00DD12D1" w:rsidRPr="00DD12D1">
        <w:t>)</w:t>
      </w:r>
      <w:r>
        <w:fldChar w:fldCharType="end"/>
      </w:r>
      <w:r>
        <w:t xml:space="preserve">, phyla composed primarily of obligate anaerobes lacking robust ROS defenses </w:t>
      </w:r>
      <w:r>
        <w:fldChar w:fldCharType="begin"/>
      </w:r>
      <w:r w:rsidR="00DD12D1">
        <w:instrText xml:space="preserve"> ADDIN ZOTERO_ITEM CSL_CITATION {"citationID":"li75gYnN","properties":{"formattedCitation":"({\\i{}34}, {\\i{}35})","plainCitation":"(34, 35)","noteIndex":0},"citationItems":[{"id":3598,"uris":["http://zotero.org/users/13901503/items/AT42KT3B"],"itemData":{"id":3598,"type":"article-journal","abstract":"It has been unclear whether superoxide and/or hydrogen peroxide play important roles in the phenomenon of obligate anaerobiosis. This question was explored using Bacteroides thetaiotaomicron, a major fermentative bacterium in the human gastrointestinal tract. Aeration inactivated two enzyme families—[4Fe-4S] dehydratases and nonredox mononuclear iron enzymes—whose homologs, in contrast, remain active in aerobic Escherichia coli. Inactivation-rate measurements of one such enzyme, B. thetaiotaomicron fumarase, showed that it is no more intrinsically sensitive to oxidants than is an E. coli fumarase. Indeed, when the E. coli enzymes were expressed in B. thetaiotaomicron, they no longer could tolerate aeration; conversely, the B. thetaiotaomicron enzymes maintained full activity when expressed in aerobic E. coli. Thus, the aerobic inactivation of the B. thetaiotaomicron enzymes is a feature of their intracellular environment rather than of the enzymes themselves. B. thetaiotaomicron possesses superoxide dismutase and peroxidases, and it can repair damaged enzymes. However, measurements confirmed that the rate of reactive oxygen species production inside aerated B. thetaiotaomicron is far higher than in E. coli. Analysis of the damaged enzymes recovered from aerated B. thetaiotaomicron suggested that they had been inactivated by superoxide rather than by hydrogen peroxide. Accordingly, overproduction of superoxide dismutase substantially protected the enzymes from aeration. We conclude that when this anaerobe encounters oxygen, its internal superoxide levels rise high enough to inactivate key catabolic and biosynthetic enzymes. Superoxide thus comprises a major element of the oxygen sensitivity of this anaerobe. The extent to which molecular oxygen exerts additional direct effects remains to be determined.","container-title":"Proceedings of the National Academy of Sciences","DOI":"10.1073/pnas.1800120115","issue":"14","note":"publisher: Proceedings of the National Academy of Sciences","page":"E3266-E3275","source":"www-pnas-org.proxy.lib.umich.edu (Atypon)","title":"Endogenous superoxide is a key effector of the oxygen sensitivity of a model obligate anaerobe","volume":"115","author":[{"family":"Lu","given":"Zheng"},{"family":"Sethu","given":"Ramakrishnan"},{"family":"Imlay","given":"James A."}],"issued":{"date-parts":[["2018",4,3]]}}},{"id":3602,"uris":["http://zotero.org/users/13901503/items/XVIRKXQ2"],"itemData":{"id":3602,"type":"article-journal","abstract":"The distribution of catalase and superoxide dismutase has been examined in various micro-organisms. Strict anaerobes exhibited no superoxide dismutase and, generally, no catalase activity. All aerobic organisms containing cytochrome systems were found to contain both superoxide dismutase and catalase. Aerotolerant anaerobes, which survive exposure to air and metabolize oxygen to a limited extent but do not contain cytochrome systems, were found to be devoid of catalase activity but did exhibit superoxide dismutase activity. This distribution is consistent with the proposal that the prime physiological function of superoxide dismutase is protection of oxygen-metabolizing organisms against the potentially detrimental effects of the superoxide free radical, a biologically produced intermediate resulting from the univalent reduction of molecular oxygen.","container-title":"Proceedings of the National Academy of Sciences","DOI":"10.1073/pnas.68.5.1024","issue":"5","note":"publisher: Proceedings of the National Academy of Sciences","page":"1024-1027","source":"www-pnas-org.proxy.lib.umich.edu (Atypon)","title":"An Enzyme-Based Theory of Obligate Anaerobiosis: The Physiological Function of Superoxide Dismutase","title-short":"An Enzyme-Based Theory of Obligate Anaerobiosis","volume":"68","author":[{"family":"McCord","given":"Joe M."},{"family":"Keele","given":"Bernard B."},{"family":"Fridovich","given":"Irwin"}],"issued":{"date-parts":[["1971",5]]}}}],"schema":"https://github.com/citation-style-language/schema/raw/master/csl-citation.json"} </w:instrText>
      </w:r>
      <w:r>
        <w:fldChar w:fldCharType="separate"/>
      </w:r>
      <w:r w:rsidR="00DD12D1" w:rsidRPr="00DD12D1">
        <w:t>(</w:t>
      </w:r>
      <w:r w:rsidR="00DD12D1" w:rsidRPr="00DD12D1">
        <w:rPr>
          <w:i/>
          <w:iCs/>
        </w:rPr>
        <w:t>34</w:t>
      </w:r>
      <w:r w:rsidR="00DD12D1" w:rsidRPr="00DD12D1">
        <w:t xml:space="preserve">, </w:t>
      </w:r>
      <w:r w:rsidR="00DD12D1" w:rsidRPr="00DD12D1">
        <w:rPr>
          <w:i/>
          <w:iCs/>
        </w:rPr>
        <w:t>35</w:t>
      </w:r>
      <w:r w:rsidR="00DD12D1" w:rsidRPr="00DD12D1">
        <w:t>)</w:t>
      </w:r>
      <w:r>
        <w:fldChar w:fldCharType="end"/>
      </w:r>
      <w:r>
        <w:t xml:space="preserve">, and increases in Proteobacteria </w:t>
      </w:r>
      <w:r>
        <w:fldChar w:fldCharType="begin"/>
      </w:r>
      <w:r w:rsidR="00DD12D1">
        <w:instrText xml:space="preserve"> ADDIN ZOTERO_ITEM CSL_CITATION {"citationID":"SGLa3gqs","properties":{"formattedCitation":"({\\i{}17})","plainCitation":"(17)","noteIndex":0},"citationItems":[{"id":960,"uris":["http://zotero.org/users/13901503/items/KQS25QFF"],"itemData":{"id":960,"type":"article-journal","abstract":"Temperature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fldChar w:fldCharType="separate"/>
      </w:r>
      <w:r w:rsidR="00DD12D1" w:rsidRPr="00DD12D1">
        <w:t>(</w:t>
      </w:r>
      <w:r w:rsidR="00DD12D1" w:rsidRPr="00DD12D1">
        <w:rPr>
          <w:i/>
          <w:iCs/>
        </w:rPr>
        <w:t>17</w:t>
      </w:r>
      <w:r w:rsidR="00DD12D1" w:rsidRPr="00DD12D1">
        <w:t>)</w:t>
      </w:r>
      <w:r>
        <w:fldChar w:fldCharType="end"/>
      </w:r>
      <w:r>
        <w:t xml:space="preserve">, a phylum dominated by facultative anaerobes that thrive in higher-oxygen conditions </w:t>
      </w:r>
      <w:r>
        <w:fldChar w:fldCharType="begin"/>
      </w:r>
      <w:r w:rsidR="00DD12D1">
        <w:instrText xml:space="preserve"> ADDIN ZOTERO_ITEM CSL_CITATION {"citationID":"hywOAMMP","properties":{"formattedCitation":"({\\i{}36}, {\\i{}37})","plainCitation":"(36, 37)","noteIndex":0},"citationItems":[{"id":3399,"uris":["http://zotero.org/users/13901503/items/9SHPRSI6"],"itemData":{"id":3399,"type":"article-journal","abstract":"Background &amp; Aims\nThe gut microbiota is a complex and densely populated community in a dynamic environment determined by host physiology. We investigated how intestinal oxygen levels affect the composition of the fecal and mucosally adherent microbiota.\nMethods\nWe used the phosphorescence quenching method and a specially designed intraluminal oxygen probe to dynamically quantify gut luminal oxygen levels in mice. 16S ribosomal RNA gene sequencing was used to characterize the microbiota in intestines of mice exposed to hyperbaric oxygen, human rectal biopsy and mucosal swab samples, and paired human stool samples.\nResults\nAverage Po2 values in the lumen of the cecum were extremely low (&lt;1 mm Hg). In altering oxygenation of mouse intestines, we observed that oxygen diffused from intestinal tissue and established a radial gradient that extended from the tissue interface into the lumen. Increasing tissue oxygenation with hyperbaric oxygen altered the composition of the gut microbiota in mice. In human beings, 16S ribosomal RNA gene analyses showed an increased proportion of oxygen-tolerant organisms of the Proteobacteria and Actinobacteria phyla associated with rectal mucosa, compared with feces. A consortium of asaccharolytic bacteria of the Firmicute and Bacteroidetes phyla, which primarily metabolize peptones and amino acids, was associated primarily with mucus. This could be owing to the presence of proteinaceous substrates provided by mucus and the shedding of the intestinal epithelium.\nConclusions\nIn an analysis of intestinal microbiota of mice and human beings, we observed a radial gradient of microbes linked to the distribution of oxygen and nutrients provided by host tissue.","container-title":"Gastroenterology","DOI":"10.1053/j.gastro.2014.07.020","ISSN":"0016-5085","issue":"5","journalAbbreviation":"Gastroenterology","page":"1055-1063.e8","source":"ScienceDirect","title":"Correlation Between Intraluminal Oxygen Gradient and Radial Partitioning of Intestinal Microbiota","volume":"147","author":[{"family":"Albenberg","given":"Lindsey"},{"family":"Esipova","given":"Tatiana V."},{"family":"Judge","given":"Colleen P."},{"family":"Bittinger","given":"Kyle"},{"family":"Chen","given":"Jun"},{"family":"Laughlin","given":"Alice"},{"family":"Grunberg","given":"Stephanie"},{"family":"Baldassano","given":"Robert N."},{"family":"Lewis","given":"James D."},{"family":"Li","given":"Hongzhe"},{"family":"Thom","given":"Stephen R."},{"family":"Bushman","given":"Frederic D."},{"family":"Vinogradov","given":"Sergei A."},{"family":"Wu","given":"Gary D."}],"issued":{"date-parts":[["2014",11,1]]}}},{"id":3636,"uris":["http://zotero.org/users/13901503/items/26FYIIWM"],"itemData":{"id":3636,"type":"article-journal","abstract":"Recent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fldChar w:fldCharType="separate"/>
      </w:r>
      <w:r w:rsidR="00DD12D1" w:rsidRPr="00DD12D1">
        <w:t>(</w:t>
      </w:r>
      <w:r w:rsidR="00DD12D1" w:rsidRPr="00DD12D1">
        <w:rPr>
          <w:i/>
          <w:iCs/>
        </w:rPr>
        <w:t>36</w:t>
      </w:r>
      <w:r w:rsidR="00DD12D1" w:rsidRPr="00DD12D1">
        <w:t xml:space="preserve">, </w:t>
      </w:r>
      <w:r w:rsidR="00DD12D1" w:rsidRPr="00DD12D1">
        <w:rPr>
          <w:i/>
          <w:iCs/>
        </w:rPr>
        <w:t>37</w:t>
      </w:r>
      <w:r w:rsidR="00DD12D1" w:rsidRPr="00DD12D1">
        <w:t>)</w:t>
      </w:r>
      <w:r>
        <w:fldChar w:fldCharType="end"/>
      </w:r>
      <w:r>
        <w:t>.</w:t>
      </w:r>
    </w:p>
    <w:p w14:paraId="6FEF1F09" w14:textId="05ADCBCF" w:rsidR="00DD12D1" w:rsidRDefault="00DD12D1" w:rsidP="00DD12D1">
      <w:pPr>
        <w:ind w:firstLine="720"/>
      </w:pPr>
      <w:r>
        <w:t xml:space="preserve">The loss of obligate anaerobes during heat stress could affect the relationship between the gut microbiome and the immune system. Many obligate anaerobes ferment dietary fiber and </w:t>
      </w:r>
      <w:r>
        <w:lastRenderedPageBreak/>
        <w:t>produce short-chain fatty acids (SCFAs)</w:t>
      </w:r>
      <w:r>
        <w:fldChar w:fldCharType="begin"/>
      </w:r>
      <w:r>
        <w:instrText xml:space="preserve"> ADDIN ZOTERO_ITEM CSL_CITATION {"citationID":"4EOAwxYn","properties":{"formattedCitation":"({\\i{}38}\\uc0\\u8211{}{\\i{}40})","plainCitation":"(38–40)","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,Petra"},{"family":"Forano","given":"Evelyne","non-dropping-particle":"and"}],"issued":{"date-parts":[["2012",7,14]]}}},{"id":2223,"uris":["http://zotero.org/users/13901503/items/JD6FMNMK"],"itemData":{"id":2223,"type":"article-journal","abstract":"▪ Abstract Humans and other mammals are colonized by a vast, complex, and dynamic consortium of microorganisms. One evolutionary driving force for maintaining this metabolically active microbial society is to salvage energy from nutrients, particularly carbohydrates, that are otherwise nondigestible by the host. Much of our understanding of the molecular mechanisms by which members of the intestinal microbiota degrade complex polysaccharides comes from studies of Bacteroides thetaiotaomicron, a prominent and genetically manipulatable component of the normal human and mouse gut. Colonization of germ-free mice with B. thetaiotaomicron has shown how this anaerobe modifies many aspects of intestinal cellular differentiation/gene expression to benefit both host and microbe. These and other studies underscore the importance of understanding precisely how nutrient metabolism serves to establish and sustain symbiotic relationships between mammals and their bacterial partners.","container-title":"Annual Review of Nutrition","DOI":"10.1146/annurev.nutr.22.011602.092259","ISSN":"0199-9885, 1545-4312","issue":"Volume 22, 2002","language":"en","note":"publisher: Annual Reviews","page":"283-307","source":"www-annualreviews-org.proxy.lib.umich.edu","title":"How host-microbial interactions shape the nutrient environment of the mammalian intestine","volume":"22","author":[{"family":"Hooper","given":"Lora V."},{"family":"Midtvedt","given":"Tore"},{"family":"Gordon","given":"Jeffrey I."}],"issued":{"date-parts":[["2002",7,1]]}}},{"id":3537,"uris":["http://zotero.org/users/13901503/items/L2DTM48E"],"itemData":{"id":3537,"type":"article-journal","abstract":"The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diseases.","container-title":"Nutrients","DOI":"10.3390/nu7010045","ISSN":"2072-6643","issue":"1","journalAbbreviation":"Nutrients","note":"PMID: 25545102\nPMCID: PMC4303826","page":"45-73","source":"PubMed Central","title":"Understanding How Commensal Obligate Anaerobic Bacteria Regulate Immune Functions in the Large Intestine","volume":"7","author":[{"family":"Maier","given":"Eva"},{"family":"Anderson","given":"Rachel C."},{"family":"Roy","given":"Nicole C."}],"issued":{"date-parts":[["2014",12,24]]}}}],"schema":"https://github.com/citation-style-language/schema/raw/master/csl-citation.json"} </w:instrText>
      </w:r>
      <w:r>
        <w:fldChar w:fldCharType="separate"/>
      </w:r>
      <w:r w:rsidRPr="00DD12D1">
        <w:t>(</w:t>
      </w:r>
      <w:r w:rsidRPr="00DD12D1">
        <w:rPr>
          <w:i/>
          <w:iCs/>
        </w:rPr>
        <w:t>38</w:t>
      </w:r>
      <w:r w:rsidRPr="00DD12D1">
        <w:t>–</w:t>
      </w:r>
      <w:r w:rsidRPr="00DD12D1">
        <w:rPr>
          <w:i/>
          <w:iCs/>
        </w:rPr>
        <w:t>40</w:t>
      </w:r>
      <w:r w:rsidRPr="00DD12D1">
        <w:t>)</w:t>
      </w:r>
      <w:r>
        <w:fldChar w:fldCharType="end"/>
      </w:r>
      <w:r>
        <w:t xml:space="preserve">, which support anti-inflammatory mechanisms that promote immune tolerance of the microbiome </w:t>
      </w:r>
      <w:r>
        <w:fldChar w:fldCharType="begin"/>
      </w:r>
      <w:r>
        <w:instrText xml:space="preserve"> ADDIN ZOTERO_ITEM CSL_CITATION {"citationID":"KBg1IspQ","properties":{"formattedCitation":"({\\i{}41}\\uc0\\u8211{}{\\i{}44})","plainCitation":"(41–44)","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id":3170,"uris":["http://zotero.org/users/13901503/items/NFAARTHA"],"itemData":{"id":3170,"type":"article-journal","abstract":"A growing body of research suggests that short-chain fatty acids (SCFAs), metabolites produced by intestinal symbiotic bacteria that ferment dietary fibers (DFs), play a crucial role in the health status of symbiotes. SCFAs act on a variety of cell types to regulate important biological processes, including host metabolism, intestinal function, and immune function. SCFAs also affect the function and fate of immune cells. This finding provides a new concept in immune metabolism and a better understanding of the regulatory role of SCFAs in the immune system, which impacts the prevention and treatment of disease. The mechanism by which SCFAs induce or regulate the immune response is becoming increasingly clear. This review summarizes the different mechanisms through which SCFAs act in cells. According to the latest research, the regulatory role of SCFAs in the innate immune system, including in NLRP3 inflammasomes, receptors of TLR family members, neutrophils, macrophages, natural killer cells, eosinophils, basophils and innate lymphocyte subsets, is emphasized. The regulatory role of SCFAs in the adaptive immune system, including in T-cell subsets, B cells, and plasma cells, is also highlighted. In addition, we discuss the role that SCFAs play in regulating allergic airway inflammation, colitis, and osteoporosis by influencing the immune system. These findings provide evidence for determining treatment options based on metabolic regulation.","container-title":"Frontiers in Immunology","DOI":"10.3389/fimmu.2023.1186892","ISSN":"1664-3224","journalAbbreviation":"Front Immunol","note":"PMID: 37215145\nPMCID: PMC10196242","page":"1186892","source":"PubMed Central","title":"Regulation of short-chain fatty acids in the immune system","volume":"14","author":[{"family":"Liu","given":"Xiao-feng"},{"family":"Shao","given":"Jia-hao"},{"family":"Liao","given":"Yi-Tao"},{"family":"Wang","given":"Li-Ning"},{"family":"Jia","given":"Yuan"},{"family":"Dong","given":"Peng-jun"},{"family":"Liu","given":"Zhi-zhong"},{"family":"He","given":"Dan-dan"},{"family":"Li","given":"Chao"},{"family":"Zhang","given":"Xian"}],"issued":{"date-parts":[["2023",5,5]]}}}],"schema":"https://github.com/citation-style-language/schema/raw/master/csl-citation.json"} </w:instrText>
      </w:r>
      <w:r>
        <w:fldChar w:fldCharType="separate"/>
      </w:r>
      <w:r w:rsidRPr="00DD12D1">
        <w:t>(</w:t>
      </w:r>
      <w:r w:rsidRPr="00DD12D1">
        <w:rPr>
          <w:i/>
          <w:iCs/>
        </w:rPr>
        <w:t>41</w:t>
      </w:r>
      <w:r w:rsidRPr="00DD12D1">
        <w:t>–</w:t>
      </w:r>
      <w:r w:rsidRPr="00DD12D1">
        <w:rPr>
          <w:i/>
          <w:iCs/>
        </w:rPr>
        <w:t>44</w:t>
      </w:r>
      <w:r w:rsidRPr="00DD12D1">
        <w:t>)</w:t>
      </w:r>
      <w:r>
        <w:fldChar w:fldCharType="end"/>
      </w:r>
      <w:r>
        <w:t xml:space="preserve">. A loss of these obligate anaerobes could result in reduced SCFAs and impact the immune system. Experimental studies evaluating the effects of acute heat stress in livestock show that exposure to high temperatures is associated with reduced SCFA concentrations, </w:t>
      </w:r>
      <w:r>
        <w:fldChar w:fldCharType="begin"/>
      </w:r>
      <w:r>
        <w:instrText xml:space="preserve"> ADDIN ZOTERO_ITEM CSL_CITATION {"citationID":"96RB1402","properties":{"formattedCitation":"({\\i{}20})","plainCitation":"(20)","noteIndex":0},"citationItems":[{"id":1974,"uris":["http://zotero.org/users/13901503/items/TEZ5HVYB"],"itemData":{"id":1974,"type":"article-journal","abstract":"The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I."}],"issued":{"date-parts":[["2007",4,1]]}}}],"schema":"https://github.com/citation-style-language/schema/raw/master/csl-citation.json"} </w:instrText>
      </w:r>
      <w:r>
        <w:fldChar w:fldCharType="separate"/>
      </w:r>
      <w:r w:rsidRPr="00DD12D1">
        <w:t>(</w:t>
      </w:r>
      <w:r w:rsidRPr="00DD12D1">
        <w:rPr>
          <w:i/>
          <w:iCs/>
        </w:rPr>
        <w:t>20</w:t>
      </w:r>
      <w:r w:rsidRPr="00DD12D1">
        <w:t>)</w:t>
      </w:r>
      <w:r>
        <w:fldChar w:fldCharType="end"/>
      </w:r>
      <w:r>
        <w:t xml:space="preserve"> changes in the levels of circulating cytokines, and altered gut microbiome composition </w:t>
      </w:r>
      <w:r>
        <w:fldChar w:fldCharType="begin"/>
      </w:r>
      <w:r>
        <w:instrText xml:space="preserve"> ADDIN ZOTERO_ITEM CSL_CITATION {"citationID":"pLZZrluM","properties":{"formattedCitation":"({\\i{}18}, {\\i{}45})","plainCitation":"(18, 45)","noteIndex":0},"citationItems":[{"id":3108,"uris":["http://zotero.org/users/13901503/items/989JE4MX"],"itemData":{"id":3108,"type":"article-journal","abstract":"Abstract\n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fldChar w:fldCharType="separate"/>
      </w:r>
      <w:r w:rsidRPr="00DD12D1">
        <w:t>(</w:t>
      </w:r>
      <w:r w:rsidRPr="00DD12D1">
        <w:rPr>
          <w:i/>
          <w:iCs/>
        </w:rPr>
        <w:t>18</w:t>
      </w:r>
      <w:r w:rsidRPr="00DD12D1">
        <w:t xml:space="preserve">, </w:t>
      </w:r>
      <w:r w:rsidRPr="00DD12D1">
        <w:rPr>
          <w:i/>
          <w:iCs/>
        </w:rPr>
        <w:t>45</w:t>
      </w:r>
      <w:r w:rsidRPr="00DD12D1">
        <w:t>)</w:t>
      </w:r>
      <w:r>
        <w:fldChar w:fldCharType="end"/>
      </w:r>
      <w:r>
        <w:t>, suggesting that heat-driven compositional shifts may disrupt microbiome-immune homeostasis. Because microbiome-host relationships are bidirectional, each change likely amplifies the others, creating a feedback loop that increases the risk of chronic gut inflammation during extended periods of high temperatures.</w:t>
      </w:r>
    </w:p>
    <w:p w14:paraId="469497AB" w14:textId="4C5191F8" w:rsidR="00037AFA" w:rsidRDefault="00143DA7" w:rsidP="004A358B">
      <w:pPr>
        <w:ind w:firstLine="720"/>
      </w:pPr>
      <w:r>
        <w:t>These dynamics are likely to play an essential role in shaping animal responses to changing climates.</w:t>
      </w:r>
      <w:r w:rsidRPr="009846FE">
        <w:t xml:space="preserve"> </w:t>
      </w:r>
      <w:r>
        <w:t xml:space="preserve">However, interactions between heat stress and the microbiome have been studied almost exclusively in experimental contexts that examine the effect of acute periods of moderate heat stress [e.g., ~8-10 hours of exposure to temperatures ~32-34 </w:t>
      </w:r>
      <w:r w:rsidRPr="000F74F2">
        <w:t>C</w:t>
      </w:r>
      <w:r>
        <w:t xml:space="preserve">, </w:t>
      </w:r>
      <w:r>
        <w:fldChar w:fldCharType="begin"/>
      </w:r>
      <w:r w:rsidR="00DD12D1">
        <w:instrText xml:space="preserve"> ADDIN ZOTERO_ITEM CSL_CITATION {"citationID":"BINQ65EW","properties":{"formattedCitation":"({\\i{}46}, {\\i{}47})","plainCitation":"(46, 47)","noteIndex":0},"citationItems":[{"id":3082,"uris":["http://zotero.org/users/13901503/items/XLXTRNWV"],"itemData":{"id":3082,"type":"article-journal","abstract":"Accumulating evidence has revealed the dysbiosis of gut/fecal microbiota induced by heat stress (HS) in mammals and poultry. However, the effects of HS on microbiota communities in different intestinal segments of Cherry-Valley ducks (a widely used meat-type breed) and their potential associations with growth performances, fat deposition, intestinal morphology, and antioxidant capacity have not been well evaluated yet. In this study, room temperature (RT) of 25°C was considered as control, and RT at 32°C for 8 h per day was set as the HS treatment. After 3 weeks, the intestinal contents of jejunum, ileum, and cecum were harvested to investigate the microbiota composition variations by 16S ribosomal RNA amplicon sequencing. And the weight gain, adipose indices, intestinal morphology, and a certain number of serum biochemical parameters were also measured and analyzed. The results showed the microbial species at different levels differentially enriched in duck jejunum and cecum under HS, while no significant data were observed in ileum. HS also caused the intestinal morphological changes (villus height and the ratio of villus height to crypt depth) and the reductions of growth speed (daily gain), levels of serum triglyceride (TG) and total cholesterol, and antioxidant activity (higher malondialdehyde (MDA) content and lower total antioxidant). The higher abdominal fat content and serum glucose level were also observed in HS ducks. The Spearman correlation analysis indicated that in jejunum the phyla Firmicutes and Proteobacteria were associated with average daily gain, feed/gain, serum TG and MDA levels, and villus height/crypt depth (P &amp;lt; 0.05). The phylum Firmicutes and genus Acinetobacter were significantly associated with fat deposition and serum glucose level (P &amp;lt; 0.05). The genus Lactobacillus was positively associated with serum total antioxidant (P &amp;lt; 0.05), while some other microbial species were found negatively associated, including order Pseudomonadales, genera Acinetobacter, and unidentified_Mitochondria. However, no significant correlations were observed in cecum. These findings imply the potential roles of duck gut microbiota in the intestinal injuries, fat deposition, and reductions of growth speed and antioxidant capacity caused by HS, although the molecular mechanisms requires further investigation.","container-title":"Frontiers in Microbiology","DOI":"10.3389/fmicb.2019.00903","ISSN":"1664-302X","journalAbbreviation":"Front. Microbiol.","language":"English","note":"publisher: Frontiers","source":"Frontiers","title":"Associations of Gut Microbiota With Heat Stress-Induced Changes of Growth, Fat Deposition, Intestinal Morphology, and Antioxidant Capacity in Ducks","URL":"https://www.frontiersin.orghttps//www.frontiersin.org/journals/microbiology/articles/10.3389/fmicb.2019.00903/full","volume":"10","author":[{"family":"He","given":"Jun"},{"family":"He","given":"Yuxin"},{"family":"Pan","given":"Daodong"},{"family":"Cao","given":"Jinxuan"},{"family":"Sun","given":"Yangying"},{"family":"Zeng","given":"Xiaoqun"}],"accessed":{"date-parts":[["2025",5,2]]},"issued":{"date-parts":[["2019",4,26]]}}},{"id":3047,"uris":["http://zotero.org/users/13901503/items/VUYXAMP6"],"itemData":{"id":3047,"type":"article-journal","abstract":"Despite the significant threat of heat stress to livestock animals, only a few studies have considered the potential relationship between broiler chickens and their microbiota. Therefore, this study examined microbial modifications, transcriptional changes and host–microbiome interactions using a predicted metabolome data-based approach to understand the impact of heat stress on poultry. After the analysis, the host functional enrichment analysis revealed that pathways related to lipid and protein metabolism were elevated under heat stress conditions. In contrast, pathways related to the cell cycle were suppressed under normal environmental temperatures. In line with the transcriptome analysis, the microbial analysis results indicate that taxonomic changes affect lipid degradation. Heat stress engendered statistically significant difference in the abundance of 11 microorganisms, including Bacteroides and Peptostreptococcacea. Together, integrative approach analysis suggests that microbiota-induced metabolites affect host fatty acid peroxidation metabolism, which is correlated with the gene families of Acyl-CoA dehydrogenase long chain (ACADL), Acyl-CoA Oxidase (ACOX) and Acetyl-CoA Acyltransferase (ACAA). This integrated approach provides novel insights into heat stress problems and identifies potential biomarkers associated with heat stress.","container-title":"Animal Biotechnology","DOI":"10.1080/10495398.2024.2331179","ISSN":"1049-5398","issue":"1","note":"publisher: Taylor &amp; Francis\n_eprint: https://doi.org/10.1080/10495398.2024.2331179\nPMID: 38519440","page":"2331179","source":"Taylor and Francis+NEJM","title":"Microbial-transcriptome integrative analysis of heat stress effects on amino acid metabolism and lipid peroxidation in poultry jejunum","volume":"35","author":[{"family":"Seo","given":"Young-Jun"},{"family":"Chiwoong","given":"Lim"},{"family":"Byeonghwi","given":"Lim"},{"family":"Jun-Mo","given":"Kim"}],"issued":{"date-parts":[["2024",10,31]]}}}],"schema":"https://github.com/citation-style-language/schema/raw/master/csl-citation.json"} </w:instrText>
      </w:r>
      <w:r>
        <w:fldChar w:fldCharType="separate"/>
      </w:r>
      <w:r w:rsidR="00DD12D1" w:rsidRPr="00DD12D1">
        <w:t>(</w:t>
      </w:r>
      <w:r w:rsidR="00DD12D1" w:rsidRPr="00DD12D1">
        <w:rPr>
          <w:i/>
          <w:iCs/>
        </w:rPr>
        <w:t>46</w:t>
      </w:r>
      <w:r w:rsidR="00DD12D1" w:rsidRPr="00DD12D1">
        <w:t xml:space="preserve">, </w:t>
      </w:r>
      <w:r w:rsidR="00DD12D1" w:rsidRPr="00DD12D1">
        <w:rPr>
          <w:i/>
          <w:iCs/>
        </w:rPr>
        <w:t>47</w:t>
      </w:r>
      <w:r w:rsidR="00DD12D1" w:rsidRPr="00DD12D1">
        <w:t>)</w:t>
      </w:r>
      <w:r>
        <w:fldChar w:fldCharType="end"/>
      </w:r>
      <w:r>
        <w:t xml:space="preserve">]. We have little understanding of how this system functions in wild populations in response to natural thermal variation. Further, most research on heat-induced microbiome disruption has focused either on ectotherms [e.g., amphibians </w:t>
      </w:r>
      <w:r>
        <w:fldChar w:fldCharType="begin"/>
      </w:r>
      <w:r w:rsidR="00DD12D1">
        <w:instrText xml:space="preserve"> ADDIN ZOTERO_ITEM CSL_CITATION {"citationID":"hjmuj1RR","properties":{"formattedCitation":"({\\i{}19}, {\\i{}48})","plainCitation":"(19, 48)","noteIndex":0},"citationItems":[{"id":1987,"uris":["http://zotero.org/users/13901503/items/VRKTJEKQ"],"itemData":{"id":1987,"type":"article-journal","abstract":"Understanding how the global climate impacts the physiology of wildlife animals is of importance. Amphibians are particularly sensitive to climate change, and it is hypothesized that rising temperatures impair their neurodevelopment. Temperature influences the composition of the gut microbiota, which is critical to host neurodevelopment through the microbiota–gut–brain (MGB) axis. Most research investigating the link between the gut microbiota and neurodevelopment occurs in germ-free mammalian model systems, leaving the nature of the MGB axis in non-mammalian wildlife unclear. Here, we tested the hypothesis that the temperature and the microbial environment in which tadpoles were raised shapes neurodevelopment, possibly through the MGB axis. Newly hatched green frog tadpoles (Lithobates clamitans) were raised in natural pond water or autoclaved pond water, serving as an experimental manipulation of the microbiota by reducing colonizing microbes, at three different water temperatures: 14, 22 and 28°C. Neurodevelopment was analyzed through measures of relative brain mass and morphology of brain structures of interest. We found that tadpole development in warmer temperatures increased relative brain mass and optic tectum width and length. Further, tadpole development in autoclaved pond water increased relative optic tectum width and length. Additionally, the interaction of treatments altered relative diencephalon length. Lastly, we found that variation in brain morphology was associated with gut microbial diversity and the relative abundance of individual bacterial taxa. Our results indicate that both environmental temperature and microbial communities influence relative brain mass and shape. Furthermore, we provide some of the first evidence for the MGB axis in amphibians.","container-title":"Journal of Experimental Biology","DOI":"10.1242/jeb.245333","ISSN":"0022-0949","issue":"12","journalAbbreviation":"Journal of Experimental Biology","page":"jeb245333","source":"Silverchair","title":"Temperature and the microbial environment alter brain morphology in a larval amphibian","volume":"226","author":[{"family":"Emerson","given":"Kyle J."},{"family":"Fontaine","given":"Samantha S."},{"family":"Kohl","given":"Kevin D."},{"family":"Woodley","given":"Sarah K."}],"issued":{"date-parts":[["2023",6,23]]}}},{"id":1909,"uris":["http://zotero.org/users/13901503/items/Y6B943CR"],"itemData":{"id":1909,"type":"article-journal","abstract":"Environmental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D."}],"issued":{"date-parts":[["2018",10,19]]}}}],"schema":"https://github.com/citation-style-language/schema/raw/master/csl-citation.json"} </w:instrText>
      </w:r>
      <w:r>
        <w:fldChar w:fldCharType="separate"/>
      </w:r>
      <w:r w:rsidR="00DD12D1" w:rsidRPr="00DD12D1">
        <w:t>(</w:t>
      </w:r>
      <w:r w:rsidR="00DD12D1" w:rsidRPr="00DD12D1">
        <w:rPr>
          <w:i/>
          <w:iCs/>
        </w:rPr>
        <w:t>19</w:t>
      </w:r>
      <w:r w:rsidR="00DD12D1" w:rsidRPr="00DD12D1">
        <w:t xml:space="preserve">, </w:t>
      </w:r>
      <w:r w:rsidR="00DD12D1" w:rsidRPr="00DD12D1">
        <w:rPr>
          <w:i/>
          <w:iCs/>
        </w:rPr>
        <w:t>48</w:t>
      </w:r>
      <w:r w:rsidR="00DD12D1" w:rsidRPr="00DD12D1">
        <w:t>)</w:t>
      </w:r>
      <w:r>
        <w:fldChar w:fldCharType="end"/>
      </w:r>
      <w:r>
        <w:t xml:space="preserve">, fish </w:t>
      </w:r>
      <w:r>
        <w:fldChar w:fldCharType="begin"/>
      </w:r>
      <w:r w:rsidR="00DD12D1">
        <w:instrText xml:space="preserve"> ADDIN ZOTERO_ITEM CSL_CITATION {"citationID":"H4zHWU6r","properties":{"formattedCitation":"({\\i{}29})","plainCitation":"(29)","noteIndex":0},"citationItems":[{"id":3187,"uris":["http://zotero.org/users/13901503/items/DHD4XMP5"],"itemData":{"id":3187,"type":"article-journal","abstract":"Tsinling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schema":"https://github.com/citation-style-language/schema/raw/master/csl-citation.json"} </w:instrText>
      </w:r>
      <w:r>
        <w:fldChar w:fldCharType="separate"/>
      </w:r>
      <w:r w:rsidR="00DD12D1" w:rsidRPr="00DD12D1">
        <w:t>(</w:t>
      </w:r>
      <w:r w:rsidR="00DD12D1" w:rsidRPr="00DD12D1">
        <w:rPr>
          <w:i/>
          <w:iCs/>
        </w:rPr>
        <w:t>29</w:t>
      </w:r>
      <w:r w:rsidR="00DD12D1" w:rsidRPr="00DD12D1">
        <w:t>)</w:t>
      </w:r>
      <w:r>
        <w:fldChar w:fldCharType="end"/>
      </w:r>
      <w:r>
        <w:t xml:space="preserve">, reptiles </w:t>
      </w:r>
      <w:r>
        <w:fldChar w:fldCharType="begin"/>
      </w:r>
      <w:r w:rsidR="00DD12D1">
        <w:instrText xml:space="preserve"> ADDIN ZOTERO_ITEM CSL_CITATION {"citationID":"BUJr21f7","properties":{"formattedCitation":"({\\i{}33}, {\\i{}49})","plainCitation":"(33, 49)","noteIndex":0},"citationItems":[{"id":1961,"uris":["http://zotero.org/users/13901503/items/UL2CLBKR"],"itemData":{"id":1961,"type":"article-journal","abstract":"Climate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fldChar w:fldCharType="separate"/>
      </w:r>
      <w:r w:rsidR="00DD12D1" w:rsidRPr="00DD12D1">
        <w:t>(</w:t>
      </w:r>
      <w:r w:rsidR="00DD12D1" w:rsidRPr="00DD12D1">
        <w:rPr>
          <w:i/>
          <w:iCs/>
        </w:rPr>
        <w:t>33</w:t>
      </w:r>
      <w:r w:rsidR="00DD12D1" w:rsidRPr="00DD12D1">
        <w:t xml:space="preserve">, </w:t>
      </w:r>
      <w:r w:rsidR="00DD12D1" w:rsidRPr="00DD12D1">
        <w:rPr>
          <w:i/>
          <w:iCs/>
        </w:rPr>
        <w:t>49</w:t>
      </w:r>
      <w:r w:rsidR="00DD12D1" w:rsidRPr="00DD12D1">
        <w:t>)</w:t>
      </w:r>
      <w:r>
        <w:fldChar w:fldCharType="end"/>
      </w:r>
      <w:r>
        <w:t xml:space="preserve">] or on livestock [e.g., pigs </w:t>
      </w:r>
      <w:r>
        <w:fldChar w:fldCharType="begin"/>
      </w:r>
      <w:r w:rsidR="00DD12D1">
        <w:instrText xml:space="preserve"> ADDIN ZOTERO_ITEM CSL_CITATION {"citationID":"sR4AjVW0","properties":{"formattedCitation":"({\\i{}31})","plainCitation":"(31)","noteIndex":0},"citationItems":[{"id":3294,"uris":["http://zotero.org/users/13901503/items/K5DSCTE2"],"itemData":{"id":3294,"type":"article-journal","abstract":"Heat stress (HS) can be detrimental to the gut health of swine. Many negative outcomes induced by HS are increasingly recognized as including modulation of intestinal microbiota. In turn, the intestinal microbiota is a unique ecosystem playing a critical role in mediating the host stress response. Therefore, we aimed to characterize gut microbiota of pigs’ exposure to short-term HS, to explore a possible link between the intestinal microbiota and HS-related changes, including serum cytokines, oxidation status, and intestinal epithelial barrier function. Our findings showed that HS led to intestinal morphological and integrity changes (villus height, serum diamine oxidase [DAO], serum D-lactate and the relative expressions of tight junction proteins), reduction of serum cytokines (interleukin [IL]-8, IL-12, interferon-gamma [IFN-γ]), and antioxidant activity (higher glutathione [GSH] and malondialdehyde [MDA] content, and lower superoxide dismutase [SOD]). Also, 16S rRNA sequencing analysis revealed that although there was no difference in microbial α-diversity, some HS-associated composition differences were revealed in the ileum and cecum, which partly led to an imbalance in the production of short-chain fatty acids including propionate acid and valerate acid. Relevance networks revealed that HS-derived changes in bacterial genera and microbial metabolites, such as Chlamydia, Lactobacillus, Succinivibrio, Bifidobacterium, Lachnoclostridium, and propionic acid, were correlated with oxidative stress, intestinal barrier dysfunction, and inflammation in pigs. Collectively, our observations suggest that intestinal damage induced by HS is probably partly related to the gut microbiota dysbiosis, though the underlying mechanism remains to be fully elucidated.","container-title":"Animal Nutrition","DOI":"10.1016/j.aninu.2021.05.012","ISSN":"2405-6545","journalAbbreviation":"Animal Nutrition","page":"289-299","source":"ScienceDirect","title":"Heat stress-induced mucosal barrier dysfunction is potentially associated with gut microbiota dysbiosis in pigs","volume":"8","author":[{"family":"Xia","given":"Bing"},{"family":"Wu","given":"Weida"},{"family":"Fang","given":"Wei"},{"family":"Wen","given":"Xiaobin"},{"family":"Xie","given":"Jingjing"},{"family":"Zhang","given":"Hongfu"}],"issued":{"date-parts":[["2022",3,1]]}}}],"schema":"https://github.com/citation-style-language/schema/raw/master/csl-citation.json"} </w:instrText>
      </w:r>
      <w:r>
        <w:fldChar w:fldCharType="separate"/>
      </w:r>
      <w:r w:rsidR="00DD12D1" w:rsidRPr="00DD12D1">
        <w:t>(</w:t>
      </w:r>
      <w:r w:rsidR="00DD12D1" w:rsidRPr="00DD12D1">
        <w:rPr>
          <w:i/>
          <w:iCs/>
        </w:rPr>
        <w:t>31</w:t>
      </w:r>
      <w:r w:rsidR="00DD12D1" w:rsidRPr="00DD12D1">
        <w:t>)</w:t>
      </w:r>
      <w:r>
        <w:fldChar w:fldCharType="end"/>
      </w:r>
      <w:r>
        <w:t xml:space="preserve">, cows </w:t>
      </w:r>
      <w:r>
        <w:fldChar w:fldCharType="begin"/>
      </w:r>
      <w:r w:rsidR="00DD12D1">
        <w:instrText xml:space="preserve"> ADDIN ZOTERO_ITEM CSL_CITATION {"citationID":"nvkrFcWR","properties":{"formattedCitation":"({\\i{}18}, {\\i{}20}, {\\i{}45})","plainCitation":"(18, 20, 45)","noteIndex":0},"citationItems":[{"id":3108,"uris":["http://zotero.org/users/13901503/items/989JE4MX"],"itemData":{"id":3108,"type":"article-journal","abstract":"Abstract\n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fldChar w:fldCharType="separate"/>
      </w:r>
      <w:r w:rsidR="00DD12D1" w:rsidRPr="00DD12D1">
        <w:t>(</w:t>
      </w:r>
      <w:r w:rsidR="00DD12D1" w:rsidRPr="00DD12D1">
        <w:rPr>
          <w:i/>
          <w:iCs/>
        </w:rPr>
        <w:t>18</w:t>
      </w:r>
      <w:r w:rsidR="00DD12D1" w:rsidRPr="00DD12D1">
        <w:t xml:space="preserve">, </w:t>
      </w:r>
      <w:r w:rsidR="00DD12D1" w:rsidRPr="00DD12D1">
        <w:rPr>
          <w:i/>
          <w:iCs/>
        </w:rPr>
        <w:t>20</w:t>
      </w:r>
      <w:r w:rsidR="00DD12D1" w:rsidRPr="00DD12D1">
        <w:t xml:space="preserve">, </w:t>
      </w:r>
      <w:r w:rsidR="00DD12D1" w:rsidRPr="00DD12D1">
        <w:rPr>
          <w:i/>
          <w:iCs/>
        </w:rPr>
        <w:t>45</w:t>
      </w:r>
      <w:r w:rsidR="00DD12D1" w:rsidRPr="00DD12D1">
        <w:t>)</w:t>
      </w:r>
      <w:r>
        <w:fldChar w:fldCharType="end"/>
      </w:r>
      <w:r>
        <w:t xml:space="preserve">, poultry </w:t>
      </w:r>
      <w:r>
        <w:fldChar w:fldCharType="begin"/>
      </w:r>
      <w:r w:rsidR="00DD12D1">
        <w:instrText xml:space="preserve"> ADDIN ZOTERO_ITEM CSL_CITATION {"citationID":"c2wsWmYm","properties":{"formattedCitation":"({\\i{}30}, {\\i{}50})","plainCitation":"(30, 50)","noteIndex":0},"citationItems":[{"id":3362,"uris":["http://zotero.org/users/13901503/items/IXQSNCGD"],"itemData":{"id":3362,"type":"article-journal","abstract":"Introduction\nHeat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id":3034,"uris":["http://zotero.org/users/13901503/items/X4GPZR7A"],"itemData":{"id":3034,"type":"article-journal","abstract":"This paper investigated the effects of heat stress on gut-microbial metabolites, gastrointestinal peptides, glycolipid metabolism, and performance of broilers. Thus, 132 male Arbor Acres broilers, 28-days-old, were randomly distributed to undergo two treatments: thermoneutral control (TC, 21 °C) and high temperature (HT, 31 °C). The results showed that the average daily gain (ADG), average daily feed intake (ADFI), and gastric inhibitory polypeptide (GIP) concentration in the jejunum significantly decreased the core temperature, feed conversion ratio (FCR), and ghrelin of the hypothalamus, and cholecystokinin (CCK) in jejunum, and serum significantly increased in the HT group (p &lt; 0.05). Exploration of the structure of cecal microbes was accomplished by sequencing 16S rRNA genes. The sequencing results showed that the proportion of Christensenellaceae and Lachnospiraceae decreased significantly whereas the proportion of Peptococcaceae increased at the family level (p &lt; 0.05). Ruminococcus and Clostridium abundances significantly increased at the genus level. Furthermore, the content of acetate in the HT group significantly increased. Biochemical parameters showed that the blood glucose concentration of the HT group significantly decreased, and the TG (serum triglycerides), TC (total cholesterol), insulin concentration, and the insulin resistance index significantly increased. Nonesterified fatty acid (NEFA) in the HT group decreased significantly. In conclusion, the results of this paper suggest that the poor production performance of broilers under heat stress may be related to short-chain fatty acids (SCFAs) fermented by intestinal microbiota involved in regulating metabolic disorders.","container-title":"Animals","DOI":"10.3390/ani11051286","ISSN":"2076-2615","issue":"5","language":"en","license":"http://creativecommons.org/licenses/by/3.0/","note":"number: 5\npublisher: Multidisciplinary Digital Publishing Institute","page":"1286","source":"www-mdpi-com.proxy.lib.umich.edu","title":"Effects of Heat Stress on Gut-Microbial Metabolites, Gastrointestinal Peptides, Glycolipid Metabolism, and Performance of Broilers","volume":"11","author":[{"family":"Wang","given":"Guangju"},{"family":"Li","given":"Xiumei"},{"family":"Zhou","given":"Ying"},{"family":"Feng","given":"Jinghai"},{"family":"Zhang","given":"Minhong"}],"issued":{"date-parts":[["2021",5]]}}}],"schema":"https://github.com/citation-style-language/schema/raw/master/csl-citation.json"} </w:instrText>
      </w:r>
      <w:r>
        <w:fldChar w:fldCharType="separate"/>
      </w:r>
      <w:r w:rsidR="00DD12D1" w:rsidRPr="00DD12D1">
        <w:t>(</w:t>
      </w:r>
      <w:r w:rsidR="00DD12D1" w:rsidRPr="00DD12D1">
        <w:rPr>
          <w:i/>
          <w:iCs/>
        </w:rPr>
        <w:t>30</w:t>
      </w:r>
      <w:r w:rsidR="00DD12D1" w:rsidRPr="00DD12D1">
        <w:t xml:space="preserve">, </w:t>
      </w:r>
      <w:r w:rsidR="00DD12D1" w:rsidRPr="00DD12D1">
        <w:rPr>
          <w:i/>
          <w:iCs/>
        </w:rPr>
        <w:t>50</w:t>
      </w:r>
      <w:r w:rsidR="00DD12D1" w:rsidRPr="00DD12D1">
        <w:t>)</w:t>
      </w:r>
      <w:r>
        <w:fldChar w:fldCharType="end"/>
      </w:r>
      <w:r>
        <w:t xml:space="preserve">]. To address this knowledge gap, here, we assess how temperature predicts gut microbiome composition and metabolic function in a wild population of capuchin monkeys, </w:t>
      </w:r>
      <w:r w:rsidRPr="00297A0D">
        <w:rPr>
          <w:i/>
          <w:iCs/>
        </w:rPr>
        <w:t>Cebus imitator</w:t>
      </w:r>
      <w:r>
        <w:t xml:space="preserve">, in Costa Rica. Much of primate gut microbiome research has examined how broad ecological factors—such as seasonality </w:t>
      </w:r>
      <w:r>
        <w:fldChar w:fldCharType="begin"/>
      </w:r>
      <w:r w:rsidR="00DD12D1">
        <w:instrText xml:space="preserve"> ADDIN ZOTERO_ITEM CSL_CITATION {"citationID":"OdtyqMvf","properties":{"formattedCitation":"({\\i{}51}, {\\i{}52})","plainCitation":"(51, 52)","noteIndex":0},"citationItems":[{"id":623,"uris":["http://zotero.org/users/13901503/items/BZNLIQ5D"],"itemData":{"id":623,"type":"article-journal","abstract":"Background: Adaptive shifts in gut microbiome composition are one route by which animals adapt to seasonal changes in food availability and diet. However, outside of dietary shifts, other potential environmental drivers of gut microbial composition have rarely been investigated, particularly in organisms living in their natural environments.\nResults: Here, we generated the largest wild nonhuman primate gut microbiome dataset to date to identify the environmental drivers of gut microbial diversity and function in 758 samples collected from wild Ethiopian geladas (Theropithecus gelada). Because geladas live in a cold, high-altitude environment and have a low-quality grass-based diet, they face extreme thermoregulatory and energetic constraints. We tested how proxies of food availability (rainfall) and thermoregulatory stress (temperature) predicted gut microbiome composition of geladas. The gelada gut microbiome composition covaried with rainfall and temperature in a pattern that suggests distinct responses to dietary and thermoregulatory challenges. Microbial changes were driven by differences in the main components of the diet across seasons: in rainier periods, the gut was dominated by cellulolytic/fermentative bacteria that specialized in digesting grass, while during dry periods the gut was dominated by bacteria that break down starches found in underground plant parts. Temperature had a comparatively smaller, but detectable, effect on the gut microbiome. During cold and dry periods, bacterial genes involved in energy, amino acid, and lipid metabolism increased, suggesting a stimulation of fermentation activity in the gut when thermoregulatory and nutritional stress co-occurred, and potentially helping geladas to maintain energy balance during challenging periods.\nConclusion: Together, these results shed light on the extent to which gut microbiota plasticity provides dietary and metabolic flexibility to the host, and might be a key factor to thriving in changing environments. On a longer evolutionary timescale, such metabolic flexibility provided by the gut microbiome may have also allowed members of Theropithecus to adopt a specialized diet, and colonize new high-altitude grassland habitats in East Africa.","container-title":"Microbiome","DOI":"10.1186/s40168-020-00977-9","ISSN":"2049-2618","issue":"1","journalAbbreviation":"Microbiome","language":"en","page":"26","source":"DOI.org (Crossref)","title":"Seasonal shifts in the gut microbiome indicate plastic responses to diet in wild geladas","volume":"9","author":[{"family":"Baniel","given":"Alice"},{"family":"Amato","given":"Katherine R."},{"family":"Beehner","given":"Jacinta C."},{"family":"Bergman","given":"Thore J."},{"family":"Mercer","given":"Arianne"},{"family":"Perlman","given":"Rachel F."},{"family":"Petrullo","given":"Lauren"},{"family":"Reitsema","given":"Laurie"},{"family":"Sams","given":"Sierra"},{"family":"Lu","given":"Amy"},{"family":"Snyder-Mackler","given":"Noah"}],"issued":{"date-parts":[["2021",1,23]]}}},{"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00DD12D1" w:rsidRPr="00DD12D1">
        <w:t>(</w:t>
      </w:r>
      <w:r w:rsidR="00DD12D1" w:rsidRPr="00DD12D1">
        <w:rPr>
          <w:i/>
          <w:iCs/>
        </w:rPr>
        <w:t>51</w:t>
      </w:r>
      <w:r w:rsidR="00DD12D1" w:rsidRPr="00DD12D1">
        <w:t xml:space="preserve">, </w:t>
      </w:r>
      <w:r w:rsidR="00DD12D1" w:rsidRPr="00DD12D1">
        <w:rPr>
          <w:i/>
          <w:iCs/>
        </w:rPr>
        <w:t>52</w:t>
      </w:r>
      <w:r w:rsidR="00DD12D1" w:rsidRPr="00DD12D1">
        <w:t>)</w:t>
      </w:r>
      <w:r>
        <w:fldChar w:fldCharType="end"/>
      </w:r>
      <w:r>
        <w:t xml:space="preserve">, habitat disturbance </w:t>
      </w:r>
      <w:r>
        <w:fldChar w:fldCharType="begin"/>
      </w:r>
      <w:r w:rsidR="00DD12D1">
        <w:instrText xml:space="preserve"> ADDIN ZOTERO_ITEM CSL_CITATION {"citationID":"gzsonOsW","properties":{"formattedCitation":"({\\i{}53}, {\\i{}54})","plainCitation":"(53, 54)","noteIndex":0},"citationItems":[{"id":13,"uris":["http://zotero.org/users/13901503/items/PSP5FMHG"],"itemData":{"id":13,"type":"article-journal","abstract":"The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Ecology","note":"publisher: Nature Publishing Group","page":"1344-1353","source":"www.nature.com","title":"Habitat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R."}],"issued":{"date-parts":[["2013",7]]}}},{"id":1,"uris":["http://zotero.org/users/13901503/items/5AKC3P3A"],"itemData":{"id":1,"type":"article-journal","abstract":"The expansion of agriculture is shrinking pristine forest areas worldwide, jeopardizing the persistence of their wild inhabitants. The Udzungwa red colobus monkey (Procolobus gordonorum) is among the most threatened primate species in Africa. Primarily arboreal and highly sensitive to hunting and habitat destruction, they provide a critical model to understanding whether anthropogenic disturbance impacts gut microbiota diversity. We sampled seven social groups inhabiting two forests (disturbed vs. undisturbed) in the Udzungwa Mountains of Tanzania. While Ruminococcaceae and Lachnospiraceae dominated in all individuals, reflecting their role in extracting energy from folivorous diets, analysis of genus composition showed a marked diversification across habitats, with gut microbiota α-diversity significantly higher in the undisturbed forest. Functional analysis suggests that such variation may be associated with food plant diversity in natural versus human-modified habitats, requiring metabolic pathways to digest xenobiotics. Thus, the effects of changes in gut microbiota should not be ignored to conserve endangered populations.","container-title":"Scientific Reports","DOI":"10.1038/srep14862","ISSN":"2045-2322","issue":"1","journalAbbreviation":"Sci Rep","language":"en","license":"2015 The Author(s)","note":"publisher: Nature Publishing Group","page":"14862","source":"www.nature.com","title":"Habitat fragmentation is associated to gut microbiota diversity of an endangered primate: implications for conservation","title-short":"Habitat fragmentation is associated to gut microbiota diversity of an endangered primate","volume":"5","author":[{"family":"Barelli","given":"Claudia"},{"family":"Albanese","given":"Davide"},{"family":"Donati","given":"Claudio"},{"family":"Pindo","given":"Massimo"},{"family":"Dallago","given":"Chiara"},{"family":"Rovero","given":"Francesco"},{"family":"Cavalieri","given":"Duccio"},{"family":"Tuohy","given":"Kieran Michael"},{"family":"Hauffe","given":"Heidi Christine"},{"family":"De Filippo","given":"Carlotta"}],"issued":{"date-parts":[["2015",10,7]]}}}],"schema":"https://github.com/citation-style-language/schema/raw/master/csl-citation.json"} </w:instrText>
      </w:r>
      <w:r>
        <w:fldChar w:fldCharType="separate"/>
      </w:r>
      <w:r w:rsidR="00DD12D1" w:rsidRPr="00DD12D1">
        <w:t>(</w:t>
      </w:r>
      <w:r w:rsidR="00DD12D1" w:rsidRPr="00DD12D1">
        <w:rPr>
          <w:i/>
          <w:iCs/>
        </w:rPr>
        <w:t>53</w:t>
      </w:r>
      <w:r w:rsidR="00DD12D1" w:rsidRPr="00DD12D1">
        <w:t xml:space="preserve">, </w:t>
      </w:r>
      <w:r w:rsidR="00DD12D1" w:rsidRPr="00DD12D1">
        <w:rPr>
          <w:i/>
          <w:iCs/>
        </w:rPr>
        <w:t>54</w:t>
      </w:r>
      <w:r w:rsidR="00DD12D1" w:rsidRPr="00DD12D1">
        <w:t>)</w:t>
      </w:r>
      <w:r>
        <w:fldChar w:fldCharType="end"/>
      </w:r>
      <w:r>
        <w:t xml:space="preserve">, and local ecological conditions </w:t>
      </w:r>
      <w:r>
        <w:fldChar w:fldCharType="begin"/>
      </w:r>
      <w:r w:rsidR="00DD12D1">
        <w:instrText xml:space="preserve"> ADDIN ZOTERO_ITEM CSL_CITATION {"citationID":"86FXNkaq","properties":{"formattedCitation":"({\\i{}55}, {\\i{}56})","plainCitation":"(55, 56)","noteIndex":0},"citationItems":[{"id":618,"uris":["http://zotero.org/users/13901503/items/PY6HECL7"],"itemData":{"id":618,"type":"article-journal","abstract":"Recent studies suggest that variation in diet across time and space results in changes in the mammalian gut microbiota. This variation may ultimately impact host ecology by altering nutritional status and health. Wild animal populations provide an excellent opportunity for understanding these interactions. However, compared to clinical studies, microbial research targeting wild animals is currently limited, and many published studies focus only on a single population of a single host species. In this study we utilize fecal samples from two species of howler monkey (Alouatta pigra and A. palliata) collected at four sites to investigate factors influencing the gut microbiota at three scales: taxonomic (host species), ecosystemic (forest type), and local (habitat disturbance/season). The results demonstrate that the effect of host species on the gut microbiota is stronger than the effect of host forest type, which is stronger than the effect of habitat disturbance or seasonality. Nevertheless, within host species, gut microbiota composition differs in response to forest type, habitat disturbance, and season. Variations in the effect size of these factors are associated both with host species and environment. This information may be beneficial for understanding ecological and evolutionary questions associated with Mesoamerican howler monkeys, as well as determining conservation challenges facing each species. These mechanisms may also provide insight into the ecology of other species of howler monkeys, non-human primates, and mammals.","container-title":"Oecologia","DOI":"10.1007/s00442-015-3507-z","ISSN":"1432-1939","issue":"3","journalAbbreviation":"Oecologia","language":"en","page":"717-733","source":"Springer Link","title":"Phylogenetic and ecological factors impact the gut microbiota of two Neotropical primate species","volume":"180","author":[{"family":"Amato","given":"Katherine R."},{"family":"Martinez-Mota","given":"Rodolfo"},{"family":"Righini","given":"Nicoletta"},{"family":"Raguet-Schofield","given":"Melissa"},{"family":"Corcione","given":"Fabiana Paola"},{"family":"Marini","given":"Elisabetta"},{"family":"Humphrey","given":"Greg"},{"family":"Gogul","given":"Grant"},{"family":"Gaffney","given":"James"},{"family":"Lovelace","given":"Elijah"},{"family":"Williams","given":"LaShanda"},{"family":"Luong","given":"Albert"},{"family":"Dominguez-Bello","given":"Maria Gloria"},{"family":"Stumpf","given":"Rebecca M."},{"family":"White","given":"Bryan"},{"family":"Nelson","given":"Karen E."},{"family":"Knight","given":"Rob"},{"family":"Leigh","given":"Steven R."}],"issued":{"date-parts":[["2016",3,1]]}}},{"id":629,"uris":["http://zotero.org/users/13901503/items/AG6R9F5E"],"itemData":{"id":629,"type":"article-journal","abstract":"Understanding variation in host-associated microbial communities is important given the relevance of microbiomes to host physiology and health. Using 560 fecal samples collected from wild chimpanzees (Pan troglodytes) across their range, we assessed how geography, genetics, climate, vegetation, and diet relate to gut microbial community structure (prokaryotes, eukaryotic parasites) at multiple spatial scales. We observed a high degree of regional speciﬁcity in the microbiome composition, which was associated with host genetics, available plant foods, and potentially with cultural differences in tool use, which affect diet. Genetic differences drove community composition at large scales, while vegetation and potentially tool use drove within-region differences, likely due to their inﬂuence on diet. Unlike industrialized human populations in the United States, where regional differences in the gut microbiome are undetectable, chimpanzee gut microbiomes are far more variable across space, suggesting that technological developments have decoupled humans from their local environments, obscuring regional differences that could have been important during human evolution.","container-title":"mSystems","DOI":"10.1128/mSystems.01269-20","ISSN":"2379-5077","issue":"3","journalAbbreviation":"mSystems","language":"en","page":"e01269-20","source":"DOI.org (Crossref)","title":"Structure of Chimpanzee Gut Microbiomes across Tropical Africa","volume":"6","author":[{"family":"Bueno De Mesquita","given":"Clifton P."},{"family":"Nichols","given":"Lauren M."},{"family":"Gebert","given":"Matthew J."},{"family":"Vanderburgh","given":"Caihong"},{"family":"Bocksberger","given":"Gaëlle"},{"family":"Lester","given":"Jack D."},{"family":"Kalan","given":"Ammie K."},{"family":"Dieguez","given":"Paula"},{"family":"McCarthy","given":"Maureen S."},{"family":"Agbor","given":"Anthony"},{"family":"Álvarez Varona","given":"Paula"},{"family":"Ayimisin","given":"Ayuk Emmanuel"},{"family":"Bessone","given":"Mattia"},{"family":"Chancellor","given":"Rebecca"},{"family":"Cohen","given":"Heather"},{"family":"Coupland","given":"Charlotte"},{"family":"Deschner","given":"Tobias"},{"family":"Egbe","given":"Villard Ebot"},{"family":"Goedmakers","given":"Annemarie"},{"family":"Granjon","given":"Anne-Céline"},{"family":"Grueter","given":"Cyril C."},{"family":"Head","given":"Josephine"},{"family":"Hernandez-Aguilar","given":"R. Adriana"},{"family":"Jeffery","given":"Kathryn J."},{"family":"Jones","given":"Sorrel"},{"family":"Kadam","given":"Parag"},{"family":"Kaiser","given":"Michael"},{"family":"Lapuente","given":"Juan"},{"family":"Larson","given":"Bradley"},{"family":"Marrocoli","given":"Sergio"},{"family":"Morgan","given":"David"},{"family":"Mugerwa","given":"Badru"},{"family":"Mulindahabi","given":"Felix"},{"family":"Neil","given":"Emily"},{"family":"Niyigaba","given":"Protais"},{"family":"Pacheco","given":"Liliana"},{"family":"Piel","given":"Alex K."},{"family":"Robbins","given":"Martha M."},{"family":"Rundus","given":"Aaron"},{"family":"Sanz","given":"Crickette M."},{"family":"Sciaky","given":"Lilah"},{"family":"Sheil","given":"Douglas"},{"family":"Sommer","given":"Volker"},{"family":"Stewart","given":"Fiona A."},{"family":"Ton","given":"Els"},{"family":"Van Schijndel","given":"Joost"},{"family":"Vergnes","given":"Virginie"},{"family":"Wessling","given":"Erin G."},{"family":"Wittig","given":"Roman M."},{"family":"Ginath Yuh","given":"Yisa"},{"family":"Yurkiw","given":"Kyle"},{"family":"Zuberbühler","given":"Klaus"},{"family":"Gogarten","given":"Jan F."},{"family":"Heintz-Buschart","given":"Anna"},{"family":"Muellner-Riehl","given":"Alexandra N."},{"family":"Boesch","given":"Christophe"},{"family":"Kühl","given":"Hjalmar S."},{"family":"Fierer","given":"Noah"},{"family":"Arandjelovic","given":"Mimi"},{"family":"Dunn","given":"Robert R."}],"editor":[{"family":"Hird","given":"Sarah M."}],"issued":{"date-parts":[["2021",6,29]]}}}],"schema":"https://github.com/citation-style-language/schema/raw/master/csl-citation.json"} </w:instrText>
      </w:r>
      <w:r>
        <w:fldChar w:fldCharType="separate"/>
      </w:r>
      <w:r w:rsidR="00DD12D1" w:rsidRPr="00DD12D1">
        <w:t>(</w:t>
      </w:r>
      <w:r w:rsidR="00DD12D1" w:rsidRPr="00DD12D1">
        <w:rPr>
          <w:i/>
          <w:iCs/>
        </w:rPr>
        <w:t>55</w:t>
      </w:r>
      <w:r w:rsidR="00DD12D1" w:rsidRPr="00DD12D1">
        <w:t xml:space="preserve">, </w:t>
      </w:r>
      <w:r w:rsidR="00DD12D1" w:rsidRPr="00DD12D1">
        <w:rPr>
          <w:i/>
          <w:iCs/>
        </w:rPr>
        <w:t>56</w:t>
      </w:r>
      <w:r w:rsidR="00DD12D1" w:rsidRPr="00DD12D1">
        <w:t>)</w:t>
      </w:r>
      <w:r>
        <w:fldChar w:fldCharType="end"/>
      </w:r>
      <w:r>
        <w:t xml:space="preserve">— relate to the gut microbiome, with findings often attributed to differences in host diet. However, no study has directly assessed the influence of temperature on the gut microbiome of a wild primate. </w:t>
      </w:r>
      <w:r w:rsidR="00F52F4A">
        <w:t xml:space="preserve">Examining the influence of natural temperature gradients on the gut microbiome of wild primates </w:t>
      </w:r>
      <w:r w:rsidR="00CD5A2A">
        <w:t xml:space="preserve">can </w:t>
      </w:r>
      <w:r w:rsidR="00F52F4A">
        <w:t>provide critical insight into how relatively unexplored abiotic factors shape host–microbiome dynamics in ecologically relevant contexts.</w:t>
      </w:r>
    </w:p>
    <w:p w14:paraId="267A25E1" w14:textId="57D0D309" w:rsidR="00037AFA" w:rsidRDefault="00037AFA" w:rsidP="004A358B">
      <w:pPr>
        <w:ind w:firstLine="720"/>
      </w:pPr>
      <w:r>
        <w:t>Since heat-driven changes to the gut microbiome h</w:t>
      </w:r>
      <w:r w:rsidR="00105ADF">
        <w:t>ave been shown to impact the immune system</w:t>
      </w:r>
      <w:r w:rsidR="004A358B">
        <w:t xml:space="preserve"> </w:t>
      </w:r>
      <w:r w:rsidR="004A358B">
        <w:fldChar w:fldCharType="begin"/>
      </w:r>
      <w:r w:rsidR="00DD12D1">
        <w:instrText xml:space="preserve"> ADDIN ZOTERO_ITEM CSL_CITATION {"citationID":"80z8SmbZ","properties":{"formattedCitation":"({\\i{}18}, {\\i{}45})","plainCitation":"(18, 45)","noteIndex":0},"citationItems":[{"id":3108,"uris":["http://zotero.org/users/13901503/items/989JE4MX"],"itemData":{"id":3108,"type":"article-journal","abstract":"Abstract\n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rsidR="004A358B">
        <w:fldChar w:fldCharType="separate"/>
      </w:r>
      <w:r w:rsidR="00DD12D1" w:rsidRPr="00DD12D1">
        <w:t>(</w:t>
      </w:r>
      <w:r w:rsidR="00DD12D1" w:rsidRPr="00DD12D1">
        <w:rPr>
          <w:i/>
          <w:iCs/>
        </w:rPr>
        <w:t>18</w:t>
      </w:r>
      <w:r w:rsidR="00DD12D1" w:rsidRPr="00DD12D1">
        <w:t xml:space="preserve">, </w:t>
      </w:r>
      <w:r w:rsidR="00DD12D1" w:rsidRPr="00DD12D1">
        <w:rPr>
          <w:i/>
          <w:iCs/>
        </w:rPr>
        <w:t>45</w:t>
      </w:r>
      <w:r w:rsidR="00DD12D1" w:rsidRPr="00DD12D1">
        <w:t>)</w:t>
      </w:r>
      <w:r w:rsidR="004A358B">
        <w:fldChar w:fldCharType="end"/>
      </w:r>
      <w:r w:rsidR="00105ADF">
        <w:t>, w</w:t>
      </w:r>
      <w:r w:rsidR="00245043">
        <w:t>e also evaluate the interplay between temperature, the gut microbiome, and host immunity.</w:t>
      </w:r>
      <w:r w:rsidR="00245043" w:rsidRPr="009673A8">
        <w:t xml:space="preserve"> </w:t>
      </w:r>
      <w:r w:rsidR="00245043">
        <w:t>Specifically, we measure host immunity using urinary neopterin, a byproduct of macrophage activity</w:t>
      </w:r>
      <w:r>
        <w:t xml:space="preserve"> during the cellular immune response</w:t>
      </w:r>
      <w:r w:rsidR="00245043">
        <w:t xml:space="preserve"> </w:t>
      </w:r>
      <w:r w:rsidR="00245043">
        <w:fldChar w:fldCharType="begin"/>
      </w:r>
      <w:r w:rsidR="00DD12D1">
        <w:instrText xml:space="preserve"> ADDIN ZOTERO_ITEM CSL_CITATION {"citationID":"UNmWgoQb","properties":{"formattedCitation":"({\\i{}57})","plainCitation":"(57)","noteIndex":0},"citationItems":[{"id":513,"uris":["http://zotero.org/users/13901503/items/BEFXLUSL"],"itemData":{"id":513,"type":"article-journal","abstract":"Increased amounts of neopterin are produced by human monocytes/macrophages upon stimulation with the cytokine interferon-y. Therefore, measurement of neopterin concentrations in body fluids like serum, cerebrospinal fluid or urine provides information about activation of T helper cell 1 derived cellular immune activation. Increased neopterin production is found in infections by viruses including human immunodeficiency virus (HIV), infections by intracellular living bacteria and parasites, autoimmune diseases, malignant tumor diseases and in allograft rejection episodes. But also in neurological and in cardiovascular diseases cellular immune activation indicated by increased neopterin production, is found. Major diagnostic applications of neopterin measurements are, e.g. monitoring of allograft recipients to recognize immunological complications early. Neopterin production provides prognostic information in patients with malignant tumor diseases and in HIV-infected individuals, high levels being associated with poorer survival expectations. Neopterin measurements are also useful to monitor therapy in patients with autoimmune disorders and in individuals with HIV infection. Screening of neopterin concentrations in blood donations allows to detect acute infections in a non-specific way and improves safety of blood transfusions. As high neopterin production is associated with increased production of reactive oxygen species and with low serum concentrations of antioxidants like alpha-tocopherol, neopterin can also be regarded as a marker of reactive oxygen species formed by the activated cellular immune system. Therefore, by neopterin measurements not only the extent of cellular immune activation but also the extent of oxidative stress can be estimated.","container-title":"Current Drug Metabolism","DOI":"10.2174/1389200024605082","ISSN":"1389-2002","issue":"2","journalAbbreviation":"Curr Drug Metab","language":"eng","note":"PMID: 12003349","page":"175-187","source":"PubMed","title":"Neopterin as a marker for immune system activation","volume":"3","author":[{"family":"Murr","given":"C."},{"family":"Widner","given":"B."},{"family":"Wirleitner","given":"B."},{"family":"Fuchs","given":"D."}],"issued":{"date-parts":[["2002",4]]}}}],"schema":"https://github.com/citation-style-language/schema/raw/master/csl-citation.json"} </w:instrText>
      </w:r>
      <w:r w:rsidR="00245043">
        <w:fldChar w:fldCharType="separate"/>
      </w:r>
      <w:r w:rsidR="00DD12D1" w:rsidRPr="00DD12D1">
        <w:t>(</w:t>
      </w:r>
      <w:r w:rsidR="00DD12D1" w:rsidRPr="00DD12D1">
        <w:rPr>
          <w:i/>
          <w:iCs/>
        </w:rPr>
        <w:t>57</w:t>
      </w:r>
      <w:r w:rsidR="00DD12D1" w:rsidRPr="00DD12D1">
        <w:t>)</w:t>
      </w:r>
      <w:r w:rsidR="00245043">
        <w:fldChar w:fldCharType="end"/>
      </w:r>
      <w:r w:rsidR="00245043">
        <w:t>. Macrophages play a central role in host containment of the gut</w:t>
      </w:r>
      <w:r w:rsidR="00F52F4A">
        <w:t xml:space="preserve"> </w:t>
      </w:r>
      <w:r w:rsidR="00245043">
        <w:t xml:space="preserve">microbiome </w:t>
      </w:r>
      <w:r w:rsidR="00245043">
        <w:fldChar w:fldCharType="begin"/>
      </w:r>
      <w:r w:rsidR="00DD12D1">
        <w:instrText xml:space="preserve"> ADDIN ZOTERO_ITEM CSL_CITATION {"citationID":"EavUBInj","properties":{"formattedCitation":"({\\i{}58})","plainCitation":"(58)","noteIndex":0},"citationItems":[{"id":2059,"uris":["http://zotero.org/users/13901503/items/JE3VXSP3"],"itemData":{"id":2059,"type":"article-journal","abstract":"Mucosal immune responses must be tightly controlled, particularly in the intestine. As members of the mononuclear phagocyte family, dendritic cells (DCs) and macrophages are well represented in intestinal tissues and have developed unique functional niches. This review will focus on recent findings on antigen uptake and processing in the intestine and the role of DCs in the imprinting of homing receptors on T and B cells, the induction of immunoglobulin A B-cell responses, and the differentiation of regulatory T cells. It will also address the unique phenotype of intestinal macrophages and briefly what is known regarding the relationships between these cell types.","container-title":"Mucosal Immunology","DOI":"10.1038/mi.2008.61","ISSN":"1933-0219","issue":"6","journalAbbreviation":"Mucosal Immunology","page":"460-469","source":"ScienceDirect","title":"Recent progress in understanding the phenotype and function of intestinal dendritic cells and macrophages","volume":"1","author":[{"family":"Kelsall","given":"B"}],"issued":{"date-parts":[["2008",11,1]]}}}],"schema":"https://github.com/citation-style-language/schema/raw/master/csl-citation.json"} </w:instrText>
      </w:r>
      <w:r w:rsidR="00245043">
        <w:fldChar w:fldCharType="separate"/>
      </w:r>
      <w:r w:rsidR="00DD12D1" w:rsidRPr="00DD12D1">
        <w:t>(</w:t>
      </w:r>
      <w:r w:rsidR="00DD12D1" w:rsidRPr="00DD12D1">
        <w:rPr>
          <w:i/>
          <w:iCs/>
        </w:rPr>
        <w:t>58</w:t>
      </w:r>
      <w:r w:rsidR="00DD12D1" w:rsidRPr="00DD12D1">
        <w:t>)</w:t>
      </w:r>
      <w:r w:rsidR="00245043">
        <w:fldChar w:fldCharType="end"/>
      </w:r>
      <w:r w:rsidR="00245043">
        <w:t xml:space="preserve">, and microbial metabolites, including SCFAs and saturated fatty acids, regulate macrophage activity to maintain host tolerance and prevent chronic inflammatory disorders </w:t>
      </w:r>
      <w:r w:rsidR="00245043">
        <w:fldChar w:fldCharType="begin"/>
      </w:r>
      <w:r w:rsidR="00DD12D1">
        <w:instrText xml:space="preserve"> ADDIN ZOTERO_ITEM CSL_CITATION {"citationID":"YxsMzISt","properties":{"formattedCitation":"({\\i{}41}, {\\i{}59})","plainCitation":"(41, 59)","noteIndex":0},"citationItems":[{"id":2073,"uris":["http://zotero.org/users/13901503/items/AVMVJBUV"],"itemData":{"id":2073,"type":"article-journal","abstract":"Short-chain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R"}],"issued":{"date-parts":[["2016"]]}}},{"id":1508,"uris":["http://zotero.org/users/13901503/items/V6FDCZ8Q"],"itemData":{"id":1508,"type":"article-journal","abstract":"&lt;p&gt;Gut microbiota, an integral part of the human body, comprise bacteria, fungi, archaea, and protozoa. There is consensus that the disruption of the gut microbiota (termed “gut dysbiosis”) is influenced by host genetics, diet, antibiotics, and inflammation, and it is closely linked to the pathogenesis of inflammatory diseases, such as obesity and inflammatory bowel disease (IBD). Macrophages are the key players in the maintenance of tissue homeostasis by eliminating invading pathogens and exhibit extreme plasticity of their phenotypes, such as M1 or M2, which have been demonstrated to exert pro- and anti-inflammatory functions. Microbiota-derived metabolites, short-chain fatty acids (SCFAs) and Gram-negative bacterial lipopolysaccharides (LPS), exert anti-inflammatory or pro-inflammatory effects by acting on macrophages. Understanding the role of macrophages in gut microbiota-inflammation interactions might provide us a novel method for preventing and treating inflammatory diseases. In this review, we summarize the recent research on the relationship between gut microbiota and inflammation and discuss the important role of macrophages in this context.&lt;/p&gt;","container-title":"Frontiers in Microbiology","DOI":"10.3389/fmicb.2020.01065","ISSN":"1664-302X","journalAbbreviation":"Front. Microbiol.","language":"English","note":"publisher: Frontiers","source":"Frontiers","title":"The Relationship Between Gut Microbiota and Inflammatory Diseases: The Role of Macrophages","title-short":"The Relationship Between Gut Microbiota and Inflammatory Diseases","URL":"https://www.frontiersin.org/journals/microbiology/articles/10.3389/fmicb.2020.01065/full","volume":"11","author":[{"family":"Wang","given":"Ji"},{"family":"Chen","given":"Wei-Dong"},{"family":"Wang","given":"Yan-Dong"}],"accessed":{"date-parts":[["2025",1,3]]},"issued":{"date-parts":[["2020",6,9]]}}}],"schema":"https://github.com/citation-style-language/schema/raw/master/csl-citation.json"} </w:instrText>
      </w:r>
      <w:r w:rsidR="00245043">
        <w:fldChar w:fldCharType="separate"/>
      </w:r>
      <w:r w:rsidR="00DD12D1" w:rsidRPr="00DD12D1">
        <w:t>(</w:t>
      </w:r>
      <w:r w:rsidR="00DD12D1" w:rsidRPr="00DD12D1">
        <w:rPr>
          <w:i/>
          <w:iCs/>
        </w:rPr>
        <w:t>41</w:t>
      </w:r>
      <w:r w:rsidR="00DD12D1" w:rsidRPr="00DD12D1">
        <w:t xml:space="preserve">, </w:t>
      </w:r>
      <w:r w:rsidR="00DD12D1" w:rsidRPr="00DD12D1">
        <w:rPr>
          <w:i/>
          <w:iCs/>
        </w:rPr>
        <w:t>59</w:t>
      </w:r>
      <w:r w:rsidR="00DD12D1" w:rsidRPr="00DD12D1">
        <w:t>)</w:t>
      </w:r>
      <w:r w:rsidR="00245043">
        <w:fldChar w:fldCharType="end"/>
      </w:r>
      <w:r w:rsidR="00245043">
        <w:t>. Therefore, neopterin is a valuable tool for examining microbiome-immune homeostasis.</w:t>
      </w:r>
    </w:p>
    <w:p w14:paraId="349062C7" w14:textId="00E9D66E" w:rsidR="00D0447D" w:rsidRDefault="00245043" w:rsidP="00015116">
      <w:pPr>
        <w:ind w:firstLine="720"/>
      </w:pPr>
      <w:r>
        <w:t xml:space="preserve">We analyzed 11 months of paired fecal and urine samples from 36 individually identified white-faced capuchin monkeys living in tropical dry forest fragments in northwestern Costa Rica. Tropical dry forests are highly seasonal and experience greater annual temperature variation than other tropical environments </w:t>
      </w:r>
      <w:r>
        <w:fldChar w:fldCharType="begin"/>
      </w:r>
      <w:r w:rsidR="00DD12D1">
        <w:instrText xml:space="preserve"> ADDIN ZOTERO_ITEM CSL_CITATION {"citationID":"yj0x0aG1","properties":{"formattedCitation":"({\\i{}60})","plainCitation":"(60)","noteIndex":0},"citationItems":[{"id":543,"uris":["http://zotero.org/users/13901503/items/QHXU8E8Q"],"itemData":{"id":543,"type":"article-journal","abstract":"This paper shows the results of an assessment on the current extent of Neotropical dry forests based on a supervised classification of MODIS surface reflectance imagery at 500-m resolution. Our findings show that tropical dry forests extend for 519,597km2 across North and South America. Mexico, Brazil and Bolivia harbor the largest and best-preserved dry forest fragments. Mexico contains the largest extent at 181,461km2 (38% of the total), although it remains poorly represented under protected areas. On the other hand, Brazil and Bolivia contain the largest proportion of protected tropical dry forests and the largest extent in continuous forest fragments. We found that five single ecoregions account for more than half of the tropical dry forests in the Americas (continental and insular) and these ecoregions are: the Chiquitano dry forests, located in Bolivia and Brazil (27.5%), the Atlantic dry forests (10.2%), the Sinaloan dry forests in Mexico (9.7%), the Cuban dry forests (7.1%) and the Bajio dry forests in Mexico (7%). Chiquitano dry forests alone contain 142,941km2 of dry forests. Of the approximately 23,000km2 of dry forest under legal protection, 15,000km2 are located in just two countries, Bolivia and Brazil. In fact, Bolivia protects 10,609km2 of dry forests, where 7600km2 are located within the Chiquitano dry forest ecoregion and protected by a single park. Low extent and high fragmentation of dry forests in countries like Guatemala, Nicaragua, Ecuador, Costa Rica and Peru means that these forests are at a higher risk from human disturbance and deforestation.","container-title":"Biological Conservation","DOI":"10.1016/j.biocon.2009.09.020","ISSN":"0006-3207","issue":"1","journalAbbreviation":"Biological Conservation","page":"144-155","source":"ScienceDirect","title":"Extent and conservation of tropical dry forests in the Americas","volume":"143","author":[{"family":"Portillo-Quintero","given":"C. A."},{"family":"Sánchez-Azofeifa","given":"G. A."}],"issued":{"date-parts":[["2010",1,1]]}}}],"schema":"https://github.com/citation-style-language/schema/raw/master/csl-citation.json"} </w:instrText>
      </w:r>
      <w:r>
        <w:fldChar w:fldCharType="separate"/>
      </w:r>
      <w:r w:rsidR="00DD12D1" w:rsidRPr="00DD12D1">
        <w:t>(</w:t>
      </w:r>
      <w:r w:rsidR="00DD12D1" w:rsidRPr="00DD12D1">
        <w:rPr>
          <w:i/>
          <w:iCs/>
        </w:rPr>
        <w:t>60</w:t>
      </w:r>
      <w:r w:rsidR="00DD12D1" w:rsidRPr="00DD12D1">
        <w:t>)</w:t>
      </w:r>
      <w:r>
        <w:fldChar w:fldCharType="end"/>
      </w:r>
      <w:r w:rsidR="006E0436">
        <w:t>,</w:t>
      </w:r>
      <w:r>
        <w:t xml:space="preserve"> making them an ideal system for studying the effects of heat stress. Further, season is reliably measured by rain</w:t>
      </w:r>
      <w:r w:rsidR="009237D2">
        <w:t xml:space="preserve"> </w:t>
      </w:r>
      <w:r w:rsidR="009237D2">
        <w:fldChar w:fldCharType="begin"/>
      </w:r>
      <w:r w:rsidR="009237D2">
        <w:instrText xml:space="preserve"> ADDIN ZOTERO_ITEM CSL_CITATION {"citationID":"kyQAUCcw","properties":{"formattedCitation":"({\\i{}61})","plainCitation":"(61)","noteIndex":0},"citationItems":[{"id":401,"uris":["http://zotero.org/users/13901503/items/3T9FH6VE"],"itemData":{"id":401,"type":"article-journal","container-title":"Annual Review of Ecology and Systematics","ISSN":"0066-4162","note":"publisher: Annual Reviews","page":"67-88","source":"JSTOR","title":"Ecology of Tropical Dry Forest","volume":"17","author":[{"family":"Murphy","given":"Peter G."},{"family":"Lugo","given":"Ariel E."}],"issued":{"date-parts":[["1986"]]}}}],"schema":"https://github.com/citation-style-language/schema/raw/master/csl-citation.json"} </w:instrText>
      </w:r>
      <w:r w:rsidR="009237D2">
        <w:fldChar w:fldCharType="separate"/>
      </w:r>
      <w:r w:rsidR="009237D2" w:rsidRPr="009237D2">
        <w:t>(</w:t>
      </w:r>
      <w:r w:rsidR="009237D2" w:rsidRPr="009237D2">
        <w:rPr>
          <w:i/>
          <w:iCs/>
        </w:rPr>
        <w:t>61</w:t>
      </w:r>
      <w:r w:rsidR="009237D2" w:rsidRPr="009237D2">
        <w:t>)</w:t>
      </w:r>
      <w:r w:rsidR="009237D2">
        <w:fldChar w:fldCharType="end"/>
      </w:r>
      <w:r>
        <w:t xml:space="preserve">, making it possible to control for seasonal ecological changes and better isolate the effects of temperature. </w:t>
      </w:r>
      <w:r w:rsidRPr="007D7046">
        <w:t>We</w:t>
      </w:r>
      <w:r>
        <w:t xml:space="preserve"> characterized microbiome composition using 16S rRNA gene amplicon sequencing (n = 277), and we characterized microbiome functional capacity using shotgun metagenomic sequencing (n = 71). </w:t>
      </w:r>
      <w:bookmarkStart w:id="0" w:name="_Hlk200016405"/>
      <w:r>
        <w:t>Our results highlight the crucial role of temperature in shaping essential gut microbiome functions in a wild endotherm and demonstrate how temperature is related to microbiome-immune interactions</w:t>
      </w:r>
      <w:r w:rsidR="00D0447D">
        <w:t xml:space="preserve">. </w:t>
      </w:r>
      <w:r w:rsidR="006E0436">
        <w:t xml:space="preserve">These findings suggest that rising temperatures may compromise </w:t>
      </w:r>
      <w:r w:rsidR="00CD5A2A">
        <w:t xml:space="preserve">hot </w:t>
      </w:r>
      <w:r w:rsidR="006E0436">
        <w:lastRenderedPageBreak/>
        <w:t xml:space="preserve">immune tolerance of gut microbes and highlight a </w:t>
      </w:r>
      <w:r w:rsidR="006E0436" w:rsidRPr="004A358B">
        <w:t>biologically plausible mechanism through which climate change threatens host resilience</w:t>
      </w:r>
      <w:r w:rsidR="006E0436">
        <w:t xml:space="preserve">. </w:t>
      </w:r>
    </w:p>
    <w:p w14:paraId="31A95EA8" w14:textId="77777777" w:rsidR="00015116" w:rsidRDefault="00015116" w:rsidP="00015116"/>
    <w:p w14:paraId="261645B8" w14:textId="77777777" w:rsidR="00015116" w:rsidRDefault="00015116" w:rsidP="00015116">
      <w:r>
        <w:t xml:space="preserve">Results: </w:t>
      </w:r>
    </w:p>
    <w:p w14:paraId="3F7D5DB0" w14:textId="776C2AEE" w:rsidR="00015116" w:rsidRDefault="00015116" w:rsidP="00015116">
      <w:pPr>
        <w:rPr>
          <w:u w:val="single"/>
        </w:rPr>
      </w:pPr>
      <w:r>
        <w:rPr>
          <w:u w:val="single"/>
        </w:rPr>
        <w:t>Temperature predicts g</w:t>
      </w:r>
      <w:r w:rsidRPr="00AE374C">
        <w:rPr>
          <w:u w:val="single"/>
        </w:rPr>
        <w:t>ut microbiome</w:t>
      </w:r>
      <w:r>
        <w:rPr>
          <w:u w:val="single"/>
        </w:rPr>
        <w:t xml:space="preserve"> taxonomic composition and functional capacity</w:t>
      </w:r>
    </w:p>
    <w:p w14:paraId="47800B78" w14:textId="77777777" w:rsidR="00015116" w:rsidRPr="00991E79" w:rsidRDefault="00015116" w:rsidP="00015116">
      <w:r w:rsidRPr="00991E79">
        <w:rPr>
          <w:i/>
          <w:iCs/>
        </w:rPr>
        <w:t>Community-level</w:t>
      </w:r>
      <w:r>
        <w:rPr>
          <w:i/>
          <w:iCs/>
        </w:rPr>
        <w:t xml:space="preserve"> results</w:t>
      </w:r>
    </w:p>
    <w:p w14:paraId="1644CEF7" w14:textId="0C73A5B5" w:rsidR="00015116" w:rsidRDefault="00015116" w:rsidP="00015116">
      <w:pPr>
        <w:ind w:firstLine="720"/>
      </w:pPr>
      <w:r>
        <w:t xml:space="preserve">We found a strong relationship between temperature and both taxonomic and functional community-level diversity in the gut microbiome. To assess this relationship, we compared a baseline model that accounted for known predictors of microbiome composition (sex, social group, diet, and season) to a model that included both the baseline predictors and temperature (Fig. 1S). We measured alpha diversity using Shannon’s diversity index and observed richness (the total number of ASVs or pathways in a sample), and characterized beta diversity using the first three principal </w:t>
      </w:r>
      <w:r w:rsidR="001E6B1C">
        <w:t xml:space="preserve">components </w:t>
      </w:r>
      <w:r>
        <w:t xml:space="preserve">(PC1–PC3) from a principal </w:t>
      </w:r>
      <w:r w:rsidR="001A1985">
        <w:t>component</w:t>
      </w:r>
      <w:r>
        <w:t xml:space="preserve"> analysis</w:t>
      </w:r>
      <w:r w:rsidR="00CD5A2A">
        <w:t xml:space="preserve"> (PCA)</w:t>
      </w:r>
      <w:r>
        <w:t xml:space="preserve"> to capture major axes of variation in community composition. For taxonomic community composition, the model including temperature provided the best fit (controlling for model complexity) across all community-level indices, accounting for 100% of the model weight for every principal </w:t>
      </w:r>
      <w:r w:rsidR="001A1985">
        <w:t>component</w:t>
      </w:r>
      <w:r>
        <w:t xml:space="preserve"> and alpha diversity metric (Fig. 1B). The strong relationship between temperature and </w:t>
      </w:r>
      <w:r w:rsidR="008A13A6">
        <w:t>p</w:t>
      </w:r>
      <w:r>
        <w:t xml:space="preserve">rincipal </w:t>
      </w:r>
      <w:r w:rsidR="001A1985">
        <w:t>components</w:t>
      </w:r>
      <w:r>
        <w:t xml:space="preserve"> 1–3 suggests that temperature drives shifts in taxonomic composition that are substantial enough to affect community-level beta diversity. Both alpha diversity indices showed a reliable negative relationship with temperature (Shannon </w:t>
      </w:r>
      <w:r w:rsidRPr="00887114">
        <w:t>β</w:t>
      </w:r>
      <w:r>
        <w:rPr>
          <w:vertAlign w:val="subscript"/>
        </w:rPr>
        <w:t>temp</w:t>
      </w:r>
      <w:r>
        <w:t xml:space="preserve"> = -0.49, Observed </w:t>
      </w:r>
      <w:r w:rsidRPr="00887114">
        <w:t>β</w:t>
      </w:r>
      <w:r>
        <w:rPr>
          <w:vertAlign w:val="subscript"/>
        </w:rPr>
        <w:t>temp</w:t>
      </w:r>
      <w:r>
        <w:t xml:space="preserve"> = -0.49)(Fig. 1A). Even though the effect sizes were small compared to the principal components, alpha diversity reliably declined with increasing temperatures (Fig. 2S). This suggests that higher temperatures are associated with reductions in both taxonomic richness and evenness. </w:t>
      </w:r>
    </w:p>
    <w:p w14:paraId="02254E3B" w14:textId="16F6813D" w:rsidR="00015116" w:rsidRDefault="00015116" w:rsidP="00015116">
      <w:pPr>
        <w:ind w:firstLine="720"/>
      </w:pPr>
      <w:r>
        <w:t>For functional capacity, the temperature model provided the best fit for every principal componen</w:t>
      </w:r>
      <w:r w:rsidR="001A1985">
        <w:t>t</w:t>
      </w:r>
      <w:r>
        <w:t xml:space="preserve"> and the total number of observed metabolic pathways, accounting for at least 96% of the model weight. In contrast, the baseline model provided the best fit for Shannon’s diversity, accounting for 77% of the model weight (Fig. 1D). Therefore, temperature was associated with shifts in individual metabolic pathways substantial enough to affect community-level beta diversity, but the relationship between temperature and functional alpha diversity was less clear. Temperature was negatively associated with the total number of unique pathways (Observed: </w:t>
      </w:r>
      <w:r w:rsidRPr="00887114">
        <w:t>β</w:t>
      </w:r>
      <w:r>
        <w:rPr>
          <w:vertAlign w:val="subscript"/>
        </w:rPr>
        <w:t>temp</w:t>
      </w:r>
      <w:r>
        <w:t xml:space="preserve"> = -35.05), but the magnitude and direction of this effect were uncertain due to the wide confidence intervals that include zero. The effect size for Shannon’s diversity (</w:t>
      </w:r>
      <w:r w:rsidRPr="00887114">
        <w:t>β</w:t>
      </w:r>
      <w:r>
        <w:rPr>
          <w:vertAlign w:val="subscript"/>
        </w:rPr>
        <w:t>temp</w:t>
      </w:r>
      <w:r>
        <w:t xml:space="preserve"> = -0.27) was much smaller, and the confidence intervals also included zero. (Fig. 1C). Together, these results suggest that higher temperatures may reduce the number of unique metabolic pathways but are not associated with changes in pathway evenness.</w:t>
      </w:r>
    </w:p>
    <w:p w14:paraId="1E0D5FEA" w14:textId="77777777" w:rsidR="00015116" w:rsidRDefault="00015116" w:rsidP="00015116">
      <w:pPr>
        <w:ind w:firstLine="720"/>
      </w:pPr>
    </w:p>
    <w:p w14:paraId="13A9EC01" w14:textId="629FAC02" w:rsidR="00015116" w:rsidRDefault="00D36A22" w:rsidP="00015116">
      <w:r>
        <w:rPr>
          <w:i/>
          <w:iCs/>
        </w:rPr>
        <w:t xml:space="preserve">Individual taxon </w:t>
      </w:r>
      <w:r w:rsidR="00015116">
        <w:rPr>
          <w:i/>
          <w:iCs/>
        </w:rPr>
        <w:t>and metabolic pathway results</w:t>
      </w:r>
    </w:p>
    <w:p w14:paraId="78CFA785" w14:textId="723920BD" w:rsidR="00015116" w:rsidRDefault="00015116" w:rsidP="00015116">
      <w:pPr>
        <w:ind w:firstLine="720"/>
      </w:pPr>
      <w:r>
        <w:t xml:space="preserve">Temperature was also related to the abundance of individual taxa at both the family and genus levels. The temperature model provided the best fit (controlling for complexity) for 93 out of 163 taxa, accounting for at least 50% of the model weight. The majority of taxa, 82 out of 93, declined in abundance with rising temperatures (Table 1S). Ancestral state reconstruction performed using the temperature model weights suggests that this is a conserved microbial trait for </w:t>
      </w:r>
      <w:r>
        <w:rPr>
          <w:i/>
          <w:iCs/>
        </w:rPr>
        <w:t xml:space="preserve">C. </w:t>
      </w:r>
      <w:r w:rsidRPr="000232D9">
        <w:rPr>
          <w:i/>
          <w:iCs/>
        </w:rPr>
        <w:t>imitator</w:t>
      </w:r>
      <w:r>
        <w:t xml:space="preserve">, particularly in key phyla such as Actinobacteria, </w:t>
      </w:r>
      <w:proofErr w:type="spellStart"/>
      <w:r>
        <w:t>Bacteroidota</w:t>
      </w:r>
      <w:proofErr w:type="spellEnd"/>
      <w:r>
        <w:t xml:space="preserve">, and Firmicutes. In contrast, phyla such as </w:t>
      </w:r>
      <w:proofErr w:type="spellStart"/>
      <w:r>
        <w:t>Campylobacterota</w:t>
      </w:r>
      <w:proofErr w:type="spellEnd"/>
      <w:r>
        <w:t xml:space="preserve"> and Proteobacteria appear less </w:t>
      </w:r>
      <w:r w:rsidR="008C38E8">
        <w:t xml:space="preserve">sensitive to </w:t>
      </w:r>
      <w:r>
        <w:t>temperature</w:t>
      </w:r>
      <w:r w:rsidR="008C38E8">
        <w:t xml:space="preserve"> </w:t>
      </w:r>
      <w:r>
        <w:t xml:space="preserve">across evolutionary time (Fig 2). </w:t>
      </w:r>
    </w:p>
    <w:p w14:paraId="420B18C2" w14:textId="3A48BD56" w:rsidR="002F06AA" w:rsidRDefault="00015116" w:rsidP="001E6B1C">
      <w:pPr>
        <w:ind w:firstLine="720"/>
      </w:pPr>
      <w:r>
        <w:lastRenderedPageBreak/>
        <w:t xml:space="preserve">Temperature was also related to the abundance of microbial metabolic pathways. The temperature model provided the best fit for 169 out of 383 total pathways, accounting for at least 50% of the model weight (Table 2S). To facilitate interpretation, we grouped 103 of these pathways into five functional categories based on shared biological roles and their apparent relationship with temperature: lipid metabolism, oxygen-driven metabolism and fermentation, redox maintenance, nucleotide mobilization, and immune regulation (Fig 3). Patterns in these categories suggest a metabolic restructuring that may help microbes respond to rising temperatures. For example, </w:t>
      </w:r>
      <w:r w:rsidR="002F06AA">
        <w:t xml:space="preserve">we found an </w:t>
      </w:r>
      <w:r>
        <w:t>increase in fatty acid synthesis pathways like oleate, cis-</w:t>
      </w:r>
      <w:proofErr w:type="spellStart"/>
      <w:r>
        <w:t>vaccenate</w:t>
      </w:r>
      <w:proofErr w:type="spellEnd"/>
      <w:r>
        <w:t xml:space="preserve">, palmitoleate, stearate, </w:t>
      </w:r>
      <w:proofErr w:type="spellStart"/>
      <w:r w:rsidRPr="00DA148E">
        <w:t>petroselinate</w:t>
      </w:r>
      <w:proofErr w:type="spellEnd"/>
      <w:r>
        <w:t xml:space="preserve">, and </w:t>
      </w:r>
      <w:proofErr w:type="spellStart"/>
      <w:r>
        <w:t>gondoate</w:t>
      </w:r>
      <w:proofErr w:type="spellEnd"/>
      <w:r>
        <w:t>, and lipid remodeling pathways such as the mevalonate pathway and downstream isoprenoid lipid synthesis</w:t>
      </w:r>
      <w:r w:rsidR="002F06AA">
        <w:t xml:space="preserve"> (Fig 3A)</w:t>
      </w:r>
      <w:r>
        <w:t xml:space="preserve">, </w:t>
      </w:r>
      <w:r w:rsidR="002F06AA">
        <w:t xml:space="preserve">that </w:t>
      </w:r>
      <w:r>
        <w:t xml:space="preserve">may help maintain cytoplasmic membrane integrity at high temperatures </w:t>
      </w:r>
      <w:r>
        <w:fldChar w:fldCharType="begin"/>
      </w:r>
      <w:r w:rsidR="009237D2">
        <w:instrText xml:space="preserve"> ADDIN ZOTERO_ITEM CSL_CITATION {"citationID":"ZsjASiqo","properties":{"formattedCitation":"({\\i{}62}, {\\i{}63})","plainCitation":"(62, 63)","noteIndex":0},"citationItems":[{"id":3378,"uris":["http://zotero.org/users/13901503/items/TZK8TZFH"],"itemData":{"id":3378,"type":"article-journal","container-title":"Journal of Bacteriology","DOI":"10.1128/jb.186.20.6681-6688.2004","issue":"20","note":"publisher: American Society for Microbiology","page":"6681-6688","source":"journals.asm.org (Atypon)","title":"Control of Membrane Lipid Fluidity by Molecular Thermosensors","volume":"186","author":[{"family":"Mansilla","given":"María C."},{"family":"Cybulski","given":"Larisa E."},{"family":"Albanesi","given":"Daniela"},{"family":"Mendoza","given":"Diego","non-dropping-particle":"de"}],"issued":{"date-parts":[["2004",10,15]]}}},{"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sidR="009237D2" w:rsidRPr="009237D2">
        <w:t>(</w:t>
      </w:r>
      <w:r w:rsidR="009237D2" w:rsidRPr="009237D2">
        <w:rPr>
          <w:i/>
          <w:iCs/>
        </w:rPr>
        <w:t>62</w:t>
      </w:r>
      <w:r w:rsidR="009237D2" w:rsidRPr="009237D2">
        <w:t xml:space="preserve">, </w:t>
      </w:r>
      <w:r w:rsidR="009237D2" w:rsidRPr="009237D2">
        <w:rPr>
          <w:i/>
          <w:iCs/>
        </w:rPr>
        <w:t>63</w:t>
      </w:r>
      <w:r w:rsidR="009237D2" w:rsidRPr="009237D2">
        <w:t>)</w:t>
      </w:r>
      <w:r>
        <w:fldChar w:fldCharType="end"/>
      </w:r>
      <w:r>
        <w:t xml:space="preserve">. However, </w:t>
      </w:r>
      <w:r w:rsidR="002F06AA">
        <w:t>we also found</w:t>
      </w:r>
      <w:r>
        <w:t xml:space="preserve"> </w:t>
      </w:r>
      <w:r w:rsidR="002F06AA">
        <w:t xml:space="preserve">a </w:t>
      </w:r>
      <w:r>
        <w:t xml:space="preserve">decrease in pathways involved in lipid catabolism and recycling, including fatty acid β-oxidation, fatty acid salvage, and phospholipid turnover, </w:t>
      </w:r>
      <w:r w:rsidR="002F06AA">
        <w:t xml:space="preserve">which </w:t>
      </w:r>
      <w:r>
        <w:t xml:space="preserve">likely impairs membrane repair mechanisms </w:t>
      </w:r>
      <w:r>
        <w:fldChar w:fldCharType="begin"/>
      </w:r>
      <w:r w:rsidR="009237D2">
        <w:instrText xml:space="preserve"> ADDIN ZOTERO_ITEM CSL_CITATION {"citationID":"lWyrjH6E","properties":{"formattedCitation":"({\\i{}63}, {\\i{}64})","plainCitation":"(63, 64)","noteIndex":0},"citationItems":[{"id":3285,"uris":["http://zotero.org/users/13901503/items/932HVZ4C"],"itemData":{"id":3285,"type":"article-journal","container-title":"Journal of Biological Chemistry","DOI":"10.1016/S0021-9258(17)36794-7","ISSN":"00219258","issue":"18","journalAbbreviation":"Journal of Biological Chemistry","language":"en","license":"https://www.elsevier.com/tdm/userlicense/1.0/","page":"13057-13060","source":"DOI.org (Crossref)","title":"Diversity of group types, regulation, and function of phospholipase A2.","volume":"269","author":[{"family":"Dennis","given":"E.A."}],"issued":{"date-parts":[["1994",5]]}}},{"id":3286,"uris":["http://zotero.org/users/13901503/items/VXSZL448"],"itemData":{"id":3286,"type":"article-journal","abstract":"The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sidR="009237D2" w:rsidRPr="009237D2">
        <w:t>(</w:t>
      </w:r>
      <w:r w:rsidR="009237D2" w:rsidRPr="009237D2">
        <w:rPr>
          <w:i/>
          <w:iCs/>
        </w:rPr>
        <w:t>63</w:t>
      </w:r>
      <w:r w:rsidR="009237D2" w:rsidRPr="009237D2">
        <w:t xml:space="preserve">, </w:t>
      </w:r>
      <w:r w:rsidR="009237D2" w:rsidRPr="009237D2">
        <w:rPr>
          <w:i/>
          <w:iCs/>
        </w:rPr>
        <w:t>64</w:t>
      </w:r>
      <w:r w:rsidR="009237D2" w:rsidRPr="009237D2">
        <w:t>)</w:t>
      </w:r>
      <w:r>
        <w:fldChar w:fldCharType="end"/>
      </w:r>
      <w:r w:rsidRPr="00F865AD">
        <w:t xml:space="preserve"> </w:t>
      </w:r>
      <w:r>
        <w:t>and may compromise integrity during extended periods of high temperatures. Further,</w:t>
      </w:r>
      <w:r w:rsidR="006F387E">
        <w:t xml:space="preserve"> we observed</w:t>
      </w:r>
      <w:r>
        <w:t xml:space="preserve"> an increase in anaerobic pathways, including the reductive TCA cycle and several involved in glycolysis, alongside a decrease in pathways that support aerobic metabolism, including the </w:t>
      </w:r>
      <w:r w:rsidRPr="00936894">
        <w:t>pyruvate dehydrogenase</w:t>
      </w:r>
      <w:r>
        <w:t xml:space="preserve"> complex, the TCA cycle, and glyoxylate cycle</w:t>
      </w:r>
      <w:r w:rsidR="006F387E">
        <w:t xml:space="preserve"> (Fig 3B). This may reflect </w:t>
      </w:r>
      <w:r>
        <w:t>a response to changing oxygen gradients with rising temperatures to maintain energy production</w:t>
      </w:r>
      <w:r w:rsidR="006F387E">
        <w:t xml:space="preserve"> </w:t>
      </w:r>
      <w:r>
        <w:fldChar w:fldCharType="begin"/>
      </w:r>
      <w:r w:rsidR="009237D2">
        <w:instrText xml:space="preserve"> ADDIN ZOTERO_ITEM CSL_CITATION {"citationID":"RZiOC71a","properties":{"formattedCitation":"({\\i{}65})","plainCitation":"(65)","noteIndex":0},"citationItems":[{"id":3205,"uris":["http://zotero.org/users/13901503/items/CADITA73"],"itemData":{"id":3205,"type":"article-journal","abstract":"Exposure of conscious animals to environmental heat stress increases portal venous radical content. The nature of the observed heat stress-inducible radical molecules suggests that hyperthermia produces cellular hypoxic stress in liver and intestine. To investigate this hypothesis, conscious rats bearing in-dwelling portal venous and femoral artery catheters were exposed to normothermic or hyperthermic conditions. Blood gas levels were monitored during heat stress and for 24 h following heat exposure. Hyperthermia significantly increased arterial O2 saturation, splanchnic arterial-venous O2 difference, and venous</w:instrText>
      </w:r>
      <w:r w:rsidR="009237D2">
        <w:rPr>
          <w:rFonts w:ascii="Cambria Math" w:hAnsi="Cambria Math" w:cs="Cambria Math"/>
        </w:rPr>
        <w:instrText>𝑃</w:instrText>
      </w:r>
      <w:r w:rsidR="009237D2">
        <w:instrText xml:space="preserve">⁢CO2P⁢CO2, while decreasing venous O2 saturation and venous pH. One hour after heat exposure, liver glycogen levels were decreased </w:instrText>
      </w:r>
      <w:r w:rsidR="009237D2">
        <w:rPr>
          <w:rFonts w:ascii="Cambria Math" w:hAnsi="Cambria Math" w:cs="Cambria Math"/>
        </w:rPr>
        <w:instrText>∼</w:instrText>
      </w:r>
      <w:r w:rsidR="009237D2">
        <w:instrText xml:space="preserve">20%. Two hours after heat exposure, the splanchnic arterial-venous O2 difference remained elevated in heat-stressed animals despite normal Tc. A second group of rats was exposed to similar conditions while receiving intra-arterial injections of the hypoxic cell marker [3H]misonidazole. Liver and intestine were biopsied, and [3H]misonidazole content was quantified. Heat stress increased tissue [3H]misonidazole retention 80% in the liver and 29% in the small intestine. Cellular [3H]misonidazole levels were significantly elevated in intestinal epithelial cells and liver zone 2 and 3 hepatocytes and Kupffer cells. This effect was most prominent in the proximal small intestine and small liver lobi. These data provide evidence that hyperthermia produces cellular hypoxia and metabolic stress in splanchnic tissues and suggest that cellular metabolic stress may contribute to radical generation during heat stress.","container-title":"American Journal of Physiology-Gastrointestinal and Liver Physiology","DOI":"10.1152/ajpgi.1999.276.5.G1195","ISSN":"0193-1857","issue":"5","note":"publisher: American Physiological Society","page":"G1195-G1203","source":"journals.physiology.org (Atypon)","title":"Splanchnic tissues undergo hypoxic stress  during whole body hyperthermia","volume":"276","author":[{"family":"Hall","given":"David M."},{"family":"Baumgardner","given":"Kirk R."},{"family":"Oberley","given":"Terry D."},{"family":"Gisolfi","given":"Carl V."}],"issued":{"date-parts":[["1999",5]]}}}],"schema":"https://github.com/citation-style-language/schema/raw/master/csl-citation.json"} </w:instrText>
      </w:r>
      <w:r>
        <w:fldChar w:fldCharType="separate"/>
      </w:r>
      <w:r w:rsidR="009237D2" w:rsidRPr="009237D2">
        <w:t>(</w:t>
      </w:r>
      <w:r w:rsidR="009237D2" w:rsidRPr="009237D2">
        <w:rPr>
          <w:i/>
          <w:iCs/>
        </w:rPr>
        <w:t>65</w:t>
      </w:r>
      <w:r w:rsidR="009237D2" w:rsidRPr="009237D2">
        <w:t>)</w:t>
      </w:r>
      <w:r>
        <w:fldChar w:fldCharType="end"/>
      </w:r>
      <w:r>
        <w:t>. The anaerobic pathways primarily metabolize</w:t>
      </w:r>
      <w:r w:rsidR="006F387E">
        <w:t>d</w:t>
      </w:r>
      <w:r>
        <w:t xml:space="preserve"> simple carbohydrates and coincide</w:t>
      </w:r>
      <w:r w:rsidR="006F387E">
        <w:t>d</w:t>
      </w:r>
      <w:r>
        <w:t xml:space="preserve"> with a decline in complex polysaccharide fermentation, likely reflecting taxonomic shifts with rising temperatures </w:t>
      </w:r>
      <w:r>
        <w:fldChar w:fldCharType="begin"/>
      </w:r>
      <w:r w:rsidR="00DD12D1">
        <w:instrText xml:space="preserve"> ADDIN ZOTERO_ITEM CSL_CITATION {"citationID":"dysJaYGy","properties":{"formattedCitation":"({\\i{}38})","plainCitation":"(38)","noteIndex":0},"citationItems":[{"id":3409,"uris":["http://zotero.org/users/13901503/items/73VRZX5M"],"itemData":{"id":3409,"type":"article-journal","abstract":"Bacteria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,Petra"},{"family":"Forano","given":"Evelyne","non-dropping-particle":"and"}],"issued":{"date-parts":[["2012",7,14]]}}}],"schema":"https://github.com/citation-style-language/schema/raw/master/csl-citation.json"} </w:instrText>
      </w:r>
      <w:r>
        <w:fldChar w:fldCharType="separate"/>
      </w:r>
      <w:r w:rsidR="00DD12D1" w:rsidRPr="00DD12D1">
        <w:t>(</w:t>
      </w:r>
      <w:r w:rsidR="00DD12D1" w:rsidRPr="00DD12D1">
        <w:rPr>
          <w:i/>
          <w:iCs/>
        </w:rPr>
        <w:t>38</w:t>
      </w:r>
      <w:r w:rsidR="00DD12D1" w:rsidRPr="00DD12D1">
        <w:t>)</w:t>
      </w:r>
      <w:r>
        <w:fldChar w:fldCharType="end"/>
      </w:r>
      <w:r>
        <w:t xml:space="preserve">. </w:t>
      </w:r>
    </w:p>
    <w:p w14:paraId="1C10F53D" w14:textId="2C08F0D4" w:rsidR="002F06AA" w:rsidRDefault="00015116" w:rsidP="004537C0">
      <w:pPr>
        <w:ind w:firstLine="720"/>
      </w:pPr>
      <w:r>
        <w:t xml:space="preserve">We also observed declines in pathways that support redox maintenance and cycling </w:t>
      </w:r>
      <w:r w:rsidR="004537C0">
        <w:t xml:space="preserve">(Fig 3C), </w:t>
      </w:r>
      <w:r>
        <w:t xml:space="preserve">including the synthesis of cofactors such as B vitamins </w:t>
      </w:r>
      <w:r>
        <w:fldChar w:fldCharType="begin"/>
      </w:r>
      <w:r w:rsidR="009237D2">
        <w:instrText xml:space="preserve"> ADDIN ZOTERO_ITEM CSL_CITATION {"citationID":"oWPRpQeE","properties":{"formattedCitation":"({\\i{}66}, {\\i{}67})","plainCitation":"(66, 67)","noteIndex":0},"citationItems":[{"id":3227,"uris":["http://zotero.org/users/13901503/items/9DQLWAKU"],"itemData":{"id":3227,"type":"article-journal","abstract":"Vitamin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fldChar w:fldCharType="separate"/>
      </w:r>
      <w:r w:rsidR="009237D2" w:rsidRPr="009237D2">
        <w:t>(</w:t>
      </w:r>
      <w:r w:rsidR="009237D2" w:rsidRPr="009237D2">
        <w:rPr>
          <w:i/>
          <w:iCs/>
        </w:rPr>
        <w:t>66</w:t>
      </w:r>
      <w:r w:rsidR="009237D2" w:rsidRPr="009237D2">
        <w:t xml:space="preserve">, </w:t>
      </w:r>
      <w:r w:rsidR="009237D2" w:rsidRPr="009237D2">
        <w:rPr>
          <w:i/>
          <w:iCs/>
        </w:rPr>
        <w:t>67</w:t>
      </w:r>
      <w:r w:rsidR="009237D2" w:rsidRPr="009237D2">
        <w:t>)</w:t>
      </w:r>
      <w:r>
        <w:fldChar w:fldCharType="end"/>
      </w:r>
      <w:r>
        <w:t xml:space="preserve">, coenzymes </w:t>
      </w:r>
      <w:r>
        <w:fldChar w:fldCharType="begin"/>
      </w:r>
      <w:r w:rsidR="009237D2">
        <w:instrText xml:space="preserve"> ADDIN ZOTERO_ITEM CSL_CITATION {"citationID":"4f75BpHM","properties":{"formattedCitation":"({\\i{}68})","plainCitation":"(68)","noteIndex":0},"citationItems":[{"id":3237,"uris":["http://zotero.org/users/13901503/items/VLNZSILJ"],"itemData":{"id":3237,"type":"article-journal","abstract":"In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fldChar w:fldCharType="separate"/>
      </w:r>
      <w:r w:rsidR="009237D2" w:rsidRPr="009237D2">
        <w:t>(</w:t>
      </w:r>
      <w:r w:rsidR="009237D2" w:rsidRPr="009237D2">
        <w:rPr>
          <w:i/>
          <w:iCs/>
        </w:rPr>
        <w:t>68</w:t>
      </w:r>
      <w:r w:rsidR="009237D2" w:rsidRPr="009237D2">
        <w:t>)</w:t>
      </w:r>
      <w:r>
        <w:fldChar w:fldCharType="end"/>
      </w:r>
      <w:r>
        <w:t xml:space="preserve">, antioxidant precursors to glutathione </w:t>
      </w:r>
      <w:r>
        <w:fldChar w:fldCharType="begin"/>
      </w:r>
      <w:r w:rsidR="009237D2">
        <w:instrText xml:space="preserve"> ADDIN ZOTERO_ITEM CSL_CITATION {"citationID":"2FPwkzM8","properties":{"formattedCitation":"({\\i{}69})","plainCitation":"(69)","noteIndex":0},"citationItems":[{"id":3229,"uris":["http://zotero.org/users/13901503/items/98ARRTVI"],"itemData":{"id":3229,"type":"article-journal","abstract":"Background\nGlutathione (GSH) is present in all mammalian tissues as the most abundant non-protein thiol that defends against oxidative stress. GSH is also a key determinant of redox signaling, vital in detoxification of xenobiotics, and regulates cell proliferation, apoptosis, immune function, and fibrogenesis. Biosynthesis of GSH occurs in the cytosol in a tightly regulated manner. Key determinants of GSH synthesis are the availability of the sulfur amino acid precursor, cysteine, and the activity of the rate-limiting enzyme, glutamate cysteine ligase (GCL), which is composed of a catalytic (GCLC) and a modifier (GCLM) subunit. The second enzyme of GSH synthesis is GSH synthetase (GS).\nScope of review\nThis review summarizes key functions of GSH and focuses on factors that regulate the biosynthesis of GSH, including pathological conditions where GSH synthesis is dysregulated.\nMajor conclusions\nGCL subunits and GS are regulated at multiple levels and often in a coordinated manner. Key transcription factors that regulate the expression of these genes include NF-E2 related factor 2 (Nrf2) via the antioxidant response element (ARE), AP-1, and nuclear factor kappa B (NFκB). There is increasing evidence that dysregulation of GSH synthesis contributes to the pathogenesis of many pathological conditions. These include diabetes mellitus, pulmonary and liver fibrosis, alcoholic liver disease, cholestatic liver injury, endotoxemia and drug-resistant tumor cells.\nGeneral significance\nGSH is a key antioxidant that also modulates diverse cellular processes. A better understanding of how its synthesis is regulated and dysregulated in disease states may lead to improvement in the treatment of these disorders. This article is part of a Special Issue entitled Cellular functions of glutathione.","collection-title":"Cellular functions of glutathione","container-title":"Biochimica et Biophysica Acta (BBA) - General Subjects","DOI":"10.1016/j.bbagen.2012.09.008","ISSN":"0304-4165","issue":"5","journalAbbreviation":"Biochimica et Biophysica Acta (BBA) - General Subjects","page":"3143-3153","source":"ScienceDirect","title":"Glutathione synthesis","volume":"1830","author":[{"family":"Lu","given":"Shelly C."}],"issued":{"date-parts":[["2013",5,1]]}}}],"schema":"https://github.com/citation-style-language/schema/raw/master/csl-citation.json"} </w:instrText>
      </w:r>
      <w:r>
        <w:fldChar w:fldCharType="separate"/>
      </w:r>
      <w:r w:rsidR="009237D2" w:rsidRPr="009237D2">
        <w:t>(</w:t>
      </w:r>
      <w:r w:rsidR="009237D2" w:rsidRPr="009237D2">
        <w:rPr>
          <w:i/>
          <w:iCs/>
        </w:rPr>
        <w:t>69</w:t>
      </w:r>
      <w:r w:rsidR="009237D2" w:rsidRPr="009237D2">
        <w:t>)</w:t>
      </w:r>
      <w:r>
        <w:fldChar w:fldCharType="end"/>
      </w:r>
      <w:r w:rsidR="004537C0">
        <w:t xml:space="preserve">, </w:t>
      </w:r>
      <w:r>
        <w:t>NADPH production, quinone synthesis, siderophore-mediated iron transport</w:t>
      </w:r>
      <w:r w:rsidR="00FE18CB">
        <w:t xml:space="preserve"> </w:t>
      </w:r>
      <w:r w:rsidR="00FE18CB">
        <w:fldChar w:fldCharType="begin"/>
      </w:r>
      <w:r w:rsidR="00FE18CB">
        <w:instrText xml:space="preserve"> ADDIN ZOTERO_ITEM CSL_CITATION {"citationID":"y82X9Nji","properties":{"formattedCitation":"({\\i{}70}, {\\i{}71})","plainCitation":"(70, 71)","noteIndex":0},"citationItems":[{"id":3234,"uris":["http://zotero.org/users/13901503/items/QMLXH9TP"],"itemData":{"id":3234,"type":"article-journal","abstract":"In this mini-review we present an environmental iron mobility/transport scheme consisting of inter-related controls, whereby the first coordination shell of iron modulates the iron redox potential (E1/2), and the oxidation state of iron controls the chemistry of the first coordination sphere and therefore the immediate chemical environment of the iron. Siderophores (microbially generated iron specific chelators) may be viewed as iron redox mediators. Siderophore chelation of environmental iron in a reduced (Fe(II)) oxidation state results in facile air oxidation of iron due to the negative redox potentials observed for Fe-siderophore complexes. This solubilizes the iron and locks it into a specific coordination environment, thereby preventing hydrolysis and precipitation. The high-spin Fe3+ → Fe+ electron transfer process may be viewed as a switch that controls the thermodynamic stability and kinetic lability of the first coordination shell. Reduction of iron(III)-siderophore complexes to iron(II)-siderophore complexes decreases thermodynamic stability, increases the rate of siderophore ligand exchange, and increases the ease of siderophore donor atom protonation, thus facilitating a rapid turnover of the first coordination shell. Results are presented for iron-siderophore pH and oxidation state dependent speciation studies that are relevant to environmental and microbial iron mobility and transport.","container-title":"Geomicrobiology Journal","DOI":"10.1080/01490450590945870","ISSN":"0149-0451","issue":"3-4","note":"publisher: Taylor &amp; Francis\n_eprint: https://doi.org/10.1080/01490450590945870","page":"87-98","source":"Taylor and Francis+NEJM","title":"Coordination Chemistry and Redox Processes in Siderophore-Mediated Iron Transport","volume":"22","author":[{"family":"Dhungana","given":"Suraj"},{"family":"Crumbliss","given":"Alvin L.","non-dropping-particle":"and"}],"issued":{"date-parts":[["2005",4,1]]}}},{"id":3239,"uris":["http://zotero.org/users/13901503/items/F8CEHMIS"],"itemData":{"id":3239,"type":"article-journal","abstract":"Accumulating evidence has suggested that NAD (including NAD؉ and NADH) and NADP (including NADP؉ and NADPH) could belong to the fundamental common mediators of various biological processes, including energy metabolism, mitochondrial functions, calcium homeostasis, antioxidation/generation of oxidative stress, gene expression, immunological functions, aging, and cell death: First, it is established that NAD mediates energy metabolism and mitochondrial functions; second, NADPH is a key component in cellular antioxidation systems; and NADH-dependent reactive oxygen species (ROS) generation from mitochondria and NADPH oxidase-dependent ROS generation are two critical mechanisms of ROS generation; third, cyclic ADP-ribose and several other molecules that are generated from NAD and NADP could mediate calcium homeostasis; fourth, NAD and NADP modulate multiple key factors in cell death, such as mitochondrial permeability transition, energy state, poly(ADP-ribose) polymerase-1, and apoptosis-inducing factor; and fifth, NAD and NADP profoundly affect aging-influencing factors such as oxidative stress and mitochondrial activities, and NADdependent sirtuins also mediate the aging process. Moreover, many recent studies have suggested novel paradigms of NAD and NADP metabolism. Future investigation into the metabolism and biological functions of NAD and NADP may expose fundamental properties of life, and suggest new strategies for treating diseases and slowing the aging process. Antioxid. Redox Signal. 10, 179–206.","container-title":"Antioxidants &amp; Redox Signaling","DOI":"10.1089/ars.2007.1672","ISSN":"1523-0864, 1557-7716","issue":"2","journalAbbreviation":"Antioxidants &amp; Redox Signaling","language":"en","page":"179-206","source":"DOI.org (Crossref)","title":"NAD&lt;sup&gt;+&lt;/sup&gt; /NADH and NADP&lt;sup&gt;+&lt;/sup&gt; /NADPH in Cellular Functions and Cell Death: Regulation and Biological Consequences","title-short":"NAD&lt;sup&gt;+&lt;/sup&gt; /NADH and NADP&lt;sup&gt;+&lt;/sup&gt; /NADPH in Cellular Functions and Cell Death","volume":"10","author":[{"family":"Ying","given":"Weihai"}],"issued":{"date-parts":[["2008",2]]}}}],"schema":"https://github.com/citation-style-language/schema/raw/master/csl-citation.json"} </w:instrText>
      </w:r>
      <w:r w:rsidR="00FE18CB">
        <w:fldChar w:fldCharType="separate"/>
      </w:r>
      <w:r w:rsidR="00FE18CB" w:rsidRPr="00FE18CB">
        <w:t>(</w:t>
      </w:r>
      <w:r w:rsidR="00FE18CB" w:rsidRPr="00FE18CB">
        <w:rPr>
          <w:i/>
          <w:iCs/>
        </w:rPr>
        <w:t>70</w:t>
      </w:r>
      <w:r w:rsidR="00FE18CB" w:rsidRPr="00FE18CB">
        <w:t xml:space="preserve">, </w:t>
      </w:r>
      <w:r w:rsidR="00FE18CB" w:rsidRPr="00FE18CB">
        <w:rPr>
          <w:i/>
          <w:iCs/>
        </w:rPr>
        <w:t>71</w:t>
      </w:r>
      <w:r w:rsidR="00FE18CB" w:rsidRPr="00FE18CB">
        <w:t>)</w:t>
      </w:r>
      <w:r w:rsidR="00FE18CB">
        <w:fldChar w:fldCharType="end"/>
      </w:r>
      <w:r>
        <w:t>, and detoxification pathways for aromatic compounds and aldehydes</w:t>
      </w:r>
      <w:r w:rsidR="00FE18CB">
        <w:t xml:space="preserve"> </w:t>
      </w:r>
      <w:r w:rsidR="00FE18CB">
        <w:fldChar w:fldCharType="begin"/>
      </w:r>
      <w:r w:rsidR="00FE18CB">
        <w:instrText xml:space="preserve"> ADDIN ZOTERO_ITEM CSL_CITATION {"citationID":"G5HPTnWo","properties":{"formattedCitation":"({\\i{}72})","plainCitation":"(72)","noteIndex":0},"citationItems":[{"id":3232,"uris":["http://zotero.org/users/13901503/items/SDBLCJVJ"],"itemData":{"id":3232,"type":"article-journal","abstract":"Despite the growing interest towards methylglyoxal and glyoxalases their real role in metabolic network is still obscure. In the light of developments several reviews have been published in this field mainly dealing with only a narrow segment of this research area. In this article a trial is made to present a comprehensive overview of methylglyoxal research, extending discussion from chemistry to biological implications by reviewing some important characteristics of methylglyoxal metabolism and toxicity in a wide variety of species, and emphasizing the action of methylglyoxal on energy production, free radical generation and cell killing. Special attention is paid to the discussion of α-oxoaldehyde production in the environment as a potential risk factor and to the possible role of this α-dicarbonyl in diseases. Concerning the interaction of methylglyoxal with biological macromolecules (DNA, RNA, proteins) an earlier review (Kalapos, Toxicology Letters, 73, 1994, 3–24) means a supplementation to this paper, thus hoping the avoidance of unnecessary bombast. The paper arrives at the conclusion that since the early stage of evolution the function of methylglyoxalase pathway has been related to carbohydrate metabolism, but its significance has been changed over the thousands of years. Namely, at the beginning of evolution methylglyoxalase path was essential for the reductive citric acid cycle as an anaplerotic route, while in the extant metabolism it concerns with the detoxification of methylglyoxal and plays some regulatory role in triose-phosphate household. As there is a tight junction between methylglyoxal and carbohydrate metabolism its pathological role in the events of the development of diabetic complications emerges in a natural manner and further progress is hoped in this field. In contrast, significant advancement cannot be expected in relation to cancer research","container-title":"Toxicology Letters","DOI":"10.1016/S0378-4274(99)00160-5","ISSN":"0378-4274","issue":"3","journalAbbreviation":"Toxicology Letters","page":"145-175","source":"ScienceDirect","title":"Methylglyoxal in living organisms: Chemistry, biochemistry, toxicology and biological implications","title-short":"Methylglyoxal in living organisms","volume":"110","author":[{"family":"Kalapos","given":"Miklós Péter"}],"issued":{"date-parts":[["1999",11,22]]}}}],"schema":"https://github.com/citation-style-language/schema/raw/master/csl-citation.json"} </w:instrText>
      </w:r>
      <w:r w:rsidR="00FE18CB">
        <w:fldChar w:fldCharType="separate"/>
      </w:r>
      <w:r w:rsidR="00FE18CB" w:rsidRPr="00FE18CB">
        <w:t>(</w:t>
      </w:r>
      <w:r w:rsidR="00FE18CB" w:rsidRPr="00FE18CB">
        <w:rPr>
          <w:i/>
          <w:iCs/>
        </w:rPr>
        <w:t>72</w:t>
      </w:r>
      <w:r w:rsidR="00FE18CB" w:rsidRPr="00FE18CB">
        <w:t>)</w:t>
      </w:r>
      <w:r w:rsidR="00FE18CB">
        <w:fldChar w:fldCharType="end"/>
      </w:r>
      <w:r>
        <w:t xml:space="preserve">. </w:t>
      </w:r>
      <w:r w:rsidR="004537C0">
        <w:t xml:space="preserve">In conjunction, we observed an increase in nucleotide and translation-associated metabolism pathways (Fig 3D), such as purine and pyrimidine de novo synthesis, nucleotide salvage and recycling </w:t>
      </w:r>
      <w:r w:rsidR="004537C0">
        <w:fldChar w:fldCharType="begin"/>
      </w:r>
      <w:r w:rsidR="00FE18CB">
        <w:instrText xml:space="preserve"> ADDIN ZOTERO_ITEM CSL_CITATION {"citationID":"VWKBgd91","properties":{"formattedCitation":"({\\i{}73}, {\\i{}74})","plainCitation":"(73, 74)","noteIndex":0},"citationItems":[{"id":3291,"uris":["http://zotero.org/users/13901503/items/6MPJ4SKF"],"itemData":{"id":3291,"type":"article-journal","abstract":"Most metabolic reactions are connected through either their utilization of nucleotides or their utilization of nucleotides or their regulation by these metabolites. In this review the biosynthetic pathways for pyrimidine and purine metabolism in lactic acid bacteria are described including the interconversion pathways, the formation of deoxyribonucleotides and the salvage pathways for use of exogenous precursors. The data for the enzymatic and the genetic regulation of these pathways are reviewed, as well as the gene organizations in diﬀerent lactic acid bacteria. Mutant phenotypes and methods for manipulation of nucleotide pools are also discussed. Our aim is to provide an overview of the physiology and genetics of nucleotide metabolism and its regulation that will facilitate the interpretation of data arising from genetics, metabolomics, proteomics, and transcriptomics in lactic acid bacteria.","container-title":"FEMS Microbiology Reviews","DOI":"10.1016/j.fmrre.2005.04.006","ISSN":"1574-6976","issue":"3","journalAbbreviation":"FEMS Microbiol Rev","language":"en","page":"555-590","source":"DOI.org (Crossref)","title":"Nucleotide metabolism and its control in lactic acid bacteria","volume":"29","author":[{"family":"Kilstrup","given":"Mogens"},{"family":"Hammer","given":"Karin"},{"family":"Ruhdal Jensen","given":"Peter"},{"family":"Martinussen","given":"Jan"}],"issued":{"date-parts":[["2005",8]]}}},{"id":3293,"uris":["http://zotero.org/users/13901503/items/ZVCXJZJX"],"itemData":{"id":3293,"type":"article-journal","abstract":"Nucleotides are required for a wide variety of biological processes and are constantly synthesized de novo in all cells. When cells proliferate, increased nucleotide synthesis is necessary for DNA replication and for RNA production to support protein synthesis at different stages of the cell cycle, during which these events are regulated at multiple levels. Therefore the synthesis of the precursor nucleotides is also strongly regulated at multiple levels. Nucleotide synthesis is an energy intensive process that uses multiple metabolic pathways across different cell compartments and several sources of carbon and nitrogen. The processes are regulated at the transcription level by a set of master transcription factors but also at the enzyme level by allosteric regulation and feedback inhibition. Here we review the cellular demands of nucleotide biosynthesis, their metabolic pathways and mechanisms of regulation during the cell cycle. The use of stable isotope tracers for delineating the biosynthetic routes of the multiple intersecting pathways and how these are quantitatively controlled under different conditions is also highlighted. Moreover, the importance of nucleotide synthesis for cell viability is discussed and how this may lead to potential new approaches to drug development in diseases such as cancer.","container-title":"Nucleic Acids Research","DOI":"10.1093/nar/gkv047","ISSN":"1362-4962, 0305-1048","issue":"4","language":"en","license":"http://creativecommons.org/licenses/by/4.0/","page":"2466-2485","source":"DOI.org (Crossref)","title":"Regulation of mammalian nucleotide metabolism and biosynthesis","volume":"43","author":[{"family":"Lane","given":"Andrew N"},{"family":"Fan","given":"Teresa W-M"}],"issued":{"date-parts":[["2015",2,27]]}}}],"schema":"https://github.com/citation-style-language/schema/raw/master/csl-citation.json"} </w:instrText>
      </w:r>
      <w:r w:rsidR="004537C0">
        <w:fldChar w:fldCharType="separate"/>
      </w:r>
      <w:r w:rsidR="00FE18CB" w:rsidRPr="00FE18CB">
        <w:t>(</w:t>
      </w:r>
      <w:r w:rsidR="00FE18CB" w:rsidRPr="00FE18CB">
        <w:rPr>
          <w:i/>
          <w:iCs/>
        </w:rPr>
        <w:t>73</w:t>
      </w:r>
      <w:r w:rsidR="00FE18CB" w:rsidRPr="00FE18CB">
        <w:t xml:space="preserve">, </w:t>
      </w:r>
      <w:r w:rsidR="00FE18CB" w:rsidRPr="00FE18CB">
        <w:rPr>
          <w:i/>
          <w:iCs/>
        </w:rPr>
        <w:t>74</w:t>
      </w:r>
      <w:r w:rsidR="00FE18CB" w:rsidRPr="00FE18CB">
        <w:t>)</w:t>
      </w:r>
      <w:r w:rsidR="004537C0">
        <w:fldChar w:fldCharType="end"/>
      </w:r>
      <w:r w:rsidR="004537C0">
        <w:t xml:space="preserve">, </w:t>
      </w:r>
      <w:proofErr w:type="spellStart"/>
      <w:r w:rsidR="004537C0" w:rsidRPr="00F33655">
        <w:t>queuosine</w:t>
      </w:r>
      <w:proofErr w:type="spellEnd"/>
      <w:r w:rsidR="004537C0" w:rsidRPr="00F33655">
        <w:t xml:space="preserve"> synthesis</w:t>
      </w:r>
      <w:r w:rsidR="004537C0">
        <w:t>,</w:t>
      </w:r>
      <w:r w:rsidR="004537C0" w:rsidRPr="00F33655">
        <w:t xml:space="preserve"> and S-adenosylmethionine salvage</w:t>
      </w:r>
      <w:r w:rsidR="00FE18CB">
        <w:t xml:space="preserve"> </w:t>
      </w:r>
      <w:r w:rsidR="00FE18CB">
        <w:fldChar w:fldCharType="begin"/>
      </w:r>
      <w:r w:rsidR="00FE18CB">
        <w:instrText xml:space="preserve"> ADDIN ZOTERO_ITEM CSL_CITATION {"citationID":"myPXfqfe","properties":{"formattedCitation":"({\\i{}75})","plainCitation":"(75)","noteIndex":0},"citationItems":[{"id":3370,"uris":["http://zotero.org/users/13901503/items/M6A7QA65"],"itemData":{"id":3370,"type":"article-journal","abstract":"tRNAs possess a high content of modified nucleosides, which display an incredible structural variety. These modified nucleosides are conserved in their sequence and have important roles in tRNA functions. Most often, hypermodified nucleosides are found in the wobble position of tRNAs, which play a direct role in maintaining translational efficiency and fidelity, codon recognition, etc. One of such hypermodified base is queuine, which is a base analogue of guanine, found in the first anticodon position of specific tRNAs (tyrosine, histidine, aspartate and asparagine tRNAs). These tRNAs of the ‘Q-family’ originally contain guanine in the first position of anticodon, which is post-transcriptionally modified with queuine by an irreversible insertion during maturation. Queuine is ubiquitously present throughout the living system from prokaryotes to eukaryotes, including plants. Prokaryotes can synthesize queuine de novo by a complex biosynthetic pathway, whereas eukaryotes are unable to synthesize either the precursor or queuine. They utilize salvage system and acquire queuine as a nutrient factor from their diet or from intestinal microflora. The tRNAs of the Q-family are completely modified in terminally differentiated somatic cells. However, hypomodification of Q-tRNA (queuosine-modified tRNA) is closely associated with cell proliferation and malignancy. The precise mechanisms of queuine- and Q-tRNA-mediated action are still a mystery. Direct or indirect evidence suggests that queuine or Q-tRNA participates in many cellular functions, such as inhibition of cell proliferation, control of aerobic and anaerobic metabolism, bacterial virulence, etc. The role of Q-tRNA modification in cellular machinery and the signalling pathways involved therein is the focus of this review.","container-title":"Bioscience Reports","DOI":"10.1042/BSR20090057","ISSN":"0144-8463","issue":"2","journalAbbreviation":"Bioscience Reports","page":"135-148","source":"Silverchair","title":"Queuosine modification of tRNA: its divergent role in cellular machinery","title-short":"Queuosine modification of tRNA","volume":"30","author":[{"family":"Vinayak","given":"Manjula"},{"family":"Pathak","given":"Chandramani"}],"issued":{"date-parts":[["2009",11,23]]}}}],"schema":"https://github.com/citation-style-language/schema/raw/master/csl-citation.json"} </w:instrText>
      </w:r>
      <w:r w:rsidR="00FE18CB">
        <w:fldChar w:fldCharType="separate"/>
      </w:r>
      <w:r w:rsidR="00FE18CB" w:rsidRPr="00FE18CB">
        <w:t>(</w:t>
      </w:r>
      <w:r w:rsidR="00FE18CB" w:rsidRPr="00FE18CB">
        <w:rPr>
          <w:i/>
          <w:iCs/>
        </w:rPr>
        <w:t>75</w:t>
      </w:r>
      <w:r w:rsidR="00FE18CB" w:rsidRPr="00FE18CB">
        <w:t>)</w:t>
      </w:r>
      <w:r w:rsidR="00FE18CB">
        <w:fldChar w:fldCharType="end"/>
      </w:r>
      <w:r w:rsidR="00FE18CB">
        <w:t xml:space="preserve">. </w:t>
      </w:r>
      <w:r w:rsidR="004537C0">
        <w:t xml:space="preserve">This coordinated increase in nucleotide and translation-associated metabolism may reflect the consequences of redox imbalance at high temperatures because the accumulation of ROS can lead to DNA damage </w:t>
      </w:r>
      <w:r w:rsidR="004537C0">
        <w:fldChar w:fldCharType="begin"/>
      </w:r>
      <w:r w:rsidR="00FE18CB">
        <w:instrText xml:space="preserve"> ADDIN ZOTERO_ITEM CSL_CITATION {"citationID":"De7gRBET","properties":{"formattedCitation":"({\\i{}76})","plainCitation":"(76)","noteIndex":0},"citationItems":[{"id":3368,"uris":["http://zotero.org/users/13901503/items/R3YTNYU9"],"itemData":{"id":3368,"type":"article-journal","abstract":"Excess oxygen can disrupt the growth of most organisms, but the underlying mechanisms of damage have proved difficult to unravel. The model bacterium Escherichia coli represents the best understood organism in terms of the effects of and response to oxidative stress.Superoxide (O2−) and hydrogen peroxide (H2O2) are formed within cells when molecular oxygen (O2) adventitiously acquires electrons from the reduced cofactors of flavoproteins.Both O2− and H2O2 can oxidize the exposed Fe–S clusters of a family of dehydratases. This event destabilizes the clusters, and their consequent disintegration eliminates enzyme activity.O2− and H2O2 also inactivate a variety of non-redox enzymes that use single Fe2+ ions as catalytic cofactors.DNA is damaged when H2O2 reacts with the intracellular pool of unincorporated iron. The iron that is released from oxidized metalloproteins enlarges this pool and accelerates this process.The transcription factor OxyR detects modest increments in intracellular H2O2. It activates several responses that help preserve the activities of Fe–S and mononuclear metalloenzymes.The SoxRS system detects redox-active compounds that are released by plants and some bacteria. These compounds can generate toxic doses of O2−, and the SoxRS system acts primarily to minimize the amounts of these compounds inside the cell.Future studies should aim to determine whether the knowledge gained from studying oxidative stress in the facultative anaerobe E. coli is applicable to other organisms, such as strictly aerobic and microaerophilic bacteria.","container-title":"Nature Reviews Microbiology","DOI":"10.1038/nrmicro3032","ISSN":"1740-1534","issue":"7","journalAbbreviation":"Nat Rev Microbiol","language":"en","license":"2013 Springer Nature Limited","note":"publisher: Nature Publishing Group","page":"443-454","source":"www.nature.com","title":"The molecular mechanisms and physiological consequences of oxidative stress: lessons from a model bacterium","title-short":"The molecular mechanisms and physiological consequences of oxidative stress","volume":"11","author":[{"family":"Imlay","given":"James A."}],"issued":{"date-parts":[["2013",7]]}}}],"schema":"https://github.com/citation-style-language/schema/raw/master/csl-citation.json"} </w:instrText>
      </w:r>
      <w:r w:rsidR="004537C0">
        <w:fldChar w:fldCharType="separate"/>
      </w:r>
      <w:r w:rsidR="00FE18CB" w:rsidRPr="00FE18CB">
        <w:t>(</w:t>
      </w:r>
      <w:r w:rsidR="00FE18CB" w:rsidRPr="00FE18CB">
        <w:rPr>
          <w:i/>
          <w:iCs/>
        </w:rPr>
        <w:t>76</w:t>
      </w:r>
      <w:r w:rsidR="00FE18CB" w:rsidRPr="00FE18CB">
        <w:t>)</w:t>
      </w:r>
      <w:r w:rsidR="004537C0">
        <w:fldChar w:fldCharType="end"/>
      </w:r>
      <w:r w:rsidR="004537C0">
        <w:t xml:space="preserve">. However, </w:t>
      </w:r>
      <w:r>
        <w:t xml:space="preserve">some pathways that support redox maintenance </w:t>
      </w:r>
      <w:r w:rsidR="002F06AA">
        <w:t>increased</w:t>
      </w:r>
      <w:r>
        <w:t xml:space="preserve"> with rising temperatures</w:t>
      </w:r>
      <w:r w:rsidR="004537C0">
        <w:t xml:space="preserve"> (Fig 3D)</w:t>
      </w:r>
      <w:r>
        <w:t xml:space="preserve">, including the synthesis of antioxidant precursors and vitamin B12 </w:t>
      </w:r>
      <w:r>
        <w:fldChar w:fldCharType="begin"/>
      </w:r>
      <w:r w:rsidR="00FE18CB">
        <w:instrText xml:space="preserve"> ADDIN ZOTERO_ITEM CSL_CITATION {"citationID":"RysgoECv","properties":{"formattedCitation":"({\\i{}77})","plainCitation":"(77)","noteIndex":0},"citationItems":[{"id":3337,"uris":["http://zotero.org/users/13901503/items/ZQRDCT8W"],"itemData":{"id":3337,"type":"article-journal","abstract":"One of the most alluring and fascinating molecules in the world of science and medicine is vitamin B12 (cobalamin), which was originally discovered as the anti pernicious anemia factor and whose enigmatic complex structure is matched only by the beguiling chemistry that it mediates. The biosynthesis of this essential nutrient is intricate, involved and, remarkably, confined to certain members of the prokaryotic world, seemingly never have to have made the eukaryotic transition. In humans, the vitamin is required in trace amounts (approximately 1 µg/day) to assist the actions of only two enzymes, methionine synthase and (R)-methylmalonyl-CoA mutase; yet commercially more than 10 t of B12 are produced each year from a number of bacterial species. The rich scientific history of vitamin B12 research, its biological functions and the pathways employed by bacteria for its de novo synthesis are described. Current strategies for the improvement of vitamin B12 production using modern biotechnological techniques are outlined.","container-title":"Applied Microbiology and Biotechnology","DOI":"10.1007/s00253-001-0902-7","ISSN":"1432-0614","issue":"3","journalAbbreviation":"Appl Microbiol Biotechnol","language":"en","license":"2001 Springer-Verlag","note":"Company: Springer\nDistributor: Springer\nInstitution: Springer\nLabel: Springer\nnumber: 3\npublisher: Springer-Verlag","page":"275-285","source":"link-springer-com.proxy.lib.umich.edu","title":"Microbial production of vitamin B12","volume":"58","author":[{"family":"Martens","given":"J.-H."},{"family":"Barg","given":"H."},{"family":"Warren","given":"M."},{"family":"Jahn","given":"D."}],"issued":{"date-parts":[["2002",3,1]]}}}],"schema":"https://github.com/citation-style-language/schema/raw/master/csl-citation.json"} </w:instrText>
      </w:r>
      <w:r>
        <w:fldChar w:fldCharType="separate"/>
      </w:r>
      <w:r w:rsidR="00FE18CB" w:rsidRPr="00FE18CB">
        <w:t>(</w:t>
      </w:r>
      <w:r w:rsidR="00FE18CB" w:rsidRPr="00FE18CB">
        <w:rPr>
          <w:i/>
          <w:iCs/>
        </w:rPr>
        <w:t>77</w:t>
      </w:r>
      <w:r w:rsidR="00FE18CB" w:rsidRPr="00FE18CB">
        <w:t>)</w:t>
      </w:r>
      <w:r>
        <w:fldChar w:fldCharType="end"/>
      </w:r>
      <w:r>
        <w:t xml:space="preserve">, coenzyme metabolism </w:t>
      </w:r>
      <w:r>
        <w:fldChar w:fldCharType="begin"/>
      </w:r>
      <w:r w:rsidR="00FE18CB">
        <w:instrText xml:space="preserve"> ADDIN ZOTERO_ITEM CSL_CITATION {"citationID":"RUb5pm3b","properties":{"formattedCitation":"({\\i{}78})","plainCitation":"(78)","noteIndex":0},"citationItems":[{"id":3246,"uris":["http://zotero.org/users/13901503/items/SBMSGALS"],"itemData":{"id":3246,"type":"article-journal","container-title":"Trends in Biochemical Sciences","DOI":"10.1016/j.tibs.2006.11.006","ISSN":"0968-0004","issue":"1","journalAbbreviation":"Trends in Biochemical Sciences","language":"English","note":"publisher: Elsevier\nPMID: 17161604","page":"12-19","source":"www-cell-com.proxy.lib.umich.edu","title":"NAD+ metabolism in health and disease","volume":"32","author":[{"family":"Belenky","given":"Peter"},{"family":"Bogan","given":"Katrina L."},{"family":"Brenner","given":"Charles"}],"issued":{"date-parts":[["2007",1,1]]}}}],"schema":"https://github.com/citation-style-language/schema/raw/master/csl-citation.json"} </w:instrText>
      </w:r>
      <w:r>
        <w:fldChar w:fldCharType="separate"/>
      </w:r>
      <w:r w:rsidR="00FE18CB" w:rsidRPr="00FE18CB">
        <w:t>(</w:t>
      </w:r>
      <w:r w:rsidR="00FE18CB" w:rsidRPr="00FE18CB">
        <w:rPr>
          <w:i/>
          <w:iCs/>
        </w:rPr>
        <w:t>78</w:t>
      </w:r>
      <w:r w:rsidR="00FE18CB" w:rsidRPr="00FE18CB">
        <w:t>)</w:t>
      </w:r>
      <w:r>
        <w:fldChar w:fldCharType="end"/>
      </w:r>
      <w:r>
        <w:t xml:space="preserve">, and degradation of vitamin-like compounds </w:t>
      </w:r>
      <w:r>
        <w:fldChar w:fldCharType="begin"/>
      </w:r>
      <w:r w:rsidR="00FE18CB">
        <w:instrText xml:space="preserve"> ADDIN ZOTERO_ITEM CSL_CITATION {"citationID":"CONirrgu","properties":{"formattedCitation":"({\\i{}79})","plainCitation":"(79)","noteIndex":0},"citationItems":[{"id":3334,"uris":["http://zotero.org/users/13901503/items/68BGK4TV"],"itemData":{"id":3334,"type":"article-journal","abstract":"Vitamin C, a reducing agent and antioxidant, is a cofactor in reactions catalyzed by Cu+-dependent monooxygenases and Fe2+-dependent dioxygenases. It is synthesized, in vertebrates having this capacity, from d-glucuronate. The latter is formed through direct hydrolysis of uridine diphosphate (UDP)-glucuronate by enzyme(s) bound to the endoplasmic reticulum membrane, sharing many properties with, and most likely identical to, UDP-glucuronosyltransferases. Non-glucuronidable xenobiotics (aminopyrine, metyrapone, chloretone and others) stimulate the enzymatic hydrolysis of UDP-glucuronate, accounting for their effect to increase vitamin C formation in vivo. Glucuronate is converted to l-gulonate by aldehyde reductase, an enzyme of the aldo-keto reductase superfamily. l-Gulonate is converted to l-gulonolactone by a lactonase identified as SMP30 or regucalcin, whose absence in mice leads to vitamin C deficiency. The last step in the pathway of vitamin C synthesis is the oxidation of l-gulonolactone to l-ascorbic acid by l-gulonolactone oxidase, an enzyme associated with the endoplasmic reticulum membrane and deficient in man, guinea pig and other species due to mutations in its gene. Another fate of glucuronate is its conversion to d-xylulose in a five-step pathway, the pentose pathway, involving identified oxidoreductases and an unknown decarboxylase. Semidehydroascorbate, a major oxidation product of vitamin C, is reconverted to ascorbate in the cytosol by cytochrome b5 reductase and thioredoxin reductase in reactions involving NADH and NADPH, respectively. Transmembrane electron transfer systems using ascorbate or NADH as electron donors serve to reduce semidehydroascorbate present in neuroendocrine secretory vesicles and in the extracellular medium. Dehydroascorbate, the fully oxidized form of vitamin C, is reduced spontaneously by glutathione, as well as enzymatically in reactions using glutathione or NADPH. The degradation of vitamin C in mammals is initiated by the hydrolysis of dehydroascorbate to 2,3-diketo-l-gulonate, which is spontaneously degraded to oxalate, CO2 and l-erythrulose. This is at variance with bacteria such as Escherichia coli, which have enzymatic degradation pathways for ascorbate and probably also dehydroascorbate.","container-title":"The FEBS Journal","DOI":"10.1111/j.1742-4658.2006.05607.x","ISSN":"1742-4658","issue":"1","language":"en","note":"_eprint: https://febs.onlinelibrary.wiley.com/doi/pdf/10.1111/j.1742-4658.2006.05607.x","page":"1-22","source":"Wiley Online Library","title":"Vitamin C","volume":"274","author":[{"family":"Linster","given":"Carole L."},{"family":"Van Schaftingen","given":"Emile"}],"issued":{"date-parts":[["2007"]]}}}],"schema":"https://github.com/citation-style-language/schema/raw/master/csl-citation.json"} </w:instrText>
      </w:r>
      <w:r>
        <w:fldChar w:fldCharType="separate"/>
      </w:r>
      <w:r w:rsidR="00FE18CB" w:rsidRPr="00FE18CB">
        <w:t>(</w:t>
      </w:r>
      <w:r w:rsidR="00FE18CB" w:rsidRPr="00FE18CB">
        <w:rPr>
          <w:i/>
          <w:iCs/>
        </w:rPr>
        <w:t>79</w:t>
      </w:r>
      <w:r w:rsidR="00FE18CB" w:rsidRPr="00FE18CB">
        <w:t>)</w:t>
      </w:r>
      <w:r>
        <w:fldChar w:fldCharType="end"/>
      </w:r>
      <w:r w:rsidR="008A13A6">
        <w:t xml:space="preserve">, which </w:t>
      </w:r>
      <w:r w:rsidR="004537C0">
        <w:t xml:space="preserve">may reflect a compensatory effort to restore redox balance. </w:t>
      </w:r>
    </w:p>
    <w:p w14:paraId="47CD327A" w14:textId="5730BDDE" w:rsidR="00015116" w:rsidRDefault="00015116" w:rsidP="001E6B1C">
      <w:pPr>
        <w:ind w:firstLine="720"/>
      </w:pPr>
      <w:r>
        <w:t>Rising temperatures were</w:t>
      </w:r>
      <w:r w:rsidR="004537C0">
        <w:t xml:space="preserve"> also</w:t>
      </w:r>
      <w:r>
        <w:t xml:space="preserve"> associated with a decline in </w:t>
      </w:r>
      <w:r w:rsidRPr="00183627">
        <w:t xml:space="preserve">pathways that </w:t>
      </w:r>
      <w:r>
        <w:t>produce metabolites known to support anti-inflammatory signaling</w:t>
      </w:r>
      <w:r w:rsidR="004537C0">
        <w:t xml:space="preserve"> (Fig 3E)</w:t>
      </w:r>
      <w:r w:rsidR="001E6B1C">
        <w:t>,</w:t>
      </w:r>
      <w:r>
        <w:t xml:space="preserve"> including synthesis of the SCFAs butyrate and propanoate </w:t>
      </w:r>
      <w:r>
        <w:fldChar w:fldCharType="begin"/>
      </w:r>
      <w:r w:rsidR="00FE18CB">
        <w:instrText xml:space="preserve"> ADDIN ZOTERO_ITEM CSL_CITATION {"citationID":"BKbHZJDj","properties":{"formattedCitation":"({\\i{}43}, {\\i{}80})","plainCitation":"(43, 80)","noteIndex":0},"citationItems":[{"id":3266,"uris":["http://zotero.org/users/13901503/items/ZX3K6GKV"],"itemData":{"id":3266,"type":"article-journal","abstract":"In mice, provision of butyrate—a short-chain fatty acid produced by commensal microorganisms during starch fermentation—facilitates extrathymic generation and differentiation of Foxp3+ regulatory T cells, demonstrating that metabolic by-products are sensed by cells of the immune system and affect the balance between pro- and anti-inflammatory cells.","container-title":"Nature","DOI":"10.1038/nature12726","ISSN":"1476-4687","issue":"7480","language":"en","license":"2013 Springer Nature Limited","note":"publisher: Nature Publishing Group","page":"451-455","source":"www.nature.com","title":"Metabolites produced by commensal bacteria promote peripheral regulatory T-cell generation","volume":"504","author":[{"family":"Arpaia","given":"Nicholas"},{"family":"Campbell","given":"Clarissa"},{"family":"Fan","given":"Xiying"},{"family":"Dikiy","given":"Stanislav"},{"family":"Veeken","given":"Joris","non-dropping-particle":"van der"},{"family":"deRoos","given":"Paul"},{"family":"Liu","given":"Hui"},{"family":"Cross","given":"Justin R."},{"family":"Pfeffer","given":"Klaus"},{"family":"Coffer","given":"Paul J."},{"family":"Rudensky","given":"Alexander Y."}],"issued":{"date-parts":[["2013",12]]}}},{"id":2208,"uris":["http://zotero.org/users/13901503/items/CGJLGGCV"],"itemData":{"id":2208,"type":"article-journal","abstract":"The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fldChar w:fldCharType="separate"/>
      </w:r>
      <w:r w:rsidR="00FE18CB" w:rsidRPr="00FE18CB">
        <w:t>(</w:t>
      </w:r>
      <w:r w:rsidR="00FE18CB" w:rsidRPr="00FE18CB">
        <w:rPr>
          <w:i/>
          <w:iCs/>
        </w:rPr>
        <w:t>43</w:t>
      </w:r>
      <w:r w:rsidR="00FE18CB" w:rsidRPr="00FE18CB">
        <w:t xml:space="preserve">, </w:t>
      </w:r>
      <w:r w:rsidR="00FE18CB" w:rsidRPr="00FE18CB">
        <w:rPr>
          <w:i/>
          <w:iCs/>
        </w:rPr>
        <w:t>80</w:t>
      </w:r>
      <w:r w:rsidR="00FE18CB" w:rsidRPr="00FE18CB">
        <w:t>)</w:t>
      </w:r>
      <w:r>
        <w:fldChar w:fldCharType="end"/>
      </w:r>
      <w:r>
        <w:t xml:space="preserve">, catabolism of monounsaturated fatty acids like oleate </w:t>
      </w:r>
      <w:r>
        <w:fldChar w:fldCharType="begin"/>
      </w:r>
      <w:r w:rsidR="00FE18CB">
        <w:instrText xml:space="preserve"> ADDIN ZOTERO_ITEM CSL_CITATION {"citationID":"wYIcCrwU","properties":{"formattedCitation":"({\\i{}81})","plainCitation":"(81)","noteIndex":0},"citationItems":[{"id":3176,"uris":["http://zotero.org/users/13901503/items/HTMPX6GE"],"itemData":{"id":3176,"type":"article-journal","abstract":"Monocytes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fldChar w:fldCharType="separate"/>
      </w:r>
      <w:r w:rsidR="00FE18CB" w:rsidRPr="00FE18CB">
        <w:t>(</w:t>
      </w:r>
      <w:r w:rsidR="00FE18CB" w:rsidRPr="00FE18CB">
        <w:rPr>
          <w:i/>
          <w:iCs/>
        </w:rPr>
        <w:t>81</w:t>
      </w:r>
      <w:r w:rsidR="00FE18CB" w:rsidRPr="00FE18CB">
        <w:t>)</w:t>
      </w:r>
      <w:r>
        <w:fldChar w:fldCharType="end"/>
      </w:r>
      <w:r>
        <w:t xml:space="preserve">, and polyamine production from arginine degradation </w:t>
      </w:r>
      <w:r w:rsidRPr="001A4F55">
        <w:t xml:space="preserve">and ornithine synthesis </w:t>
      </w:r>
      <w:r w:rsidRPr="001A4F55">
        <w:fldChar w:fldCharType="begin"/>
      </w:r>
      <w:r w:rsidR="00FE18CB">
        <w:instrText xml:space="preserve"> ADDIN ZOTERO_ITEM CSL_CITATION {"citationID":"CTjLWKQl","properties":{"formattedCitation":"({\\i{}82})","plainCitation":"(82)","noteIndex":0},"citationItems":[{"id":3995,"uris":["http://zotero.org/users/13901503/items/3CHW39VH"],"itemData":{"id":3995,"type":"article-journal","abstract":"The intestinal epithelium is a rapidly self-renewing tissue; the rapid turnover prevents the invasion of pathogens and harmful components from the intestinal lumen, preventing inflammation and infectious diseases. Intestinal epithelial barrier function depends on the epithelial cell proliferation and junctions, as well as the state of the immune system in the lamina propria. Polyamines, particularly putrescine, spermidine, and spermine, are essential for many cell functions and play a crucial role in mammalian cellular homeostasis, such as that of cell growth, proliferation, differentiation, and maintenance, through multiple biological processes, including translation, transcription, and autophagy. Although the vital role of polyamines in normal intestinal epithelial cell growth and barrier function has been known since the 1980s, recent studies have provided new insights into this topic at the molecular level, such as eukaryotic initiation factor-5A hypusination and autophagy, with rapid advances in polyamine biology in normal cells using biological technologies. This review summarizes recent advances in our understanding of the role of polyamines in regulating normal, non-cancerous, intestinal epithelial barrier function, with a particular focus on intestinal epithelial renewal, cell junctions, and immune cell differentiation in the lamina propria.","container-title":"Seminars in Immunopathology","DOI":"10.1007/s00281-024-01035-4","ISSN":"1863-2300","issue":"1","journalAbbreviation":"Semin Immunopathol","language":"en","page":"9","source":"Springer Link","title":"Role of polyamines in intestinal mucosal barrier function","volume":"47","author":[{"family":"Nakamura","given":"Atsuo"},{"family":"Matsumoto","given":"Mitsuharu"}],"issued":{"date-parts":[["2025",1,21]]}}}],"schema":"https://github.com/citation-style-language/schema/raw/master/csl-citation.json"} </w:instrText>
      </w:r>
      <w:r w:rsidRPr="001A4F55">
        <w:fldChar w:fldCharType="separate"/>
      </w:r>
      <w:r w:rsidR="00FE18CB" w:rsidRPr="00FE18CB">
        <w:t>(</w:t>
      </w:r>
      <w:r w:rsidR="00FE18CB" w:rsidRPr="00FE18CB">
        <w:rPr>
          <w:i/>
          <w:iCs/>
        </w:rPr>
        <w:t>82</w:t>
      </w:r>
      <w:r w:rsidR="00FE18CB" w:rsidRPr="00FE18CB">
        <w:t>)</w:t>
      </w:r>
      <w:r w:rsidRPr="001A4F55">
        <w:fldChar w:fldCharType="end"/>
      </w:r>
      <w:r>
        <w:t>.</w:t>
      </w:r>
      <w:r w:rsidRPr="00AD155B">
        <w:t xml:space="preserve"> </w:t>
      </w:r>
      <w:r>
        <w:t xml:space="preserve">However, these shifts were accompanied by an increase in select pathways that may help compensate for the loss of microbial immune regulation, including the synthesis of the </w:t>
      </w:r>
      <w:r w:rsidRPr="000C50E7">
        <w:t>saturated</w:t>
      </w:r>
      <w:r>
        <w:t xml:space="preserve"> fatty acids (5Z)-</w:t>
      </w:r>
      <w:proofErr w:type="spellStart"/>
      <w:r>
        <w:t>dodecenoate</w:t>
      </w:r>
      <w:proofErr w:type="spellEnd"/>
      <w:r>
        <w:t xml:space="preserve"> and L-tryptophan biosynthesis, which leads to the production of indole derivatives that suppress pro-inflammatory cytokine signaling </w:t>
      </w:r>
      <w:r>
        <w:fldChar w:fldCharType="begin"/>
      </w:r>
      <w:r w:rsidR="00FE18CB">
        <w:instrText xml:space="preserve"> ADDIN ZOTERO_ITEM CSL_CITATION {"citationID":"WbrfEbW1","properties":{"formattedCitation":"({\\i{}83})","plainCitation":"(83)","noteIndex":0},"citationItems":[{"id":3532,"uris":["http://zotero.org/users/13901503/items/X4GCYZZS"],"itemData":{"id":3532,"type":"article-journal","abstract":"Actions of symbiotic gut microbiota are in dynamic balance with the host’s organism to maintain homeostasis. Many different factors have an impact on this relationship, including bacterial metabolites. Several substrates for their synthesis have been established, including tryptophan, an exogenous amino acid. Many biological processes are influenced by the action of tryptophan and its endogenous metabolites, serotonin, and melatonin. Recent research findings also provide evidence that gut bacteria-derived metabolites of tryptophan share the biological effects of their precursor. Thus, this review aims to investigate the biological actions of indole-3-propionic acid (IPA), a gut microbiota-derived metabolite of tryptophan. We searched PUBMED and Google Scholar databases to identify pre-clinical and clinical studies evaluating the impact of IPA on the health and pathophysiology of the immune, nervous, gastrointestinal and cardiovascular system in mammals. IPA exhibits a similar impact on the energetic balance and cardiovascular system to its precursor, tryptophan. Additionally, IPA has a positive impact on a cellular level, by preventing oxidative stress injury, lipoperoxidation and inhibiting synthesis of proinflammatory cytokines. Its synthesis can be diminished in the presence of different risk factors of atherosclerosis. On the other hand, protective factors, such as the introduction of a Mediterranean diet, tend to increase its plasma concentration. IPA seems to be a promising new target, linking gut health with the cardiovascular system.","container-title":"International Journal of Molecular Sciences","DOI":"10.3390/ijms23031222","ISSN":"1422-0067","issue":"3","language":"en","license":"http://creativecommons.org/licenses/by/3.0/","note":"number: 3\npublisher: Multidisciplinary Digital Publishing Institute","page":"1222","source":"www.mdpi.com","title":"Biological Effects of Indole-3-Propionic Acid, a Gut Microbiota-Derived Metabolite, and Its Precursor Tryptophan in Mammals’ Health and Disease","volume":"23","author":[{"family":"Konopelski","given":"Piotr"},{"family":"Mogilnicka","given":"Izabella"}],"issued":{"date-parts":[["2022",1]]}}}],"schema":"https://github.com/citation-style-language/schema/raw/master/csl-citation.json"} </w:instrText>
      </w:r>
      <w:r>
        <w:fldChar w:fldCharType="separate"/>
      </w:r>
      <w:r w:rsidR="00FE18CB" w:rsidRPr="00FE18CB">
        <w:t>(</w:t>
      </w:r>
      <w:r w:rsidR="00FE18CB" w:rsidRPr="00FE18CB">
        <w:rPr>
          <w:i/>
          <w:iCs/>
        </w:rPr>
        <w:t>83</w:t>
      </w:r>
      <w:r w:rsidR="00FE18CB" w:rsidRPr="00FE18CB">
        <w:t>)</w:t>
      </w:r>
      <w:r>
        <w:fldChar w:fldCharType="end"/>
      </w:r>
      <w:r>
        <w:t>.</w:t>
      </w:r>
    </w:p>
    <w:p w14:paraId="7D35B929" w14:textId="77777777" w:rsidR="00D0447D" w:rsidRDefault="00D0447D" w:rsidP="00D0447D">
      <w:pPr>
        <w:ind w:firstLine="720"/>
      </w:pPr>
    </w:p>
    <w:bookmarkEnd w:id="0"/>
    <w:p w14:paraId="3154B852" w14:textId="77777777" w:rsidR="001E6B1C" w:rsidRDefault="001E6B1C" w:rsidP="001E6B1C">
      <w:pPr>
        <w:rPr>
          <w:u w:val="single"/>
        </w:rPr>
      </w:pPr>
      <w:r>
        <w:rPr>
          <w:u w:val="single"/>
        </w:rPr>
        <w:t>Neopterin</w:t>
      </w:r>
      <w:r w:rsidRPr="00AE374C">
        <w:rPr>
          <w:u w:val="single"/>
        </w:rPr>
        <w:t xml:space="preserve"> is </w:t>
      </w:r>
      <w:r>
        <w:rPr>
          <w:u w:val="single"/>
        </w:rPr>
        <w:t xml:space="preserve">related to </w:t>
      </w:r>
      <w:r w:rsidRPr="00AE374C">
        <w:rPr>
          <w:u w:val="single"/>
        </w:rPr>
        <w:t xml:space="preserve">the gut microbiome’s </w:t>
      </w:r>
      <w:r>
        <w:rPr>
          <w:u w:val="single"/>
        </w:rPr>
        <w:t>response to</w:t>
      </w:r>
      <w:r w:rsidRPr="00AE374C">
        <w:rPr>
          <w:u w:val="single"/>
        </w:rPr>
        <w:t xml:space="preserve"> temperature</w:t>
      </w:r>
    </w:p>
    <w:p w14:paraId="1A2FF171" w14:textId="77777777" w:rsidR="001E6B1C" w:rsidRPr="00991E79" w:rsidRDefault="001E6B1C" w:rsidP="001E6B1C">
      <w:r w:rsidRPr="00991E79">
        <w:rPr>
          <w:i/>
          <w:iCs/>
        </w:rPr>
        <w:t>Community-level</w:t>
      </w:r>
      <w:r>
        <w:rPr>
          <w:i/>
          <w:iCs/>
        </w:rPr>
        <w:t xml:space="preserve"> results</w:t>
      </w:r>
    </w:p>
    <w:p w14:paraId="3C4E32C0" w14:textId="26DE41B1" w:rsidR="001E6B1C" w:rsidRDefault="001E6B1C" w:rsidP="001E6B1C">
      <w:pPr>
        <w:ind w:firstLine="720"/>
      </w:pPr>
      <w:r>
        <w:lastRenderedPageBreak/>
        <w:t xml:space="preserve">To assess if neopterin concentration is associated with the gut microbiome’s relationship with temperature, we compared the temperature model that included known predictors of microbiome composition plus temperature to a model that included the baseline predictors and an interaction effect between temperature and neopterin concentration (Fig 1S). For taxonomic composition, the interaction model provided the best fit (controlling for complexity) for every principal component, accounting for at least 98% of the model weight (Fig 3S). Principal </w:t>
      </w:r>
      <w:r w:rsidR="008A13A6">
        <w:t>c</w:t>
      </w:r>
      <w:r>
        <w:t>omponent 1 was the only component with confidence intervals that did not include zero, but accounted for the greatest proportion of variance among all principal components. This result, along with the high model weight for every principal component, suggests that the relationship between temperature and beta diversity is associated with neopterin. In contrast, the temperature model provided the best fit for both alpha diversity metrics, accounting for at least 86% of the model weight. These results</w:t>
      </w:r>
      <w:r w:rsidR="008A13A6">
        <w:t>,</w:t>
      </w:r>
      <w:r>
        <w:t xml:space="preserve"> combined with the small effect sizes (Shannon </w:t>
      </w:r>
      <w:r w:rsidRPr="00887114">
        <w:t>β</w:t>
      </w:r>
      <w:r>
        <w:rPr>
          <w:vertAlign w:val="subscript"/>
        </w:rPr>
        <w:t>temp*neopterin</w:t>
      </w:r>
      <w:r>
        <w:t xml:space="preserve"> = -0.10, Observed </w:t>
      </w:r>
      <w:r w:rsidRPr="00887114">
        <w:t>β</w:t>
      </w:r>
      <w:r>
        <w:rPr>
          <w:vertAlign w:val="subscript"/>
        </w:rPr>
        <w:t>temp*neopterin</w:t>
      </w:r>
      <w:r>
        <w:t xml:space="preserve"> = -0.13) and confidence intervals that include zero (Fig 3S),</w:t>
      </w:r>
      <w:r w:rsidRPr="0081413B">
        <w:t xml:space="preserve"> </w:t>
      </w:r>
      <w:r>
        <w:t>suggest that the relationship between taxonomic alpha diversity and temperature is independent of neopterin concentration.</w:t>
      </w:r>
    </w:p>
    <w:p w14:paraId="1EFDBA28" w14:textId="287E5BCB" w:rsidR="001E6B1C" w:rsidRDefault="001E6B1C" w:rsidP="001E6B1C">
      <w:pPr>
        <w:ind w:firstLine="720"/>
      </w:pPr>
      <w:r>
        <w:t xml:space="preserve">For metabolic functional composition, the interaction model provided the best fit for every principal component and observed pathways, accounting for at least 98% of the model weight, while the temperature model provided the best fit for Shannon’s diversity, accounting for 63% of the model weight (Fig 3S). Even though </w:t>
      </w:r>
      <w:r w:rsidR="008A13A6">
        <w:t>p</w:t>
      </w:r>
      <w:r>
        <w:t xml:space="preserve">rincipal </w:t>
      </w:r>
      <w:r w:rsidR="008A13A6">
        <w:t>c</w:t>
      </w:r>
      <w:r>
        <w:t xml:space="preserve">omponent 3 was the only component where the confidence intervals did not include zero, the large effect sizes for all three components (PC1 </w:t>
      </w:r>
      <w:r w:rsidRPr="00887114">
        <w:t>β</w:t>
      </w:r>
      <w:r>
        <w:rPr>
          <w:vertAlign w:val="subscript"/>
        </w:rPr>
        <w:t>temp*neopterin</w:t>
      </w:r>
      <w:r>
        <w:t xml:space="preserve"> = 17.60, PC2 </w:t>
      </w:r>
      <w:r w:rsidRPr="00887114">
        <w:t>β</w:t>
      </w:r>
      <w:r>
        <w:rPr>
          <w:vertAlign w:val="subscript"/>
        </w:rPr>
        <w:t>temp*neopterin</w:t>
      </w:r>
      <w:r>
        <w:t xml:space="preserve"> = -7.66, PC3 </w:t>
      </w:r>
      <w:r w:rsidRPr="00887114">
        <w:t>β</w:t>
      </w:r>
      <w:r>
        <w:rPr>
          <w:vertAlign w:val="subscript"/>
        </w:rPr>
        <w:t>temp*neopterin</w:t>
      </w:r>
      <w:r>
        <w:t xml:space="preserve"> = -11.44) plus the model weights suggest that the interaction between neopterin and temperature has a meaningful influence on metabolic functional composition. The effect size and model weight for observed pathways (Observed </w:t>
      </w:r>
      <w:r w:rsidRPr="00887114">
        <w:t>β</w:t>
      </w:r>
      <w:r>
        <w:rPr>
          <w:vertAlign w:val="subscript"/>
        </w:rPr>
        <w:t>temp*neopterin</w:t>
      </w:r>
      <w:r>
        <w:t xml:space="preserve"> = 72.78) suggest that neopterin may be associated with the relationship between the total number of distinct metabolic pathways and temperature. However, it is unlikely that neopterin is associated with the relationship between temperature and pathway evenness due to the small effect size (Shannon </w:t>
      </w:r>
      <w:r w:rsidRPr="00887114">
        <w:t>β</w:t>
      </w:r>
      <w:r>
        <w:rPr>
          <w:vertAlign w:val="subscript"/>
        </w:rPr>
        <w:t>temp*neopterin</w:t>
      </w:r>
      <w:r>
        <w:t xml:space="preserve"> = 0.46), confidence intervals that include zero, and model weight for Shannon’s diversity.</w:t>
      </w:r>
    </w:p>
    <w:p w14:paraId="124072C6" w14:textId="77777777" w:rsidR="001A1985" w:rsidRDefault="001A1985" w:rsidP="001A1985"/>
    <w:p w14:paraId="36316BEE" w14:textId="53FAB00B" w:rsidR="001A1985" w:rsidRDefault="00230DAD" w:rsidP="001A1985">
      <w:pPr>
        <w:rPr>
          <w:i/>
          <w:iCs/>
        </w:rPr>
      </w:pPr>
      <w:r>
        <w:rPr>
          <w:i/>
          <w:iCs/>
        </w:rPr>
        <w:t>Individual taxon</w:t>
      </w:r>
      <w:r w:rsidR="001A1985">
        <w:rPr>
          <w:i/>
          <w:iCs/>
        </w:rPr>
        <w:t xml:space="preserve"> and metabolic pathway results</w:t>
      </w:r>
    </w:p>
    <w:p w14:paraId="21066C38" w14:textId="307AE2E1" w:rsidR="001A1985" w:rsidRDefault="001A1985" w:rsidP="001A1985">
      <w:r>
        <w:t>Neopterin concentration was also associated with the relationship between</w:t>
      </w:r>
      <w:r w:rsidRPr="008852E2">
        <w:t xml:space="preserve"> </w:t>
      </w:r>
      <w:r>
        <w:t>temperature and the abundance of individual taxa. Using the same model comparison approach as the community-level analysis, the interaction model provided the best fit for 20 of the 93 temperature-associated taxa, accounting for at least 50% of the model weight in each case (Table 3S). To interpret the interaction effect, we plotted the relationship between temperature and abundance across three discrete ranges of neopterin values (Fig 4). These results indicate</w:t>
      </w:r>
      <w:r w:rsidR="00230DAD">
        <w:t>d</w:t>
      </w:r>
      <w:r>
        <w:t xml:space="preserve"> two contrasting effects: (1) the relationship between temperature and abundance </w:t>
      </w:r>
      <w:r w:rsidR="00230DAD">
        <w:t>became</w:t>
      </w:r>
      <w:r>
        <w:t xml:space="preserve"> more negative (i.e., the slopes decrease) at higher neopterin concentrations (Fig 4A), and (2)</w:t>
      </w:r>
      <w:r w:rsidRPr="009C62EC">
        <w:t xml:space="preserve"> </w:t>
      </w:r>
      <w:r>
        <w:t>the relationship between temperature and abundance</w:t>
      </w:r>
      <w:r w:rsidR="00230DAD">
        <w:t xml:space="preserve"> became</w:t>
      </w:r>
      <w:r>
        <w:t xml:space="preserve"> more</w:t>
      </w:r>
      <w:r w:rsidRPr="009C62EC">
        <w:t xml:space="preserve"> </w:t>
      </w:r>
      <w:r>
        <w:t>positive (i.e., the slopes increase) at higher neopterin concentrations (Fig 4B &amp; C).</w:t>
      </w:r>
      <w:r w:rsidRPr="007246CF">
        <w:t xml:space="preserve"> </w:t>
      </w:r>
      <w:r>
        <w:t>The majority of taxa (12 out of 20) exhibit</w:t>
      </w:r>
      <w:r w:rsidR="00230DAD">
        <w:t>ed</w:t>
      </w:r>
      <w:r>
        <w:t xml:space="preserve"> decreasing slopes at higher neopterin concentrations. These taxa </w:t>
      </w:r>
      <w:r w:rsidR="00230DAD">
        <w:t>were</w:t>
      </w:r>
      <w:r>
        <w:t xml:space="preserve"> almost exclusively from the phyla </w:t>
      </w:r>
      <w:proofErr w:type="spellStart"/>
      <w:r w:rsidRPr="00B24088">
        <w:t>Bacteroidota</w:t>
      </w:r>
      <w:proofErr w:type="spellEnd"/>
      <w:r>
        <w:t xml:space="preserve"> (5 taxa)</w:t>
      </w:r>
      <w:r w:rsidRPr="00B24088">
        <w:t xml:space="preserve"> and Firmicutes</w:t>
      </w:r>
      <w:r>
        <w:t xml:space="preserve"> (6 taxa), </w:t>
      </w:r>
      <w:r w:rsidR="008A13A6">
        <w:t xml:space="preserve">and </w:t>
      </w:r>
      <w:r w:rsidR="00230DAD">
        <w:t>includ</w:t>
      </w:r>
      <w:r w:rsidR="008A13A6">
        <w:t>ed</w:t>
      </w:r>
      <w:r>
        <w:t xml:space="preserve"> two known SCFA producers, </w:t>
      </w:r>
      <w:r w:rsidRPr="007D3406">
        <w:rPr>
          <w:i/>
          <w:iCs/>
        </w:rPr>
        <w:t>Parabacteroides</w:t>
      </w:r>
      <w:r>
        <w:t xml:space="preserve"> and </w:t>
      </w:r>
      <w:proofErr w:type="spellStart"/>
      <w:r w:rsidRPr="007D3406">
        <w:rPr>
          <w:i/>
          <w:iCs/>
        </w:rPr>
        <w:t>Alistipes</w:t>
      </w:r>
      <w:proofErr w:type="spellEnd"/>
      <w:r>
        <w:rPr>
          <w:rStyle w:val="Emphasis"/>
          <w:rFonts w:eastAsiaTheme="majorEastAsia"/>
        </w:rPr>
        <w:t xml:space="preserve"> </w:t>
      </w:r>
      <w:r>
        <w:fldChar w:fldCharType="begin"/>
      </w:r>
      <w:r w:rsidR="00FE18CB">
        <w:instrText xml:space="preserve"> ADDIN ZOTERO_ITEM CSL_CITATION {"citationID":"wESsU6it","properties":{"formattedCitation":"({\\i{}84}, {\\i{}85})","plainCitation":"(84, 85)","noteIndex":0},"citationItems":[{"id":2193,"uris":["http://zotero.org/users/13901503/items/TK9QBJNS"],"itemData":{"id":2193,"type":"article-journal","abstract":"Altered intestinal microbiota is associated with systemic and intestinal diseases, such as inflammatory bowel disease (IBD). Dysbiotic microbiota with enhanced proinflammatory capacity is characterized by depletion of anaerobic commensals, increased proportion of facultatively anaerobic bacteria, as well as reduced diversity and stability. In this study, we developed a high-throughput in vitro screening assay to isolate intestinal commensal bacteria with anti-inflammatory capacity from a healthy fecal microbiota transplantation donor. Freshly isolated gut bacteria were screened for their capacity to attenuate Escherichia coli lipopolysaccharide (LPS)-induced interleukin 8 (IL-8) release from HT-29 cells. The screen yielded a number of Bacteroides and Parabacteroides isolates, which were identified as P. distasonis, B. caccae, B. intestinalis, B. uniformis, B. fragilis, B. vulgatus and B. ovatus using whole genome sequencing. We observed that a cell-cell contact with the epithelium was not necessary to alleviate in vitro inflammation as spent culture media from the isolates were also effective and the anti-inflammatory action did not correlate with the enterocyte adherence capacity of the isolates. The anti-inflammatory isolates also exerted enterocyte monolayer reinforcing action and lacked essential genes to synthetize hexa-acylated, proinflammatory lipid A, part of LPS. Yet, the anti-inflammatory effector molecules remain to be identified. The Bacteroides strains isolated and characterized in this study have potential to be used as so-called next-generation probiotics.","container-title":"Nutrients","DOI":"10.3390/nu12040935","ISSN":"2072-6643","issue":"4","language":"en","license":"http://creativecommons.org/licenses/by/3.0/","note":"number: 4\npublisher: Multidisciplinary Digital Publishing Institute","page":"935","source":"www-mdpi-com.proxy.lib.umich.edu","title":"Isolation of Anti-Inflammatory and Epithelium Reinforcing Bacteroides and Parabacteroides Spp. from A Healthy Fecal Donor","volume":"12","author":[{"family":"Hiippala","given":"Kaisa"},{"family":"Kainulainen","given":"Veera"},{"family":"Suutarinen","given":"Maiju"},{"family":"Heini","given":"Tuomas"},{"family":"Bowers","given":"Jolene R."},{"family":"Jasso-Selles","given":"Daniel"},{"family":"Lemmer","given":"Darrin"},{"family":"Valentine","given":"Michael"},{"family":"Barnes","given":"Riley"},{"family":"Engelthaler","given":"David M."},{"family":"Satokari","given":"Reetta"}],"issued":{"date-parts":[["2020",4]]}}},{"id":2197,"uris":["http://zotero.org/users/13901503/items/QJXBZMS7"],"itemData":{"id":2197,"type":"article-journal","abstract":"&lt;p&gt;&lt;italic&gt;Alistipes&lt;/italic&gt; is a relatively new genus of bacteria isolated primarily from medical clinical samples, although at a low rate compared to other genus members of the &lt;italic&gt;Bacteroidetes&lt;/italic&gt; phylum, which are highly relevant in dysbiosis and disease. According to the taxonomy database at The National Center for Biotechnology Information, the genus consists of 13 species: &lt;italic&gt;Alistipes finegoldii, Alistipes putredinis, Alistipes onderdonkii, Alistipes shahii, Alistipes indistinctus, Alistipes senegalensis, Alistipes timonensis, Alistipes obesi, Alistipes ihumii, Alistipes inops, Alistipes megaguti, Alistipes provencensis&lt;/italic&gt;, and &lt;italic&gt;Alistipes massiliensis. Alistipes communis&lt;/italic&gt; and &lt;italic&gt;A. dispar&lt;/italic&gt;, and the subspecies &lt;italic&gt;A. Onderdonkii&lt;/italic&gt; subspecies vulgaris (vs. &lt;italic&gt;onderdonkii&lt;/italic&gt; subsp.) are the newest strains featured outside that list. Although typically isolated from the human gut microbiome various species of this genus have been isolated from patients suffering from appendicitis, and abdominal and rectal abscess. It is possible that as &lt;italic&gt;Alistipes&lt;/italic&gt; spp. emerge, their identification in clinical samples may be underrepresented as novel MS-TOF methods may not be fully capable to discriminate distinct species as separate since it will require the upgrading of MS-TOF identification databases. In terms of pathogenicity, there is contrasting evidence indicating that &lt;italic&gt;Alistipes&lt;/italic&gt; may have protective effects against some diseases, including liver fibrosis, colitis, cancer immunotherapy, and cardiovascular disease. In contrast, other studies indicate &lt;italic&gt;Alistipes&lt;/italic&gt; is pathogenic in colorectal cancer and is associated with mental signs of depression. Gut dysbiosis seems to play a role in determining the compositional abundance of &lt;italic&gt;Alistipes&lt;/italic&gt; in the feces (&lt;italic&gt;e.g&lt;/italic&gt;., in non-alcoholic steatohepatitis, hepatic encephalopathy, and liver fibrosis). Since &lt;italic&gt;Alistipes&lt;/italic&gt; is a relatively recent sub-branch genus of the &lt;italic&gt;Bacteroidetes&lt;/italic&gt; phylum, and since &lt;italic&gt;Bacteroidetes&lt;/italic&gt; are commonly associated with chronic intestinal inflammation, this narrative review illustrates emerging immunological and mechanistic implications by which &lt;italic&gt;Alistipes&lt;/italic&gt; spp. correlate with human health.&lt;/p&gt;","container-title":"Frontiers in Immunology","DOI":"10.3389/fimmu.2020.00906","ISSN":"1664-3224","journalAbbreviation":"Front. Immunol.","language":"English","note":"publisher: Frontiers","source":"Frontiers","title":"The Genus Alistipes: Gut Bacteria With Emerging Implications to Inflammation, Cancer, and Mental Health","title-short":"The Genus Alistipes","URL":"https://www.frontiersin.org/journals/immunology/articles/10.3389/fimmu.2020.00906/full","volume":"11","author":[{"family":"Parker","given":"Bianca J."},{"family":"Wearsch","given":"Pamela A."},{"family":"Veloo","given":"Alida C. M."},{"family":"Rodriguez-Palacios","given":"Alex"}],"accessed":{"date-parts":[["2025",3,31]]},"issued":{"date-parts":[["2020",6,9]]}}}],"schema":"https://github.com/citation-style-language/schema/raw/master/csl-citation.json"} </w:instrText>
      </w:r>
      <w:r>
        <w:fldChar w:fldCharType="separate"/>
      </w:r>
      <w:r w:rsidR="00FE18CB" w:rsidRPr="00FE18CB">
        <w:t>(</w:t>
      </w:r>
      <w:r w:rsidR="00FE18CB" w:rsidRPr="00FE18CB">
        <w:rPr>
          <w:i/>
          <w:iCs/>
        </w:rPr>
        <w:t>84</w:t>
      </w:r>
      <w:r w:rsidR="00FE18CB" w:rsidRPr="00FE18CB">
        <w:t xml:space="preserve">, </w:t>
      </w:r>
      <w:r w:rsidR="00FE18CB" w:rsidRPr="00FE18CB">
        <w:rPr>
          <w:i/>
          <w:iCs/>
        </w:rPr>
        <w:t>85</w:t>
      </w:r>
      <w:r w:rsidR="00FE18CB" w:rsidRPr="00FE18CB">
        <w:t>)</w:t>
      </w:r>
      <w:r>
        <w:fldChar w:fldCharType="end"/>
      </w:r>
      <w:r>
        <w:t>. The taxa that exhibit</w:t>
      </w:r>
      <w:r w:rsidR="00230DAD">
        <w:t>ed</w:t>
      </w:r>
      <w:r>
        <w:t xml:space="preserve"> increasing slopes (8 out of 20) show</w:t>
      </w:r>
      <w:r w:rsidR="00230DAD">
        <w:t>ed</w:t>
      </w:r>
      <w:r>
        <w:t xml:space="preserve"> two distinct patterns: one where a positive slope bec</w:t>
      </w:r>
      <w:r w:rsidR="00230DAD">
        <w:t>ame</w:t>
      </w:r>
      <w:r>
        <w:t xml:space="preserve"> steeper when neopterin </w:t>
      </w:r>
      <w:r w:rsidR="00230DAD">
        <w:t>was</w:t>
      </w:r>
      <w:r>
        <w:t xml:space="preserve"> high, and another where a negative slope change</w:t>
      </w:r>
      <w:r w:rsidR="00230DAD">
        <w:t>d</w:t>
      </w:r>
      <w:r>
        <w:t xml:space="preserve"> to positive when neopterin </w:t>
      </w:r>
      <w:r w:rsidR="00230DAD">
        <w:t>was</w:t>
      </w:r>
      <w:r>
        <w:t xml:space="preserve"> high.</w:t>
      </w:r>
      <w:r w:rsidRPr="00367C74">
        <w:t xml:space="preserve"> </w:t>
      </w:r>
      <w:r>
        <w:t>These taxa include</w:t>
      </w:r>
      <w:r w:rsidR="00230DAD">
        <w:t>d</w:t>
      </w:r>
      <w:r>
        <w:t xml:space="preserve"> two SCFA </w:t>
      </w:r>
      <w:r>
        <w:lastRenderedPageBreak/>
        <w:t xml:space="preserve">producers, </w:t>
      </w:r>
      <w:proofErr w:type="spellStart"/>
      <w:r>
        <w:rPr>
          <w:rStyle w:val="Emphasis"/>
          <w:rFonts w:eastAsiaTheme="majorEastAsia"/>
        </w:rPr>
        <w:t>Phascolarctobacterium</w:t>
      </w:r>
      <w:proofErr w:type="spellEnd"/>
      <w:r>
        <w:t xml:space="preserve"> and </w:t>
      </w:r>
      <w:r w:rsidRPr="006841BE">
        <w:rPr>
          <w:rStyle w:val="Emphasis"/>
          <w:rFonts w:eastAsiaTheme="majorEastAsia"/>
        </w:rPr>
        <w:t>Eubacterium</w:t>
      </w:r>
      <w:r>
        <w:t xml:space="preserve">  </w:t>
      </w:r>
      <w:r>
        <w:fldChar w:fldCharType="begin"/>
      </w:r>
      <w:r w:rsidR="00FE18CB">
        <w:instrText xml:space="preserve"> ADDIN ZOTERO_ITEM CSL_CITATION {"citationID":"nc5nFo7O","properties":{"formattedCitation":"({\\i{}86}, {\\i{}87})","plainCitation":"(86, 87)","noteIndex":0},"citationItems":[{"id":3715,"uris":["http://zotero.org/users/13901503/items/6SAKEANZ"],"itemData":{"id":3715,"type":"article-journal","abstract":"Summary The human gut microbiota ferments dietary non-digestible carbohydrates into short-chain fatty acids (SCFA). These microbial products are utilized by the host and propionate and butyrate in particular exert a range of health-promoting functions. Here an overview of the metabolic pathways utilized by gut microbes to produce these two SCFA from dietary carbohydrates and from amino acids resulting from protein breakdown is provided. This overview emphasizes the important role played by cross-feeding of intermediary metabolites (in particular lactate, succinate and 1,2-propanediol) between different gut bacteria. The ecophysiology, including growth requirements and responses to environmental factors, of major propionate and butyrate producing bacteria are discussed in relation to dietary modulation of these metabolites. A detailed understanding of SCFA metabolism by the gut microbiota is necessary to underpin effective strategies to optimize SCFA supply to the host.","container-title":"Environmental Microbiology","DOI":"10.1111/1462-2920.13589","ISSN":"1462-2912","issue":"1","note":"publisher: John Wiley &amp; Sons, Ltd","page":"29-41","source":"enviromicro-journals-onlinelibrary-wiley-com.proxy.lib.umich.edu (Atypon)","title":"Formation of propionate and butyrate by the human colonic microbiota","volume":"19","author":[{"family":"Louis","given":"Petra"},{"family":"Flint","given":"Harry J."}],"issued":{"date-parts":[["2017",1]]}}},{"id":2168,"uris":["http://zotero.org/users/13901503/items/8KEM2KE5"],"itemData":{"id":2168,"type":"article-journal","abstract":"Phascolarctobacterium can produce short‑chain fatty acids, including acetate and propionate, and can be associated with the metabolic state and mood of the host. The present study investigated the colonization characteristics of Phascolarctobacterium faecium in healthy individuals &lt;1-80 years old in Southern China. A total of 150 fresh fecal samples were collected, and bacterial DNA was isolated from these samples for quantitative polymerase chain reaction analysis. Phascolarctobacterium faecium demonstrated a high colonization rate and abundant colonization in the human gastrointestinal tract. The colonization rate varied between 43.33‑93.33%, and the abundance of Phascolarctobacterium faecium ranged between 3.22‑5.76 log cells g‑1 (&lt;1 years old) and 3.06‑9.33 log cells g‑1 (&gt;1 year old). The permillage of Phascolarctobacterium faecium in total bacteria ranged between 0.004‑1.479. There was presence of Phascolarctobacterium faecium‑like bacteria in younger individuals with a gradual increase in the number of bacteria maintained at a high level with increasing ages (between 1 and 60 years old), but with a decrease in elderly individuals (&gt;60 years old). The results of the present study demonstrated that Phascolarctobacterium faecium is abundantly colonized in the human gastrointestinal tract.","container-title":"Experimental and Therapeutic Medicine","DOI":"10.3892/etm.2017.4878","ISSN":"1792-0981, 1792-1015","issue":"4","language":"en","page":"3122-3126","source":"DOI.org (Crossref)","title":"Phascolarctobacterium faecium abundant colonization in human gastrointestinal tract","volume":"14","author":[{"family":"Wu","given":"Feifan"},{"family":"Guo","given":"Xianfeng"},{"family":"Zhang","given":"Jiachun"},{"family":"Zhang","given":"Min"},{"family":"Ou","given":"Zihao"},{"family":"Peng","given":"Yongzheng"}],"issued":{"date-parts":[["2017",10]]}},"label":"page"}],"schema":"https://github.com/citation-style-language/schema/raw/master/csl-citation.json"} </w:instrText>
      </w:r>
      <w:r>
        <w:fldChar w:fldCharType="separate"/>
      </w:r>
      <w:r w:rsidR="00FE18CB" w:rsidRPr="00FE18CB">
        <w:t>(</w:t>
      </w:r>
      <w:r w:rsidR="00FE18CB" w:rsidRPr="00FE18CB">
        <w:rPr>
          <w:i/>
          <w:iCs/>
        </w:rPr>
        <w:t>86</w:t>
      </w:r>
      <w:r w:rsidR="00FE18CB" w:rsidRPr="00FE18CB">
        <w:t xml:space="preserve">, </w:t>
      </w:r>
      <w:r w:rsidR="00FE18CB" w:rsidRPr="00FE18CB">
        <w:rPr>
          <w:i/>
          <w:iCs/>
        </w:rPr>
        <w:t>87</w:t>
      </w:r>
      <w:r w:rsidR="00FE18CB" w:rsidRPr="00FE18CB">
        <w:t>)</w:t>
      </w:r>
      <w:r>
        <w:fldChar w:fldCharType="end"/>
      </w:r>
      <w:r>
        <w:t xml:space="preserve">, and the family </w:t>
      </w:r>
      <w:proofErr w:type="spellStart"/>
      <w:r w:rsidRPr="00230DAD">
        <w:rPr>
          <w:rStyle w:val="Strong"/>
          <w:rFonts w:eastAsiaTheme="majorEastAsia"/>
          <w:b w:val="0"/>
          <w:bCs w:val="0"/>
          <w:i/>
          <w:iCs/>
        </w:rPr>
        <w:t>Helicobacteraceae</w:t>
      </w:r>
      <w:proofErr w:type="spellEnd"/>
      <w:r>
        <w:rPr>
          <w:rStyle w:val="Strong"/>
          <w:rFonts w:eastAsiaTheme="majorEastAsia"/>
        </w:rPr>
        <w:t xml:space="preserve">, </w:t>
      </w:r>
      <w:r w:rsidRPr="00230DAD">
        <w:rPr>
          <w:rStyle w:val="Strong"/>
          <w:rFonts w:eastAsiaTheme="majorEastAsia"/>
          <w:b w:val="0"/>
          <w:bCs w:val="0"/>
        </w:rPr>
        <w:t>which commonly includes facultative anaerobes</w:t>
      </w:r>
      <w:r>
        <w:rPr>
          <w:rStyle w:val="Strong"/>
          <w:rFonts w:eastAsiaTheme="majorEastAsia"/>
        </w:rPr>
        <w:t xml:space="preserve"> </w:t>
      </w:r>
      <w:r>
        <w:rPr>
          <w:rStyle w:val="Strong"/>
          <w:rFonts w:eastAsiaTheme="majorEastAsia"/>
          <w:b w:val="0"/>
          <w:bCs w:val="0"/>
        </w:rPr>
        <w:fldChar w:fldCharType="begin"/>
      </w:r>
      <w:r w:rsidR="00FE18CB">
        <w:rPr>
          <w:rStyle w:val="Strong"/>
          <w:rFonts w:eastAsiaTheme="majorEastAsia"/>
        </w:rPr>
        <w:instrText xml:space="preserve"> ADDIN ZOTERO_ITEM CSL_CITATION {"citationID":"o9UAt3dv","properties":{"formattedCitation":"({\\i{}88})","plainCitation":"(88)","noteIndex":0},"citationItems":[{"id":3984,"uris":["http://zotero.org/users/13901503/items/PFZ9P5R3"],"itemData":{"id":3984,"type":"article-journal","abstract":"Helicobacter pylori (HP) is a facultative anaerobic bacterium. HP is a normal flora having immunomodulatingproperties. This bacterium is an example of a microorganism inducing gastric cancer. Itscarcinogenicity depends on bacteria-host related factors. The proper understanding of the biology of HPinducing gastric cancer offers the potential strategy in the managing of HP rather than eradicating it. Inthis article, we try to summarize the biology of HP-induced gastric cancer and discuss the currentpharmacological approach to treat and prevent its carcinogenicity.","container-title":"Frontiers in Oncology","DOI":"10.3389/fonc.2019.00075","ISSN":"2234-943X","journalAbbreviation":"Front. Oncol.","language":"English","note":"publisher: Frontiers","source":"Frontiers","title":"The Possible Role of Helicobacter pylori in Gastric Cancer and Its Management","URL":"https://www.frontiersin.org/journals/oncology/articles/10.3389/fonc.2019.00075/full","volume":"9","author":[{"family":"Alfarouk","given":"Khalid O."},{"family":"Bashir","given":"Adil H. H."},{"family":"Aljarbou","given":"Ahmed N."},{"family":"Ramadan","given":"AbdelRahman M."},{"family":"Muddathir","given":"Abdel Khalig"},{"family":"AlHoufie","given":"Sari T. S."},{"family":"Hifny","given":"Abdelhamid"},{"family":"Elhassan","given":"Gamal O."},{"family":"Ibrahim","given":"Muntaser E."},{"family":"Alqahtani","given":"Saad S."},{"family":"AlSharari","given":"Shakir D."},{"family":"Supuran","given":"Claudiu T."},{"family":"Rauch","given":"Cyril"},{"family":"Cardone","given":"Rosa Angela"},{"family":"Reshkin","given":"Stephan J."},{"family":"Fais","given":"Stefano"},{"family":"Harguindey","given":"Salvador"}],"accessed":{"date-parts":[["2025",7,2]]},"issued":{"date-parts":[["2019",2,22]]}}}],"schema":"https://github.com/citation-style-language/schema/raw/master/csl-citation.json"} </w:instrText>
      </w:r>
      <w:r>
        <w:rPr>
          <w:rStyle w:val="Strong"/>
          <w:rFonts w:eastAsiaTheme="majorEastAsia"/>
          <w:b w:val="0"/>
          <w:bCs w:val="0"/>
        </w:rPr>
        <w:fldChar w:fldCharType="separate"/>
      </w:r>
      <w:r w:rsidR="00FE18CB" w:rsidRPr="00FE18CB">
        <w:t>(</w:t>
      </w:r>
      <w:r w:rsidR="00FE18CB" w:rsidRPr="00FE18CB">
        <w:rPr>
          <w:i/>
          <w:iCs/>
        </w:rPr>
        <w:t>88</w:t>
      </w:r>
      <w:r w:rsidR="00FE18CB" w:rsidRPr="00FE18CB">
        <w:t>)</w:t>
      </w:r>
      <w:r>
        <w:rPr>
          <w:rStyle w:val="Strong"/>
          <w:rFonts w:eastAsiaTheme="majorEastAsia"/>
          <w:b w:val="0"/>
          <w:bCs w:val="0"/>
        </w:rPr>
        <w:fldChar w:fldCharType="end"/>
      </w:r>
      <w:r>
        <w:rPr>
          <w:rStyle w:val="Strong"/>
          <w:rFonts w:eastAsiaTheme="majorEastAsia"/>
        </w:rPr>
        <w:t>.</w:t>
      </w:r>
      <w:r>
        <w:t xml:space="preserve"> </w:t>
      </w:r>
    </w:p>
    <w:p w14:paraId="0E726342" w14:textId="49179EE6" w:rsidR="001A1985" w:rsidRDefault="001A1985" w:rsidP="00230DAD">
      <w:pPr>
        <w:ind w:firstLine="720"/>
      </w:pPr>
      <w:r>
        <w:t>Neopterin concentration was also associated with the relationship between</w:t>
      </w:r>
      <w:r w:rsidRPr="008852E2">
        <w:t xml:space="preserve"> </w:t>
      </w:r>
      <w:r>
        <w:t>temperature and the abundance of individual metabolic pathways. The interaction model provided a better fit for 65 out of 116 pathways tested, accounting for at least 50% of the model weight in each case (Table 4S). To interpret the interaction effect, we plotted the relationship between abundance and temperature across two discrete ranges of neopterin values. These results indicated the same two effects as the taxonomic analysis (1) where slopes decreased at higher neopterin (Fig 5A-C) and (2) where slopes increased at higher neopterin (Fig 5D &amp; E). The pathways that exhibited decreasing slopes show</w:t>
      </w:r>
      <w:r w:rsidR="008A13A6">
        <w:t>ed</w:t>
      </w:r>
      <w:r>
        <w:t xml:space="preserve"> three distinct patterns: one where a positive slope changed to negative, another where a positive slope became less positive, and one where a negative slope became steeper. This group included pathways involved in anti-inflammatory signaling, including synthesis of monounsaturated fatty acids </w:t>
      </w:r>
      <w:r>
        <w:fldChar w:fldCharType="begin"/>
      </w:r>
      <w:r w:rsidR="00FE18CB">
        <w:instrText xml:space="preserve"> ADDIN ZOTERO_ITEM CSL_CITATION {"citationID":"Yyg97aqJ","properties":{"formattedCitation":"({\\i{}81})","plainCitation":"(81)","noteIndex":0},"citationItems":[{"id":3176,"uris":["http://zotero.org/users/13901503/items/HTMPX6GE"],"itemData":{"id":3176,"type":"article-journal","abstract":"Monocytes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fldChar w:fldCharType="separate"/>
      </w:r>
      <w:r w:rsidR="00FE18CB" w:rsidRPr="00FE18CB">
        <w:t>(</w:t>
      </w:r>
      <w:r w:rsidR="00FE18CB" w:rsidRPr="00FE18CB">
        <w:rPr>
          <w:i/>
          <w:iCs/>
        </w:rPr>
        <w:t>81</w:t>
      </w:r>
      <w:r w:rsidR="00FE18CB" w:rsidRPr="00FE18CB">
        <w:t>)</w:t>
      </w:r>
      <w:r>
        <w:fldChar w:fldCharType="end"/>
      </w:r>
      <w:r>
        <w:t xml:space="preserve"> and tryptophan, as well as those typically associated with obligate anaerobes, including complex carb fermentation </w:t>
      </w:r>
      <w:r w:rsidRPr="00AD7F54">
        <w:t>(Flint et al., 2012) and Gram-positive cell wall biosynthesis</w:t>
      </w:r>
      <w:r>
        <w:t xml:space="preserve"> characteristic of </w:t>
      </w:r>
      <w:r w:rsidRPr="00AD7F54">
        <w:t>obligate</w:t>
      </w:r>
      <w:r>
        <w:t xml:space="preserve"> anaerobes</w:t>
      </w:r>
      <w:r w:rsidRPr="00AD7F54">
        <w:t xml:space="preserve"> from the Firmicutes phylum</w:t>
      </w:r>
      <w:r>
        <w:t xml:space="preserve"> </w:t>
      </w:r>
      <w:r>
        <w:rPr>
          <w:rStyle w:val="Strong"/>
          <w:rFonts w:eastAsiaTheme="majorEastAsia"/>
          <w:b w:val="0"/>
          <w:bCs w:val="0"/>
        </w:rPr>
        <w:fldChar w:fldCharType="begin"/>
      </w:r>
      <w:r w:rsidR="00FE18CB">
        <w:rPr>
          <w:rStyle w:val="Strong"/>
          <w:rFonts w:eastAsiaTheme="majorEastAsia"/>
        </w:rPr>
        <w:instrText xml:space="preserve"> ADDIN ZOTERO_ITEM CSL_CITATION {"citationID":"yCxgcM3a","properties":{"formattedCitation":"({\\i{}89})","plainCitation":"(89)","noteIndex":0},"citationItems":[{"id":3707,"uris":["http://zotero.org/users/13901503/items/DINXISI6"],"itemData":{"id":3707,"type":"article-journal","abstract":"The microorganisms that inhabit the human gastrointestinal tract comprise a complex ecosystem with functions that significantly contribute to our systemic metabolism and have an impact on health and disease. In line with its importance, the human gastrointestinal microbiota has been extensively studied. Despite the fact that a significant part of the intestinal microorganisms has not yet been cultured, presently over 1000 different microbial species that can reside in the human gastrointestinal tract have been identified. This review provides a systematic overview and detailed references of the total of 1057 intestinal species of Eukarya (92), Archaea (8) and Bacteria (957), based on the phylogenetic framework of their small subunit ribosomal RNA gene sequences. Moreover, it unifies knowledge about the prevalence, abundance, stability, physiology, genetics and the association with human health of these gastrointestinal microorganisms, which is currently scattered over a vast amount of literature published in the last 150 years. This detailed physiological and genetic information is expected to be instrumental in advancing our knowledge of the gastrointestinal microbiota. Moreover, it opens avenues for future comparative and functional metagenomic and other high-throughput approaches that need a systematic and physiological basis to have an impact.","container-title":"FEMS Microbiology Reviews","DOI":"10.1111/1574-6976.12075","ISSN":"0168-6445","issue":"5","journalAbbreviation":"FEMS Microbiology Reviews","page":"996-1047","source":"Silverchair","title":"The first 1000 cultured species of the human gastrointestinal microbiota","volume":"38","author":[{"family":"Rajilić-Stojanović","given":"Mirjana"},{"family":"Vos","given":"Willem M.","non-dropping-particle":"de"}],"issued":{"date-parts":[["2014",9,1]]}}}],"schema":"https://github.com/citation-style-language/schema/raw/master/csl-citation.json"} </w:instrText>
      </w:r>
      <w:r>
        <w:rPr>
          <w:rStyle w:val="Strong"/>
          <w:rFonts w:eastAsiaTheme="majorEastAsia"/>
          <w:b w:val="0"/>
          <w:bCs w:val="0"/>
        </w:rPr>
        <w:fldChar w:fldCharType="separate"/>
      </w:r>
      <w:r w:rsidR="00FE18CB" w:rsidRPr="00FE18CB">
        <w:t>(</w:t>
      </w:r>
      <w:r w:rsidR="00FE18CB" w:rsidRPr="00FE18CB">
        <w:rPr>
          <w:i/>
          <w:iCs/>
        </w:rPr>
        <w:t>89</w:t>
      </w:r>
      <w:r w:rsidR="00FE18CB" w:rsidRPr="00FE18CB">
        <w:t>)</w:t>
      </w:r>
      <w:r>
        <w:rPr>
          <w:rStyle w:val="Strong"/>
          <w:rFonts w:eastAsiaTheme="majorEastAsia"/>
          <w:b w:val="0"/>
          <w:bCs w:val="0"/>
        </w:rPr>
        <w:fldChar w:fldCharType="end"/>
      </w:r>
      <w:r>
        <w:t xml:space="preserve">. The majority of pathways (37 out of 65) exhibited increasing slopes at higher neopterin concentrations. There were two patterns of increasing slopes: one where a negative slope changed to positive when neopterin was high, and another where a positive slope became steeper when neopterin was high. These groups included pathways commonly associated with facultative anaerobes, including the </w:t>
      </w:r>
      <w:r w:rsidRPr="001261A1">
        <w:t>glyoxylate cycle</w:t>
      </w:r>
      <w:r>
        <w:t xml:space="preserve"> </w:t>
      </w:r>
      <w:r>
        <w:fldChar w:fldCharType="begin"/>
      </w:r>
      <w:r w:rsidR="00FE18CB">
        <w:instrText xml:space="preserve"> ADDIN ZOTERO_ITEM CSL_CITATION {"citationID":"MREWhKrM","properties":{"formattedCitation":"({\\i{}90})","plainCitation":"(90)","noteIndex":0},"citationItems":[{"id":3666,"uris":["http://zotero.org/users/13901503/items/787C6UND"],"itemData":{"id":3666,"type":"article-journal","abstract":"&lt;p&gt;The glyoxylate shunt (GS) is a two-step metabolic pathway (isocitrate lyase, &lt;i&gt;aceA&lt;/i&gt;; and malate synthase, &lt;i&gt;glcB&lt;/i&gt;) that serves as an alternative to the tricarboxylic acid cycle. The GS bypasses the carbon dioxide-producing steps of the tricarboxylic acid cycle and is essential for acetate and fatty acid metabolism in bacteria. GS can be up-regulated under conditions of oxidative stress, antibiotic stress, and host infection, which implies that it plays important but poorly explored roles in stress defense and pathogenesis. In many bacterial species, including &lt;i&gt;Pseudomonas aeruginosa&lt;/i&gt;, &lt;i&gt;aceA&lt;/i&gt; and &lt;i&gt;glcB&lt;/i&gt; are not in an operon, unlike in &lt;i&gt;Escherichia coli&lt;/i&gt;. In &lt;i&gt;P. aeruginosa&lt;/i&gt;, we explored relationships between GS genes and growth, transcription profiles, and biofilm formation. Contrary to our expectations, deletion of &lt;i&gt;aceA&lt;/i&gt; in &lt;i&gt;P. aeruginosa&lt;/i&gt; improved cell growth under conditions of oxidative and antibiotic stress. Transcriptome data suggested that &lt;i&gt;aceA&lt;/i&gt; mutants underwent a metabolic shift toward aerobic denitrification; this was supported by additional evidence, including up-regulation of denitrification-related genes, decreased oxygen consumption without lowering ATP yield, increased production of denitrification intermediates (NO and N&lt;sub&gt;2&lt;/sub&gt;O), and increased cyanide resistance. The &lt;i&gt;aceA&lt;/i&gt; mutants also produced a thicker exopolysaccharide layer; that is, a phenotype consistent with aerobic denitrification. A bioinformatic survey across known bacterial genomes showed that only microorganisms capable of aerobic metabolism possess the glyoxylate shunt. This trend is consistent with the hypothesis that the GS plays a previously unrecognized role in allowing bacteria to tolerate oxidative stress.&lt;/p&gt;","container-title":"Journal of Biological Chemistry","DOI":"10.1074/jbc.M115.708149","ISSN":"0021-9258, 1083-351X","issue":"22","journalAbbreviation":"Journal of Biological Chemistry","language":"English","note":"publisher: Elsevier","page":"11928-11938","source":"www-jbc-org.proxy.lib.umich.edu","title":"Role of Glyoxylate Shunt in Oxidative Stress Response","volume":"291","author":[{"family":"Ahn","given":"Sungeun"},{"family":"Jung","given":"Jaejoon"},{"family":"Jang","given":"In-Ae"},{"family":"Madsen","given":"Eugene L."},{"family":"Park","given":"Woojun"}],"issued":{"date-parts":[["2016",5,27]]}}}],"schema":"https://github.com/citation-style-language/schema/raw/master/csl-citation.json"} </w:instrText>
      </w:r>
      <w:r>
        <w:fldChar w:fldCharType="separate"/>
      </w:r>
      <w:r w:rsidR="00FE18CB" w:rsidRPr="00FE18CB">
        <w:t>(</w:t>
      </w:r>
      <w:r w:rsidR="00FE18CB" w:rsidRPr="00FE18CB">
        <w:rPr>
          <w:i/>
          <w:iCs/>
        </w:rPr>
        <w:t>90</w:t>
      </w:r>
      <w:r w:rsidR="00FE18CB" w:rsidRPr="00FE18CB">
        <w:t>)</w:t>
      </w:r>
      <w:r>
        <w:fldChar w:fldCharType="end"/>
      </w:r>
      <w:r>
        <w:t xml:space="preserve">, </w:t>
      </w:r>
      <w:r w:rsidRPr="001261A1">
        <w:t>Rubisco shunt</w:t>
      </w:r>
      <w:r>
        <w:t xml:space="preserve"> </w:t>
      </w:r>
      <w:r>
        <w:fldChar w:fldCharType="begin"/>
      </w:r>
      <w:r w:rsidR="00FE18CB">
        <w:instrText xml:space="preserve"> ADDIN ZOTERO_ITEM CSL_CITATION {"citationID":"8lsfxZT8","properties":{"formattedCitation":"({\\i{}91})","plainCitation":"(91)","noteIndex":0},"citationItems":[{"id":3661,"uris":["http://zotero.org/users/13901503/items/7EH7QSRX"],"itemData":{"id":3661,"type":"article-journal","abstract":"Rubisco is the predominant enzymatic mechanism in the biosphere by which autotrophic bacteria, algae, and terrestrial plants fix CO2 into organic biomass via the Calvin–Benson–Basham reductive pentose phosphate pathway. Rubisco is not a perfect catalyst, suffering from low turnover rates, a low affinity for its CO2 substrate, and a competitive inhibition by O2 as an alternative substrate. As a consequence of changing environmental conditions over the past 3.5 billion years, with decreasing CO2 and increasing O2 in the atmosphere, Rubisco has evolved into multiple enzymatic forms with a range of kinetic properties, as well as co-evolving with CO2-concentrating mechanisms to cope with the different environmental contexts in which it must operate. The most dramatic evidence of this is the occurrence of multiple forms of Rubisco within autotrophic proteobacteria, where Forms II, IC, IBc, IAc, and IAq can be found either singly or in multiple combinations within a particular bacterial genome. Over the past few years there has been increasing availability of genomic sequence data for bacteria and this has allowed us to gain more extensive insights into the functional significance of this diversification. This paper is focused on summarizing what is known about the diversity of Rubisco forms, their kinetic properties, development of bacterial CO2-concentrating mechanisms, and correlations with metabolic flexibility and inorganic carbon environments in which proteobacteria perform various types of obligate and facultative chemo- and photoautotrophic CO2 fixation.","container-title":"Journal of Experimental Botany","DOI":"10.1093/jxb/erm297","ISSN":"0022-0957","issue":"7","journalAbbreviation":"Journal of Experimental Botany","page":"1525-1541","source":"Silverchair","title":"Multiple Rubisco forms in proteobacteria: their functional significance in relation to CO2 acquisition by the CBB cycle","title-short":"Multiple Rubisco forms in proteobacteria","volume":"59","author":[{"family":"Badger","given":"Murray Ronald"},{"family":"Bek","given":"Emily Jane"}],"issued":{"date-parts":[["2008",5,1]]}}}],"schema":"https://github.com/citation-style-language/schema/raw/master/csl-citation.json"} </w:instrText>
      </w:r>
      <w:r>
        <w:fldChar w:fldCharType="separate"/>
      </w:r>
      <w:r w:rsidR="00FE18CB" w:rsidRPr="00FE18CB">
        <w:t>(</w:t>
      </w:r>
      <w:r w:rsidR="00FE18CB" w:rsidRPr="00FE18CB">
        <w:rPr>
          <w:i/>
          <w:iCs/>
        </w:rPr>
        <w:t>91</w:t>
      </w:r>
      <w:r w:rsidR="00FE18CB" w:rsidRPr="00FE18CB">
        <w:t>)</w:t>
      </w:r>
      <w:r>
        <w:fldChar w:fldCharType="end"/>
      </w:r>
      <w:r>
        <w:t xml:space="preserve">, ubiquinone biosynthesis </w:t>
      </w:r>
      <w:r>
        <w:fldChar w:fldCharType="begin"/>
      </w:r>
      <w:r w:rsidR="00FE18CB">
        <w:instrText xml:space="preserve"> ADDIN ZOTERO_ITEM CSL_CITATION {"citationID":"hub5pdYU","properties":{"formattedCitation":"({\\i{}92})","plainCitation":"(92)","noteIndex":0},"citationItems":[{"id":3665,"uris":["http://zotero.org/users/13901503/items/NVUGIX64"],"itemData":{"id":3665,"type":"article-journal","container-title":"Microbiology","DOI":"10.1099/mic.0.2007/006098-0","ISSN":"1350-0872, 1465-2080","issue":"6","language":"en","page":"1974-1980","source":"DOI.org (Crossref)","title":"Changes in the redox state and composition of the quinone pool of Escherichia coli during aerobic batch-culture growth","volume":"153","author":[{"family":"Bekker","given":"M"},{"family":"Kramer","given":"G"},{"family":"Hartog","given":"A. F"},{"family":"Wagner","given":"M. J"},{"family":"De Koster","given":"C. G"},{"family":"Hellingwerf","given":"K. J"},{"family":"Teixeira De Mattos","given":"M. J"}],"issued":{"date-parts":[["2007",6,1]]}}}],"schema":"https://github.com/citation-style-language/schema/raw/master/csl-citation.json"} </w:instrText>
      </w:r>
      <w:r>
        <w:fldChar w:fldCharType="separate"/>
      </w:r>
      <w:r w:rsidR="00FE18CB" w:rsidRPr="00FE18CB">
        <w:t>(</w:t>
      </w:r>
      <w:r w:rsidR="00FE18CB" w:rsidRPr="00FE18CB">
        <w:rPr>
          <w:i/>
          <w:iCs/>
        </w:rPr>
        <w:t>92</w:t>
      </w:r>
      <w:r w:rsidR="00FE18CB" w:rsidRPr="00FE18CB">
        <w:t>)</w:t>
      </w:r>
      <w:r>
        <w:fldChar w:fldCharType="end"/>
      </w:r>
      <w:r>
        <w:t xml:space="preserve">, </w:t>
      </w:r>
      <w:r w:rsidRPr="001261A1">
        <w:t>enterobacterial common antigen biosynthesis</w:t>
      </w:r>
      <w:r>
        <w:t xml:space="preserve"> </w:t>
      </w:r>
      <w:r>
        <w:fldChar w:fldCharType="begin"/>
      </w:r>
      <w:r w:rsidR="00FE18CB">
        <w:instrText xml:space="preserve"> ADDIN ZOTERO_ITEM CSL_CITATION {"citationID":"FvN60f2B","properties":{"formattedCitation":"({\\i{}93})","plainCitation":"(93)","noteIndex":0},"citationItems":[{"id":3712,"uris":["http://zotero.org/users/13901503/items/S8VNSY7N"],"itemData":{"id":3712,"type":"article-journal","abstract":"Enterobacterial common antigen (ECA) is a family-specific surface antigen shared by all members of the Enterobacteriaceae and is restricted to this family. It is found in freshly isolated wild-type strains as well as in laboratory strains like Escherichia coli K-12. The family specificity of ECA can be used for taxonomic and diagnostic purposes. ECA is located in the outer leaflet of the outer membrane. It is a glycophospholipid built up by an aminosugar heteropolymer linked to an l-glycerophosphatidyl residue. In a few rough mutants, in addition, the sugar chain can be bound to the complete lipopolysaccharide (LPS) core. Recently, for Shigella sonnei a lipid-free cyclic form of ECA was reported. The genetical determination of ECA is closely related to that of lipopolysaccharide. For biosynthesis of ECA and LPS partly the same sugar precursors and the same carrier lipid is used.","container-title":"FEMS Microbiology Reviews","DOI":"10.1111/j.1574-6968.1988.tb02743.x","ISSN":"0168-6445","issue":"3","journalAbbreviation":"FEMS Microbiology Reviews","page":"195-222","source":"Silverchair","title":"ECA, the enterobacterial common antigen*","volume":"4","author":[{"family":"Kuhn","given":"Hella-Monika"},{"family":"Meier-Dieter","given":"Ursula"},{"family":"Mayer","given":"Hubert"}],"issued":{"date-parts":[["1988",9,1]]}}}],"schema":"https://github.com/citation-style-language/schema/raw/master/csl-citation.json"} </w:instrText>
      </w:r>
      <w:r>
        <w:fldChar w:fldCharType="separate"/>
      </w:r>
      <w:r w:rsidR="00FE18CB" w:rsidRPr="00FE18CB">
        <w:t>(</w:t>
      </w:r>
      <w:r w:rsidR="00FE18CB" w:rsidRPr="00FE18CB">
        <w:rPr>
          <w:i/>
          <w:iCs/>
        </w:rPr>
        <w:t>93</w:t>
      </w:r>
      <w:r w:rsidR="00FE18CB" w:rsidRPr="00FE18CB">
        <w:t>)</w:t>
      </w:r>
      <w:r>
        <w:fldChar w:fldCharType="end"/>
      </w:r>
      <w:r>
        <w:t xml:space="preserve">, and Lipid A biosynthesis </w:t>
      </w:r>
      <w:r>
        <w:fldChar w:fldCharType="begin"/>
      </w:r>
      <w:r w:rsidR="00FE18CB">
        <w:instrText xml:space="preserve"> ADDIN ZOTERO_ITEM CSL_CITATION {"citationID":"XLDjRCPa","properties":{"formattedCitation":"({\\i{}94})","plainCitation":"(94)","noteIndex":0},"citationItems":[{"id":3710,"uris":["http://zotero.org/users/13901503/items/7XBTXUWV"],"itemData":{"id":3710,"type":"article-journal","abstract":"Bacterial lipopolysaccharides (LPS) typically consist of a hydrophobic domain known as lipid A (or endotoxin), a nonrepeating “core” oligosaccharide, and a distal polysaccharide (or O-antigen). Recent genomic data have facilitated study of LPS assembly in diverse Gram-negative bacteria, many of which are human or plant pathogens, and have established the importance of lateral gene transfer in generating structural diversity of O-antigens. Many enzymes of lipid A biosynthesis like LpxC have been validated as targets for development of new antibiotics. Key genes for lipid A biosynthesis have unexpectedly also been found in higher plants, indicating that eukaryotic lipid A-like molecules may exist. Most significant has been the identification of the plasma membrane protein TLR4 as the lipid A signaling receptor of animal cells. TLR4 belongs to a family of innate immunity receptors that possess a large extracellular domain of leucine-rich repeats, a single trans-membrane segment, and a smaller cytoplasmic signaling region that engages the adaptor protein MyD88. The expanding knowledge of TLR4 specificity and its downstream signaling pathways should provide new opportunities for blocking inflammation associated with infection.","container-title":"Annual Review of Biochemistry","DOI":"10.1146/annurev.biochem.71.110601.135414","ISSN":"0066-4154","issue":"1","journalAbbreviation":"Annual Review of Biochemistry","language":"eng","note":"publisher: Annual Reviews Inc.","page":"635","source":"EBSCOhost","title":"Lipopolysaccharide endotoxins","volume":"71","author":[{"family":"Raetz","given":"Christian R. H."},{"family":"Whitfield","given":"Chris"}],"issued":{"date-parts":[["2002",7,1]]}}}],"schema":"https://github.com/citation-style-language/schema/raw/master/csl-citation.json"} </w:instrText>
      </w:r>
      <w:r>
        <w:fldChar w:fldCharType="separate"/>
      </w:r>
      <w:r w:rsidR="00FE18CB" w:rsidRPr="00FE18CB">
        <w:t>(</w:t>
      </w:r>
      <w:r w:rsidR="00FE18CB" w:rsidRPr="00FE18CB">
        <w:rPr>
          <w:i/>
          <w:iCs/>
        </w:rPr>
        <w:t>94</w:t>
      </w:r>
      <w:r w:rsidR="00FE18CB" w:rsidRPr="00FE18CB">
        <w:t>)</w:t>
      </w:r>
      <w:r>
        <w:fldChar w:fldCharType="end"/>
      </w:r>
      <w:r>
        <w:t xml:space="preserve">. They also included pathways involved in redox maintenance, including the synthesis of B vitamins </w:t>
      </w:r>
      <w:r>
        <w:fldChar w:fldCharType="begin"/>
      </w:r>
      <w:r w:rsidR="009237D2">
        <w:instrText xml:space="preserve"> ADDIN ZOTERO_ITEM CSL_CITATION {"citationID":"UqKOmPfK","properties":{"formattedCitation":"({\\i{}66}, {\\i{}67})","plainCitation":"(66, 67)","noteIndex":0},"citationItems":[{"id":3227,"uris":["http://zotero.org/users/13901503/items/9DQLWAKU"],"itemData":{"id":3227,"type":"article-journal","abstract":"Vitamin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fldChar w:fldCharType="separate"/>
      </w:r>
      <w:r w:rsidR="009237D2" w:rsidRPr="009237D2">
        <w:t>(</w:t>
      </w:r>
      <w:r w:rsidR="009237D2" w:rsidRPr="009237D2">
        <w:rPr>
          <w:i/>
          <w:iCs/>
        </w:rPr>
        <w:t>66</w:t>
      </w:r>
      <w:r w:rsidR="009237D2" w:rsidRPr="009237D2">
        <w:t xml:space="preserve">, </w:t>
      </w:r>
      <w:r w:rsidR="009237D2" w:rsidRPr="009237D2">
        <w:rPr>
          <w:i/>
          <w:iCs/>
        </w:rPr>
        <w:t>67</w:t>
      </w:r>
      <w:r w:rsidR="009237D2" w:rsidRPr="009237D2">
        <w:t>)</w:t>
      </w:r>
      <w:r>
        <w:fldChar w:fldCharType="end"/>
      </w:r>
      <w:r>
        <w:t xml:space="preserve">, </w:t>
      </w:r>
      <w:proofErr w:type="spellStart"/>
      <w:r>
        <w:t>menaquinol</w:t>
      </w:r>
      <w:proofErr w:type="spellEnd"/>
      <w:r>
        <w:t xml:space="preserve"> </w:t>
      </w:r>
      <w:r>
        <w:fldChar w:fldCharType="begin"/>
      </w:r>
      <w:r w:rsidR="009237D2">
        <w:instrText xml:space="preserve"> ADDIN ZOTERO_ITEM CSL_CITATION {"citationID":"DQoEAwSK","properties":{"formattedCitation":"({\\i{}68})","plainCitation":"(68)","noteIndex":0},"citationItems":[{"id":3237,"uris":["http://zotero.org/users/13901503/items/VLNZSILJ"],"itemData":{"id":3237,"type":"article-journal","abstract":"In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fldChar w:fldCharType="separate"/>
      </w:r>
      <w:r w:rsidR="009237D2" w:rsidRPr="009237D2">
        <w:t>(</w:t>
      </w:r>
      <w:r w:rsidR="009237D2" w:rsidRPr="009237D2">
        <w:rPr>
          <w:i/>
          <w:iCs/>
        </w:rPr>
        <w:t>68</w:t>
      </w:r>
      <w:r w:rsidR="009237D2" w:rsidRPr="009237D2">
        <w:t>)</w:t>
      </w:r>
      <w:r>
        <w:fldChar w:fldCharType="end"/>
      </w:r>
      <w:r>
        <w:t xml:space="preserve">, and NADPH </w:t>
      </w:r>
      <w:r>
        <w:fldChar w:fldCharType="begin"/>
      </w:r>
      <w:r w:rsidR="00FE18CB">
        <w:instrText xml:space="preserve"> ADDIN ZOTERO_ITEM CSL_CITATION {"citationID":"ie0Y7lhz","properties":{"formattedCitation":"({\\i{}71})","plainCitation":"(71)","noteIndex":0},"citationItems":[{"id":3239,"uris":["http://zotero.org/users/13901503/items/F8CEHMIS"],"itemData":{"id":3239,"type":"article-journal","abstract":"Accumulating evidence has suggested that NAD (including NAD؉ and NADH) and NADP (including NADP؉ and NADPH) could belong to the fundamental common mediators of various biological processes, including energy metabolism, mitochondrial functions, calcium homeostasis, antioxidation/generation of oxidative stress, gene expression, immunological functions, aging, and cell death: First, it is established that NAD mediates energy metabolism and mitochondrial functions; second, NADPH is a key component in cellular antioxidation systems; and NADH-dependent reactive oxygen species (ROS) generation from mitochondria and NADPH oxidase-dependent ROS generation are two critical mechanisms of ROS generation; third, cyclic ADP-ribose and several other molecules that are generated from NAD and NADP could mediate calcium homeostasis; fourth, NAD and NADP modulate multiple key factors in cell death, such as mitochondrial permeability transition, energy state, poly(ADP-ribose) polymerase-1, and apoptosis-inducing factor; and fifth, NAD and NADP profoundly affect aging-influencing factors such as oxidative stress and mitochondrial activities, and NADdependent sirtuins also mediate the aging process. Moreover, many recent studies have suggested novel paradigms of NAD and NADP metabolism. Future investigation into the metabolism and biological functions of NAD and NADP may expose fundamental properties of life, and suggest new strategies for treating diseases and slowing the aging process. Antioxid. Redox Signal. 10, 179–206.","container-title":"Antioxidants &amp; Redox Signaling","DOI":"10.1089/ars.2007.1672","ISSN":"1523-0864, 1557-7716","issue":"2","journalAbbreviation":"Antioxidants &amp; Redox Signaling","language":"en","page":"179-206","source":"DOI.org (Crossref)","title":"NAD&lt;sup&gt;+&lt;/sup&gt; /NADH and NADP&lt;sup&gt;+&lt;/sup&gt; /NADPH in Cellular Functions and Cell Death: Regulation and Biological Consequences","title-short":"NAD&lt;sup&gt;+&lt;/sup&gt; /NADH and NADP&lt;sup&gt;+&lt;/sup&gt; /NADPH in Cellular Functions and Cell Death","volume":"10","author":[{"family":"Ying","given":"Weihai"}],"issued":{"date-parts":[["2008",2]]}}}],"schema":"https://github.com/citation-style-language/schema/raw/master/csl-citation.json"} </w:instrText>
      </w:r>
      <w:r>
        <w:fldChar w:fldCharType="separate"/>
      </w:r>
      <w:r w:rsidR="00FE18CB" w:rsidRPr="00FE18CB">
        <w:t>(</w:t>
      </w:r>
      <w:r w:rsidR="00FE18CB" w:rsidRPr="00FE18CB">
        <w:rPr>
          <w:i/>
          <w:iCs/>
        </w:rPr>
        <w:t>71</w:t>
      </w:r>
      <w:r w:rsidR="00FE18CB" w:rsidRPr="00FE18CB">
        <w:t>)</w:t>
      </w:r>
      <w:r>
        <w:fldChar w:fldCharType="end"/>
      </w:r>
      <w:r>
        <w:t xml:space="preserve">. </w:t>
      </w:r>
    </w:p>
    <w:p w14:paraId="38AF3FDA" w14:textId="77777777" w:rsidR="001A1985" w:rsidRDefault="001A1985" w:rsidP="001A1985"/>
    <w:p w14:paraId="7777B32D" w14:textId="77777777" w:rsidR="00230DAD" w:rsidRDefault="00230DAD" w:rsidP="00230DAD">
      <w:r>
        <w:t xml:space="preserve">Discussion: </w:t>
      </w:r>
    </w:p>
    <w:p w14:paraId="4621D044" w14:textId="77777777" w:rsidR="00230DAD" w:rsidRDefault="00230DAD" w:rsidP="00230DAD">
      <w:pPr>
        <w:ind w:firstLine="720"/>
      </w:pPr>
      <w:r>
        <w:t xml:space="preserve">Our study had two main goals: (1) to assess how temperature influences gut microbiome composition and function in wild, white-faced capuchins, and (2) to evaluate whether temperature-driven changes to the gut microbiome are related to host immunity. We found strong evidence that temperature is associated with community-level diversity, taxonomic composition, and metabolic capacity. Moreover, the microbiome’s taxonomic and functional response to temperature is linked to differences in urinary neopterin concentrations. These results support the hypothesis that heat initiates a physiological cascade that alters microbiome composition and affects host-microbiome interactions.  </w:t>
      </w:r>
    </w:p>
    <w:p w14:paraId="5AF79EE2" w14:textId="77777777" w:rsidR="00230DAD" w:rsidRDefault="00230DAD" w:rsidP="00230DAD"/>
    <w:p w14:paraId="5A5155B4" w14:textId="77777777" w:rsidR="00230DAD" w:rsidRDefault="00230DAD" w:rsidP="00230DAD">
      <w:pPr>
        <w:rPr>
          <w:u w:val="single"/>
        </w:rPr>
      </w:pPr>
      <w:r w:rsidRPr="00C64C3B">
        <w:rPr>
          <w:u w:val="single"/>
        </w:rPr>
        <w:t xml:space="preserve">Gut microbiome </w:t>
      </w:r>
      <w:r>
        <w:rPr>
          <w:u w:val="single"/>
        </w:rPr>
        <w:t>response to</w:t>
      </w:r>
      <w:r w:rsidRPr="00C64C3B">
        <w:rPr>
          <w:u w:val="single"/>
        </w:rPr>
        <w:t xml:space="preserve"> temperature</w:t>
      </w:r>
    </w:p>
    <w:p w14:paraId="7D51C29D" w14:textId="72AC60C0" w:rsidR="00230DAD" w:rsidRDefault="00230DAD" w:rsidP="00632E94">
      <w:pPr>
        <w:ind w:firstLine="720"/>
      </w:pPr>
      <w:r>
        <w:t xml:space="preserve">Our data suggest that the gut microbiome’s response to high temperatures may affect its role in conferring colonization resistance— the ability to protect the host from exogenous pathogens. Colonization resistance arises from direct competition of commensals with pathogens for resources and microbial support for host immunity </w:t>
      </w:r>
      <w:r>
        <w:fldChar w:fldCharType="begin"/>
      </w:r>
      <w:r w:rsidR="00FE18CB">
        <w:instrText xml:space="preserve"> ADDIN ZOTERO_ITEM CSL_CITATION {"citationID":"BOTDPuFp","properties":{"formattedCitation":"({\\i{}95})","plainCitation":"(95)","noteIndex":0},"citationItems":[{"id":1527,"uris":["http://zotero.org/users/13901503/items/2LNX23SB"],"itemData":{"id":1527,"type":"article-journal","abstract":"A dense and diverse microbial community inhabits the gut and many epithelial surfaces. Referred to as the microbiota, it co-evolved with the host and is beneficial for many host physiological processes. A major function of these symbiotic microorganisms is protection against pathogen colonization and overgrowth of indigenous pathobionts. Dysbiosis of the normal microbial community increases the risk of pathogen infection and overgrowth of harmful pathobionts. The protective mechanisms conferred by the microbiota are complex and include competitive microbial–microbial interactions and induction of host immune responses. Pathogens, in turn, have evolved multiple strategies to subvert colonization resistance conferred by the microbiota. Understanding the mechanisms by which microbial symbionts limit pathogen colonization should guide the development of new therapeutic approaches to prevent or treat disease.","container-title":"Nature Reviews Microbiology","DOI":"10.1038/s41579-022-00833-7","ISSN":"1740-1534","issue":"6","journalAbbreviation":"Nat Rev Microbiol","language":"en","license":"2022 Springer Nature Limited","note":"publisher: Nature Publishing Group","page":"347-360","source":"www.nature.com","title":"Microbiota-mediated colonization resistance: mechanisms and regulation","title-short":"Microbiota-mediated colonization resistance","volume":"21","author":[{"family":"Caballero-Flores","given":"Gustavo"},{"family":"Pickard","given":"Joseph M."},{"family":"Núñez","given":"Gabriel"}],"issued":{"date-parts":[["2023",6]]}}}],"schema":"https://github.com/citation-style-language/schema/raw/master/csl-citation.json"} </w:instrText>
      </w:r>
      <w:r>
        <w:fldChar w:fldCharType="separate"/>
      </w:r>
      <w:r w:rsidR="00FE18CB" w:rsidRPr="00FE18CB">
        <w:t>(</w:t>
      </w:r>
      <w:r w:rsidR="00FE18CB" w:rsidRPr="00FE18CB">
        <w:rPr>
          <w:i/>
          <w:iCs/>
        </w:rPr>
        <w:t>95</w:t>
      </w:r>
      <w:r w:rsidR="00FE18CB" w:rsidRPr="00FE18CB">
        <w:t>)</w:t>
      </w:r>
      <w:r>
        <w:fldChar w:fldCharType="end"/>
      </w:r>
      <w:r>
        <w:t>.</w:t>
      </w:r>
      <w:r w:rsidRPr="00D763E3">
        <w:t xml:space="preserve"> </w:t>
      </w:r>
      <w:r>
        <w:t xml:space="preserve">Community-level analysis reveals that taxonomic alpha diversity declines with increasing temperatures (Fig 1S), suggesting that heat may impair the gut microbiome’s ability to resist colonization by reducing the diversity of taxa that are available to compete with pathogens </w:t>
      </w:r>
      <w:r>
        <w:fldChar w:fldCharType="begin"/>
      </w:r>
      <w:r w:rsidR="00FE18CB">
        <w:instrText xml:space="preserve"> ADDIN ZOTERO_ITEM CSL_CITATION {"citationID":"t7jhlu8l","properties":{"formattedCitation":"({\\i{}96})","plainCitation":"(96)","noteIndex":0},"citationItems":[{"id":1008,"uris":["http://zotero.org/users/13901503/items/5W73TYRF"],"itemData":{"id":1008,"type":"article-journal","abstract":"The human gut microbiome plays an important role in resisting colonization of the host by pathogens, but we lack the ability to predict which communities will be protective. We studied how human gut bacteria influence colonization of two major bacterial pathogens, both in vitro and in gnotobiotic mice. Whereas single species alone had negligible effects, colonization resistance greatly increased with community diversity. Moreover, this community-level resistance rested critically upon certain species being present. We explained these ecological patterns through the collective ability of resistant communities to consume nutrients that overlap with those used by the pathogen. Furthermore, we applied our findings to successfully predict communities that resist a novel target strain. Our work provides a reason why microbiome diversity is beneficial and suggests a route for the rational design of pathogen-resistant communities.","container-title":"Science","DOI":"10.1126/science.adj3502","issue":"6676","note":"publisher: American Association for the Advancement of Science","page":"eadj3502","source":"science.org (Atypon)","title":"Microbiome diversity protects against pathogens by nutrient blocking","volume":"382","author":[{"family":"Spragge","given":"Frances"},{"family":"Bakkeren","given":"Erik"},{"family":"Jahn","given":"Martin T."},{"family":"B. N. Araujo","given":"Elizete"},{"family":"Pearson","given":"Claire F."},{"family":"Wang","given":"Xuedan"},{"family":"Pankhurst","given":"Louise"},{"family":"Cunrath","given":"Olivier"},{"family":"Foster","given":"Kevin R."}],"issued":{"date-parts":[["2023",12,15]]}}}],"schema":"https://github.com/citation-style-language/schema/raw/master/csl-citation.json"} </w:instrText>
      </w:r>
      <w:r>
        <w:fldChar w:fldCharType="separate"/>
      </w:r>
      <w:r w:rsidR="00FE18CB" w:rsidRPr="00FE18CB">
        <w:t>(</w:t>
      </w:r>
      <w:r w:rsidR="00FE18CB" w:rsidRPr="00FE18CB">
        <w:rPr>
          <w:i/>
          <w:iCs/>
        </w:rPr>
        <w:t>96</w:t>
      </w:r>
      <w:r w:rsidR="00FE18CB" w:rsidRPr="00FE18CB">
        <w:t>)</w:t>
      </w:r>
      <w:r>
        <w:fldChar w:fldCharType="end"/>
      </w:r>
      <w:r>
        <w:t xml:space="preserve">. High temperatures are also associated with the decline in the </w:t>
      </w:r>
      <w:proofErr w:type="spellStart"/>
      <w:r>
        <w:t>Bacteroidota</w:t>
      </w:r>
      <w:proofErr w:type="spellEnd"/>
      <w:r>
        <w:t xml:space="preserve"> and Firmicutes phyla, which contain taxa known to support host immunity such as </w:t>
      </w:r>
      <w:proofErr w:type="spellStart"/>
      <w:r w:rsidRPr="00A566A6">
        <w:rPr>
          <w:rStyle w:val="Emphasis"/>
          <w:rFonts w:eastAsiaTheme="majorEastAsia"/>
        </w:rPr>
        <w:t>Clostridiaceae</w:t>
      </w:r>
      <w:proofErr w:type="spellEnd"/>
      <w:r>
        <w:t>,</w:t>
      </w:r>
      <w:r w:rsidRPr="00A566A6">
        <w:t xml:space="preserve"> </w:t>
      </w:r>
      <w:r w:rsidRPr="00A566A6">
        <w:rPr>
          <w:rStyle w:val="Emphasis"/>
          <w:rFonts w:eastAsiaTheme="majorEastAsia"/>
        </w:rPr>
        <w:t>Lactococcus</w:t>
      </w:r>
      <w:r>
        <w:rPr>
          <w:rStyle w:val="Emphasis"/>
          <w:rFonts w:eastAsiaTheme="majorEastAsia"/>
        </w:rPr>
        <w:t>,</w:t>
      </w:r>
      <w:r w:rsidRPr="00A566A6">
        <w:t xml:space="preserve"> and </w:t>
      </w:r>
      <w:proofErr w:type="spellStart"/>
      <w:r w:rsidRPr="00A566A6">
        <w:rPr>
          <w:i/>
          <w:iCs/>
        </w:rPr>
        <w:t>Barnesiella</w:t>
      </w:r>
      <w:proofErr w:type="spellEnd"/>
      <w:r>
        <w:rPr>
          <w:i/>
          <w:iCs/>
        </w:rPr>
        <w:t xml:space="preserve"> </w:t>
      </w:r>
      <w:r w:rsidRPr="0089345D">
        <w:t xml:space="preserve">(Fig </w:t>
      </w:r>
      <w:r>
        <w:t>2</w:t>
      </w:r>
      <w:r w:rsidRPr="0089345D">
        <w:t>)</w:t>
      </w:r>
      <w:r>
        <w:fldChar w:fldCharType="begin"/>
      </w:r>
      <w:r w:rsidR="00FE18CB">
        <w:instrText xml:space="preserve"> ADDIN ZOTERO_ITEM CSL_CITATION {"citationID":"niRie4ap","properties":{"formattedCitation":"({\\i{}97})","plainCitation":"(97)","noteIndex":0},"citationItems":[{"id":1477,"uris":["http://zotero.org/users/13901503/items/HC276HZJ"],"itemData":{"id":1477,"type":"article-journal","abstract":"Antibiotic treatment disrupts the native intestinal microbiota and favours infection with and the proliferation of antibiotic-resistant intestinal pathogens. Clinically important antibiotic-resistant pathogens include vancomycin-resistant Enterococcus spp., various Enterobacteriaceae and Clostridium difficile.The intestinal microbiota influences the development, the maintenance and the function of the innate and adaptive immune systems. Host immune function is decreased in the intestines following antibiotic therapy, and antibiotic-treated hosts are susceptible to intestinal infection.Microbiota-derived bacterial populations and products that enhance immune defence against intestinal pathogens are being identified. However, the precise bacterial sources of many immunomodulatory molecules remain unclear and, conversely, the molecular mechanisms by which most probiotics restore immunity have yet to be elucidated.In addition to indirectly enhancing colonization resistance by stimulating host immune defences, bacterial populations can directly suppress intestinal pathogens by competitive exclusion and by antimicrobial activities. The commensal populations that are responsible for direct antagonism of pathogens and indirect, immune-mediated colonization resistance may be closely related and difficult to distinguish.Microbiota-derived bacterial populations and products, a subset of which enhance immune defence, can also promote intestinal inflammation, whereas other microbiota components restrain effector responses and promote tolerance.Manipulation of the intestinal microbiota to prevent and to treat some intestinal infections, such as C. difficile, shows promise in human patients and animal models of infection. However, the specific contributions of the individual bacterial populations that constitute the consortia transferred in such studies remain mostly undefined.","container-title":"Nature Reviews Immunology","DOI":"10.1038/nri3535","ISSN":"1474-1741","issue":"11","journalAbbreviation":"Nat Rev Immunol","language":"en","license":"2013 Springer Nature Limited","note":"publisher: Nature Publishing Group","page":"790-801","source":"www.nature.com","title":"Microbiota-mediated colonization resistance against intestinal pathogens","volume":"13","author":[{"family":"Buffie","given":"Charlie G."},{"family":"Pamer","given":"Eric G."}],"issued":{"date-parts":[["2013",11]]}}}],"schema":"https://github.com/citation-style-language/schema/raw/master/csl-citation.json"} </w:instrText>
      </w:r>
      <w:r>
        <w:fldChar w:fldCharType="separate"/>
      </w:r>
      <w:r w:rsidR="00FE18CB" w:rsidRPr="00FE18CB">
        <w:t>(</w:t>
      </w:r>
      <w:r w:rsidR="00FE18CB" w:rsidRPr="00FE18CB">
        <w:rPr>
          <w:i/>
          <w:iCs/>
        </w:rPr>
        <w:t>97</w:t>
      </w:r>
      <w:r w:rsidR="00FE18CB" w:rsidRPr="00FE18CB">
        <w:t>)</w:t>
      </w:r>
      <w:r>
        <w:fldChar w:fldCharType="end"/>
      </w:r>
      <w:r w:rsidR="00632E94">
        <w:t xml:space="preserve">, which may leave hosts more vulnerable to infection. </w:t>
      </w:r>
      <w:r>
        <w:t xml:space="preserve">However, functional alpha diversity appears more resilient to increasing temperatures (Fig 1), likely due to functional redundancy— when </w:t>
      </w:r>
      <w:r>
        <w:lastRenderedPageBreak/>
        <w:t xml:space="preserve">taxonomically distinct microbes perform similar functional roles </w:t>
      </w:r>
      <w:r>
        <w:fldChar w:fldCharType="begin"/>
      </w:r>
      <w:r w:rsidR="00FE18CB">
        <w:instrText xml:space="preserve"> ADDIN ZOTERO_ITEM CSL_CITATION {"citationID":"hwQmyei2","properties":{"formattedCitation":"({\\i{}98})","plainCitation":"(98)","noteIndex":0},"citationItems":[{"id":3181,"uris":["http://zotero.org/users/13901503/items/N5RMCRXY"],"itemData":{"id":3181,"type":"article-journal","abstract":"Microbial communities often exhibit incredible taxonomic diversity, raising questions regarding the mechanisms enabling species coexistence and the role of this diversity in community functioning. On the one hand, many coexisting but taxonomically distinct microorganisms can encode the same energy-yielding metabolic functions, and this functional redundancy contrasts with the expectation that species should occupy distinct metabolic niches. On the other hand, the identity of taxa encoding each function can vary substantially across space or time with little effect on the function, and this taxonomic variability is frequently thought to result from ecological drift between equivalent organisms. Here, we synthesize the powerful paradigm emerging from these two patterns, connecting the roles of function, functional redundancy and taxonomy in microbial systems. We conclude that both patterns are unlikely to be the result of ecological drift, but are inevitable emergent properties of open microbial systems resulting mainly from biotic interactions and environmental and spatial processes.","container-title":"Nature Ecology &amp; Evolution","DOI":"10.1038/s41559-018-0519-1","ISSN":"2397-334X","issue":"6","journalAbbreviation":"Nat Ecol Evol","language":"en","license":"2018 The Author(s)","note":"publisher: Nature Publishing Group","page":"936-943","source":"www-nature-com.proxy.lib.umich.edu","title":"Function and functional redundancy in microbial systems","volume":"2","author":[{"family":"Louca","given":"Stilianos"},{"family":"Polz","given":"Martin F."},{"family":"Mazel","given":"Florent"},{"family":"Albright","given":"Michaeline B. N."},{"family":"Huber","given":"Julie A."},{"family":"O’Connor","given":"Mary I."},{"family":"Ackermann","given":"Martin"},{"family":"Hahn","given":"Aria S."},{"family":"Srivastava","given":"Diane S."},{"family":"Crowe","given":"Sean A."},{"family":"Doebeli","given":"Michael"},{"family":"Parfrey","given":"Laura Wegener"}],"issued":{"date-parts":[["2018",6]]}}}],"schema":"https://github.com/citation-style-language/schema/raw/master/csl-citation.json"} </w:instrText>
      </w:r>
      <w:r>
        <w:fldChar w:fldCharType="separate"/>
      </w:r>
      <w:r w:rsidR="00FE18CB" w:rsidRPr="00FE18CB">
        <w:t>(</w:t>
      </w:r>
      <w:r w:rsidR="00FE18CB" w:rsidRPr="00FE18CB">
        <w:rPr>
          <w:i/>
          <w:iCs/>
        </w:rPr>
        <w:t>98</w:t>
      </w:r>
      <w:r w:rsidR="00FE18CB" w:rsidRPr="00FE18CB">
        <w:t>)</w:t>
      </w:r>
      <w:r>
        <w:fldChar w:fldCharType="end"/>
      </w:r>
      <w:r>
        <w:t>.</w:t>
      </w:r>
      <w:r w:rsidRPr="008F1008">
        <w:t xml:space="preserve"> </w:t>
      </w:r>
      <w:r>
        <w:t>This redundancy may buffer the loss of taxonomic diversity and help preserve colonization resistance at high temperatures because remaining taxa fill enough functional niches to outcompete pathogens.</w:t>
      </w:r>
      <w:r>
        <w:rPr>
          <w:rStyle w:val="Emphasis"/>
        </w:rPr>
        <w:t xml:space="preserve"> </w:t>
      </w:r>
      <w:r>
        <w:t xml:space="preserve">Although we did not observe an increase in potentially pathogenic taxa, the phyla Proteobacteria and Campylobacteria, which are known to contain gut pathogens </w:t>
      </w:r>
      <w:r>
        <w:fldChar w:fldCharType="begin"/>
      </w:r>
      <w:r w:rsidR="00FE18CB">
        <w:instrText xml:space="preserve"> ADDIN ZOTERO_ITEM CSL_CITATION {"citationID":"08yGUd4c","properties":{"formattedCitation":"({\\i{}37}, {\\i{}99})","plainCitation":"(37, 99)","noteIndex":0},"citationItems":[{"id":3980,"uris":["http://zotero.org/users/13901503/items/D55I9RZZ"],"itemData":{"id":3980,"type":"article-journal","abstract":"SUMMARYCampylobacter jejuni infection is one of the most widespread infectious diseases of the last century. The incidence and prevalence of campylobacteriosis have increased in both developed and developing countries over the last 10 years. The dramatic increase in North America, Europe, and Australia is alarming, and data from parts of Africa, Asia, and the Middle East indicate that campylobacteriosis is endemic in these areas, especially in children. In addition to C. jejuni, there is increasing recognition of the clinical importance of emerging Campylobacter species, including Campylobacter concisus and Campylobacter ureolyticus. Poultry is a major reservoir and source of transmission of campylobacteriosis to humans. Other risk factors include consumption of animal products and water, contact with animals, and international travel. Strategic implementation of multifaceted biocontrol measures to reduce the transmission of this group of pathogens is paramount for public health. Overall, campylobacteriosis is still one of the most important infectious diseases that is likely to challenge global health in the years to come. This review provides a comprehensive overview of the global epidemiology, transmission, and clinical relevance of Campylobacter infection.","container-title":"Clinical Microbiology Reviews","DOI":"10.1128/cmr.00006-15","issue":"3","note":"publisher: American Society for Microbiology","page":"687-720","source":"journals-asm-org.proxy.lib.umich.edu (Atypon)","title":"Global Epidemiology of Campylobacter Infection","volume":"28","author":[{"family":"Kaakoush","given":"Nadeem O."},{"family":"Castaño-Rodríguez","given":"Natalia"},{"family":"Mitchell","given":"Hazel M."},{"family":"Man","given":"Si Ming"}],"issued":{"date-parts":[["2015",6,10]]}}},{"id":3636,"uris":["http://zotero.org/users/13901503/items/26FYIIWM"],"itemData":{"id":3636,"type":"article-journal","abstract":"Recent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fldChar w:fldCharType="separate"/>
      </w:r>
      <w:r w:rsidR="00FE18CB" w:rsidRPr="00FE18CB">
        <w:t>(</w:t>
      </w:r>
      <w:r w:rsidR="00FE18CB" w:rsidRPr="00FE18CB">
        <w:rPr>
          <w:i/>
          <w:iCs/>
        </w:rPr>
        <w:t>37</w:t>
      </w:r>
      <w:r w:rsidR="00FE18CB" w:rsidRPr="00FE18CB">
        <w:t xml:space="preserve">, </w:t>
      </w:r>
      <w:r w:rsidR="00FE18CB" w:rsidRPr="00FE18CB">
        <w:rPr>
          <w:i/>
          <w:iCs/>
        </w:rPr>
        <w:t>99</w:t>
      </w:r>
      <w:r w:rsidR="00FE18CB" w:rsidRPr="00FE18CB">
        <w:t>)</w:t>
      </w:r>
      <w:r>
        <w:fldChar w:fldCharType="end"/>
      </w:r>
      <w:r>
        <w:t>, are less sensitive to heat compared to other phyla. Therefore, sustained high temperatures may continue to erode both taxonomic and functional diversity, eventually increasing the host’s vulnerability to infection.</w:t>
      </w:r>
    </w:p>
    <w:p w14:paraId="44A3F446" w14:textId="660853B5" w:rsidR="00230DAD" w:rsidRDefault="00230DAD" w:rsidP="00230DAD">
      <w:pPr>
        <w:ind w:firstLine="720"/>
      </w:pPr>
      <w:r>
        <w:t>Metabolic restructuring in response to rising temperatures suggests that the gut microbiome undergoes functional shifts that may support community stability. For example, the increase in lipid synthesis and remodeling pathways</w:t>
      </w:r>
      <w:r w:rsidR="00396DB1">
        <w:t xml:space="preserve"> (</w:t>
      </w:r>
      <w:r w:rsidR="00396DB1">
        <w:t>Fig 3A)</w:t>
      </w:r>
      <w:r>
        <w:t xml:space="preserve"> could reflect cytoplasmic membrane restructuring, a process bacteria use to preserve membrane stability at high temperatures </w:t>
      </w:r>
      <w:r>
        <w:fldChar w:fldCharType="begin"/>
      </w:r>
      <w:r w:rsidR="00FE18CB">
        <w:instrText xml:space="preserve"> ADDIN ZOTERO_ITEM CSL_CITATION {"citationID":"SIOKOfLi","properties":{"formattedCitation":"({\\i{}62}, {\\i{}100})","plainCitation":"(62, 100)","noteIndex":0},"citationItems":[{"id":3378,"uris":["http://zotero.org/users/13901503/items/TZK8TZFH"],"itemData":{"id":3378,"type":"article-journal","container-title":"Journal of Bacteriology","DOI":"10.1128/jb.186.20.6681-6688.2004","issue":"20","note":"publisher: American Society for Microbiology","page":"6681-6688","source":"journals.asm.org (Atypon)","title":"Control of Membrane Lipid Fluidity by Molecular Thermosensors","volume":"186","author":[{"family":"Mansilla","given":"María C."},{"family":"Cybulski","given":"Larisa E."},{"family":"Albanesi","given":"Daniela"},{"family":"Mendoza","given":"Diego","non-dropping-particle":"de"}],"issued":{"date-parts":[["2004",10,15]]}}},{"id":3394,"uris":["http://zotero.org/users/13901503/items/BQ657FYY"],"itemData":{"id":3394,"type":"article-journal","container-title":"Proceedings of the National Academy of Sciences","issue":"38","journalAbbreviation":"PNAS","language":"en","note":"DOI: 10.1073/pnas.1515607112","page":"11971–11976","title":"Hopanoids as functional analogues of cholesterol in bacterial membranes","volume":"112","author":[{"family":"Sáenz","given":"James"}],"issued":{"date-parts":[["2015"]]}}}],"schema":"https://github.com/citation-style-language/schema/raw/master/csl-citation.json"} </w:instrText>
      </w:r>
      <w:r>
        <w:fldChar w:fldCharType="separate"/>
      </w:r>
      <w:r w:rsidR="00FE18CB" w:rsidRPr="00FE18CB">
        <w:t>(</w:t>
      </w:r>
      <w:r w:rsidR="00FE18CB" w:rsidRPr="00FE18CB">
        <w:rPr>
          <w:i/>
          <w:iCs/>
        </w:rPr>
        <w:t>62</w:t>
      </w:r>
      <w:r w:rsidR="00FE18CB" w:rsidRPr="00FE18CB">
        <w:t xml:space="preserve">, </w:t>
      </w:r>
      <w:r w:rsidR="00FE18CB" w:rsidRPr="00FE18CB">
        <w:rPr>
          <w:i/>
          <w:iCs/>
        </w:rPr>
        <w:t>100</w:t>
      </w:r>
      <w:r w:rsidR="00FE18CB" w:rsidRPr="00FE18CB">
        <w:t>)</w:t>
      </w:r>
      <w:r>
        <w:fldChar w:fldCharType="end"/>
      </w:r>
      <w:r w:rsidR="00396DB1">
        <w:t>.</w:t>
      </w:r>
      <w:r>
        <w:t xml:space="preserve"> However, these changes may be insufficient to maintain membrane integrity during extended periods of high temperatures because the observed decline in lipid catabolism and recycling pathways likely compromises membrane repair mechanisms </w:t>
      </w:r>
      <w:r>
        <w:fldChar w:fldCharType="begin"/>
      </w:r>
      <w:r w:rsidR="009237D2">
        <w:instrText xml:space="preserve"> ADDIN ZOTERO_ITEM CSL_CITATION {"citationID":"0Z2ejPon","properties":{"formattedCitation":"({\\i{}63})","plainCitation":"(63)","noteIndex":0},"citationItems":[{"id":3286,"uris":["http://zotero.org/users/13901503/items/VXSZL448"],"itemData":{"id":3286,"type":"article-journal","abstract":"The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sidR="009237D2" w:rsidRPr="009237D2">
        <w:t>(</w:t>
      </w:r>
      <w:r w:rsidR="009237D2" w:rsidRPr="009237D2">
        <w:rPr>
          <w:i/>
          <w:iCs/>
        </w:rPr>
        <w:t>63</w:t>
      </w:r>
      <w:r w:rsidR="009237D2" w:rsidRPr="009237D2">
        <w:t>)</w:t>
      </w:r>
      <w:r>
        <w:fldChar w:fldCharType="end"/>
      </w:r>
      <w:r>
        <w:t>.</w:t>
      </w:r>
      <w:r w:rsidRPr="006B03C8">
        <w:t xml:space="preserve"> </w:t>
      </w:r>
      <w:r>
        <w:t xml:space="preserve">Limited repair capacity could leave gut microbes more vulnerable to peroxidative damage, a common consequence of heat stress driven by an accumulation of ROS that damages the lipid components of cell membranes </w:t>
      </w:r>
      <w:r>
        <w:fldChar w:fldCharType="begin"/>
      </w:r>
      <w:r w:rsidR="00FE18CB">
        <w:instrText xml:space="preserve"> ADDIN ZOTERO_ITEM CSL_CITATION {"citationID":"XWxqevTe","properties":{"formattedCitation":"({\\i{}22}, {\\i{}101})","plainCitation":"(22, 101)","noteIndex":0},"citationItems":[{"id":3717,"uris":["http://zotero.org/users/13901503/items/UEK27R7E"],"itemData":{"id":3717,"type":"article-journal","abstract":"In recent years there has been enormous interest in researching oxidative stress. Reactive oxygen species (ROS) are derived from the metabolism of oxygen as by-products of cell respiration, and are continuously produced in all aerobic organisms. Oxidative stress occurs as a consequence of an imbalance between ROS production and the available antioxidant defence against them. Nowadays, a variety of diseases and degenerative processes such as cancer, Alzheimer’s and autoimmune diseases are mediated by oxidative stress. Heat stress was suggested to be an environmental factor responsible for stimulating ROS production because of similarities in responses observed following heat stress compared with that occurring following exposure to oxidative stress. This manuscript describes the main mitochondrial sources of ROS and the antioxidant defences involved to prevent oxidative damage in all the mitochondrial compartments. It also deals with discussions concerning the cytotoxic effect of heat stress, mitochondrial heat-induced alterations, as well as heat shock protein (HSP) expression as a defence mechanism.","container-title":"International Journal of Hyperthermia","DOI":"10.3109/02656736.2014.971446","ISSN":"0265-6736","issue":"7","note":"publisher: Taylor &amp; Francis\n_eprint: https://doi.org/10.3109/02656736.2014.971446\nPMID: 25354680","page":"513-523","source":"Taylor and Francis+NEJM","title":"Reactive oxygen species, heat stress and oxidative-induced mitochondrial damage. A review","volume":"30","author":[{"family":"Belhadj Slimen","given":"Imen"},{"family":"Taha","given":"Najar"},{"family":"Abdeljelil","given":"Ghram"},{"family":"Hajer","given":"Dabbebi"},{"family":"Moncef","given":"Ben Mrad"},{"family":"Manef","given":"Abdrabbah"}],"issued":{"date-parts":[["2014",11,1]]}}},{"id":3669,"uris":["http://zotero.org/users/13901503/items/BF6XKP7S"],"itemData":{"id":3669,"type":"article-journal","abstract":"The stress responses and possible oxidative damage in plasma, liver and heart were investigated in broiler chickens acutely exposed to high temperature. Eighty 5-week old broiler chickens were exposed to 32°C for 6h. The extent of lipid peroxidation, activities of superoxide dismutase and total antioxidant power in plasma, liver and heart tissues were investigated. Meanwhile, the blood metabolites such as glucose, urate, triiodothyronine, thyroxine, corticosterone, ceruloplasmin and creatine kinase were measured before and after 3 and 6h of heat exposure. The results showed that oxidative stress could be induced in 5-week old broiler chickens by acute heat exposure (32°C, 6h). The results suggest that the elevated body temperature can induce the metabolic changes that are involved in the induction of oxidative stress. The liver is more susceptible to oxidative stress than heart during acute heat exposure in broiler chickens. The oxidative stress should be considered as part of the stress response of broiler chickens to heat exposure.","container-title":"Comparative Biochemistry and Physiology Part A: Molecular &amp; Integrative Physiology","DOI":"10.1016/j.cbpa.2006.01.032","ISSN":"1095-6433","issue":"1","journalAbbreviation":"Comparative Biochemistry and Physiology Part A: Molecular &amp; Integrative Physiology","page":"11-17","source":"ScienceDirect","title":"Acute heat stress induces oxidative stress in broiler chickens","volume":"144","author":[{"family":"Lin","given":"Hai"},{"family":"Decuypere","given":"Eddy"},{"family":"Buyse","given":"Johan"}],"issued":{"date-parts":[["2006",5,1]]}}}],"schema":"https://github.com/citation-style-language/schema/raw/master/csl-citation.json"} </w:instrText>
      </w:r>
      <w:r>
        <w:fldChar w:fldCharType="separate"/>
      </w:r>
      <w:r w:rsidR="00FE18CB" w:rsidRPr="00FE18CB">
        <w:t>(</w:t>
      </w:r>
      <w:r w:rsidR="00FE18CB" w:rsidRPr="00FE18CB">
        <w:rPr>
          <w:i/>
          <w:iCs/>
        </w:rPr>
        <w:t>22</w:t>
      </w:r>
      <w:r w:rsidR="00FE18CB" w:rsidRPr="00FE18CB">
        <w:t xml:space="preserve">, </w:t>
      </w:r>
      <w:r w:rsidR="00FE18CB" w:rsidRPr="00FE18CB">
        <w:rPr>
          <w:i/>
          <w:iCs/>
        </w:rPr>
        <w:t>101</w:t>
      </w:r>
      <w:r w:rsidR="00FE18CB" w:rsidRPr="00FE18CB">
        <w:t>)</w:t>
      </w:r>
      <w:r>
        <w:fldChar w:fldCharType="end"/>
      </w:r>
      <w:r>
        <w:t>. Similarly,</w:t>
      </w:r>
      <w:r w:rsidRPr="00E81C03">
        <w:t xml:space="preserve"> </w:t>
      </w:r>
      <w:r>
        <w:t>the observed increase in anaerobic metabolic pathways</w:t>
      </w:r>
      <w:r w:rsidRPr="00E81C03">
        <w:t xml:space="preserve"> </w:t>
      </w:r>
      <w:r>
        <w:t>and the decline in aerobic pathways</w:t>
      </w:r>
      <w:r w:rsidR="00396DB1">
        <w:t xml:space="preserve"> </w:t>
      </w:r>
      <w:r w:rsidR="00396DB1">
        <w:t>(Fig 3B</w:t>
      </w:r>
      <w:r w:rsidR="00396DB1">
        <w:t>)</w:t>
      </w:r>
      <w:r>
        <w:t xml:space="preserve"> likely reflect a response to maintain energy production under changing oxygen gradients due to redirected blood flow during heat exposure</w:t>
      </w:r>
      <w:r w:rsidR="00396DB1">
        <w:t xml:space="preserve"> </w:t>
      </w:r>
      <w:r>
        <w:fldChar w:fldCharType="begin"/>
      </w:r>
      <w:r w:rsidR="009237D2">
        <w:instrText xml:space="preserve"> ADDIN ZOTERO_ITEM CSL_CITATION {"citationID":"MA64tDiH","properties":{"formattedCitation":"({\\i{}65})","plainCitation":"(65)","noteIndex":0},"citationItems":[{"id":3205,"uris":["http://zotero.org/users/13901503/items/CADITA73"],"itemData":{"id":3205,"type":"article-journal","abstract":"Exposure of conscious animals to environmental heat stress increases portal venous radical content. The nature of the observed heat stress-inducible radical molecules suggests that hyperthermia produces cellular hypoxic stress in liver and intestine. To investigate this hypothesis, conscious rats bearing in-dwelling portal venous and femoral artery catheters were exposed to normothermic or hyperthermic conditions. Blood gas levels were monitored during heat stress and for 24 h following heat exposure. Hyperthermia significantly increased arterial O2 saturation, splanchnic arterial-venous O2 difference, and venous</w:instrText>
      </w:r>
      <w:r w:rsidR="009237D2">
        <w:rPr>
          <w:rFonts w:ascii="Cambria Math" w:hAnsi="Cambria Math" w:cs="Cambria Math"/>
        </w:rPr>
        <w:instrText>𝑃</w:instrText>
      </w:r>
      <w:r w:rsidR="009237D2">
        <w:instrText xml:space="preserve">⁢CO2P⁢CO2, while decreasing venous O2 saturation and venous pH. One hour after heat exposure, liver glycogen levels were decreased </w:instrText>
      </w:r>
      <w:r w:rsidR="009237D2">
        <w:rPr>
          <w:rFonts w:ascii="Cambria Math" w:hAnsi="Cambria Math" w:cs="Cambria Math"/>
        </w:rPr>
        <w:instrText>∼</w:instrText>
      </w:r>
      <w:r w:rsidR="009237D2">
        <w:instrText xml:space="preserve">20%. Two hours after heat exposure, the splanchnic arterial-venous O2 difference remained elevated in heat-stressed animals despite normal Tc. A second group of rats was exposed to similar conditions while receiving intra-arterial injections of the hypoxic cell marker [3H]misonidazole. Liver and intestine were biopsied, and [3H]misonidazole content was quantified. Heat stress increased tissue [3H]misonidazole retention 80% in the liver and 29% in the small intestine. Cellular [3H]misonidazole levels were significantly elevated in intestinal epithelial cells and liver zone 2 and 3 hepatocytes and Kupffer cells. This effect was most prominent in the proximal small intestine and small liver lobi. These data provide evidence that hyperthermia produces cellular hypoxia and metabolic stress in splanchnic tissues and suggest that cellular metabolic stress may contribute to radical generation during heat stress.","container-title":"American Journal of Physiology-Gastrointestinal and Liver Physiology","DOI":"10.1152/ajpgi.1999.276.5.G1195","ISSN":"0193-1857","issue":"5","note":"publisher: American Physiological Society","page":"G1195-G1203","source":"journals.physiology.org (Atypon)","title":"Splanchnic tissues undergo hypoxic stress  during whole body hyperthermia","volume":"276","author":[{"family":"Hall","given":"David M."},{"family":"Baumgardner","given":"Kirk R."},{"family":"Oberley","given":"Terry D."},{"family":"Gisolfi","given":"Carl V."}],"issued":{"date-parts":[["1999",5]]}}}],"schema":"https://github.com/citation-style-language/schema/raw/master/csl-citation.json"} </w:instrText>
      </w:r>
      <w:r>
        <w:fldChar w:fldCharType="separate"/>
      </w:r>
      <w:r w:rsidR="009237D2" w:rsidRPr="009237D2">
        <w:t>(</w:t>
      </w:r>
      <w:r w:rsidR="009237D2" w:rsidRPr="009237D2">
        <w:rPr>
          <w:i/>
          <w:iCs/>
        </w:rPr>
        <w:t>65</w:t>
      </w:r>
      <w:r w:rsidR="009237D2" w:rsidRPr="009237D2">
        <w:t>)</w:t>
      </w:r>
      <w:r>
        <w:fldChar w:fldCharType="end"/>
      </w:r>
      <w:r>
        <w:t>.</w:t>
      </w:r>
      <w:r w:rsidRPr="00765ACF">
        <w:t xml:space="preserve"> </w:t>
      </w:r>
      <w:r>
        <w:t xml:space="preserve">However, these anaerobic pathways are primarily involved in simple carbohydrate metabolism typical of facultative taxa </w:t>
      </w:r>
      <w:r>
        <w:fldChar w:fldCharType="begin"/>
      </w:r>
      <w:r w:rsidR="00FE18CB">
        <w:instrText xml:space="preserve"> ADDIN ZOTERO_ITEM CSL_CITATION {"citationID":"mHntz9tf","properties":{"formattedCitation":"({\\i{}102}, {\\i{}103})","plainCitation":"(102, 103)","noteIndex":0},"citationItems":[{"id":3719,"uris":["http://zotero.org/users/13901503/items/ZGBKX69N"],"itemData":{"id":3719,"type":"article-journal","abstract":"Antibiotic treatment disturbs the commensal microbiota and is often followed by infection with enteric pathogens such as Salmonella typhimurium and Clostridium difficile; pathogen expansion is fuelled by antibiotic-driven accumulation of commensal-liberated host mucosal carbohydrates.","container-title":"Nature","DOI":"10.1038/nature12503","ISSN":"1476-4687","issue":"7469","language":"en","license":"2013 Springer Nature Limited","note":"publisher: Nature Publishing Group","page":"96-99","source":"www-nature-com.proxy.lib.umich.edu","title":"Microbiota-liberated host sugars facilitate post-antibiotic expansion of enteric pathogens","volume":"502","author":[{"family":"Ng","given":"Katharine M."},{"family":"Ferreyra","given":"Jessica A."},{"family":"Higginbottom","given":"Steven K."},{"family":"Lynch","given":"Jonathan B."},{"family":"Kashyap","given":"Purna C."},{"family":"Gopinath","given":"Smita"},{"family":"Naidu","given":"Natasha"},{"family":"Choudhury","given":"Biswa"},{"family":"Weimer","given":"Bart C."},{"family":"Monack","given":"Denise M."},{"family":"Sonnenburg","given":"Justin L."}],"issued":{"date-parts":[["2013",10]]}}},{"id":3721,"uris":["http://zotero.org/users/13901503/items/EJEGJAPG"],"itemData":{"id":3721,"type":"article-journal","abstract":"The gut microbiota has diverse and essential roles in host metabolism, development of the immune system and as resistance to pathogen colonization. Perturbations of the gut microbiota, termed gut dysbiosis, are commonly observed in diseases involving inflammation in the gut, including inflammatory bowel disease, infection, colorectal cancer and food allergies. Importantly, the inflamed microenvironment in the gut is particularly conducive to blooms of Enterobacteriaceae, which acquire fitness benefits while other families of symbiotic bacteria succumb to environmental changes inflicted by inflammation. Here we summarize studies that examined factors in the inflamed gut that contribute to blooms of Enterobacterieaceae, and highlight potential approaches to restrict Enterobacterial blooms in treating diseases that are otherwise complicated by overgrowth of virulent Enterobacterial species in the gut.","container-title":"Mucosal Immunology","DOI":"10.1038/mi.2016.75","ISSN":"1933-0219","issue":"1","journalAbbreviation":"Mucosal Immunology","page":"18-26","source":"ScienceDirect","title":"Mechanisms of inflammation-driven bacterial dysbiosis in the gut","volume":"10","author":[{"family":"Zeng","given":"M. Y."},{"family":"Inohara","given":"N."},{"family":"Nuñez","given":"G."}],"issued":{"date-parts":[["2017",1,1]]}}}],"schema":"https://github.com/citation-style-language/schema/raw/master/csl-citation.json"} </w:instrText>
      </w:r>
      <w:r>
        <w:fldChar w:fldCharType="separate"/>
      </w:r>
      <w:r w:rsidR="00FE18CB" w:rsidRPr="00FE18CB">
        <w:t>(</w:t>
      </w:r>
      <w:r w:rsidR="00FE18CB" w:rsidRPr="00FE18CB">
        <w:rPr>
          <w:i/>
          <w:iCs/>
        </w:rPr>
        <w:t>102</w:t>
      </w:r>
      <w:r w:rsidR="00FE18CB" w:rsidRPr="00FE18CB">
        <w:t xml:space="preserve">, </w:t>
      </w:r>
      <w:r w:rsidR="00FE18CB" w:rsidRPr="00FE18CB">
        <w:rPr>
          <w:i/>
          <w:iCs/>
        </w:rPr>
        <w:t>103</w:t>
      </w:r>
      <w:r w:rsidR="00FE18CB" w:rsidRPr="00FE18CB">
        <w:t>)</w:t>
      </w:r>
      <w:r>
        <w:fldChar w:fldCharType="end"/>
      </w:r>
      <w:r>
        <w:t xml:space="preserve">, and coincide with a decline in complex polysaccharide fermentation typical of obligate taxa </w:t>
      </w:r>
      <w:r>
        <w:fldChar w:fldCharType="begin"/>
      </w:r>
      <w:r w:rsidR="00DD12D1">
        <w:instrText xml:space="preserve"> ADDIN ZOTERO_ITEM CSL_CITATION {"citationID":"6JZhxnlI","properties":{"formattedCitation":"({\\i{}38}\\uc0\\u8211{}{\\i{}40})","plainCitation":"(38–40)","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,Petra"},{"family":"Forano","given":"Evelyne","non-dropping-particle":"and"}],"issued":{"date-parts":[["2012",7,14]]}}},{"id":2223,"uris":["http://zotero.org/users/13901503/items/JD6FMNMK"],"itemData":{"id":2223,"type":"article-journal","abstract":"▪ Abstract Humans and other mammals are colonized by a vast, complex, and dynamic consortium of microorganisms. One evolutionary driving force for maintaining this metabolically active microbial society is to salvage energy from nutrients, particularly carbohydrates, that are otherwise nondigestible by the host. Much of our understanding of the molecular mechanisms by which members of the intestinal microbiota degrade complex polysaccharides comes from studies of Bacteroides thetaiotaomicron, a prominent and genetically manipulatable component of the normal human and mouse gut. Colonization of germ-free mice with B. thetaiotaomicron has shown how this anaerobe modifies many aspects of intestinal cellular differentiation/gene expression to benefit both host and microbe. These and other studies underscore the importance of understanding precisely how nutrient metabolism serves to establish and sustain symbiotic relationships between mammals and their bacterial partners.","container-title":"Annual Review of Nutrition","DOI":"10.1146/annurev.nutr.22.011602.092259","ISSN":"0199-9885, 1545-4312","issue":"Volume 22, 2002","language":"en","note":"publisher: Annual Reviews","page":"283-307","source":"www-annualreviews-org.proxy.lib.umich.edu","title":"How host-microbial interactions shape the nutrient environment of the mammalian intestine","volume":"22","author":[{"family":"Hooper","given":"Lora V."},{"family":"Midtvedt","given":"Tore"},{"family":"Gordon","given":"Jeffrey I."}],"issued":{"date-parts":[["2002",7,1]]}},"label":"page"},{"id":3537,"uris":["http://zotero.org/users/13901503/items/L2DTM48E"],"itemData":{"id":3537,"type":"article-journal","abstract":"The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diseases.","container-title":"Nutrients","DOI":"10.3390/nu7010045","ISSN":"2072-6643","issue":"1","journalAbbreviation":"Nutrients","note":"PMID: 25545102\nPMCID: PMC4303826","page":"45-73","source":"PubMed Central","title":"Understanding How Commensal Obligate Anaerobic Bacteria Regulate Immune Functions in the Large Intestine","volume":"7","author":[{"family":"Maier","given":"Eva"},{"family":"Anderson","given":"Rachel C."},{"family":"Roy","given":"Nicole C."}],"issued":{"date-parts":[["2014",12,24]]}},"label":"page"}],"schema":"https://github.com/citation-style-language/schema/raw/master/csl-citation.json"} </w:instrText>
      </w:r>
      <w:r>
        <w:fldChar w:fldCharType="separate"/>
      </w:r>
      <w:r w:rsidR="00DD12D1" w:rsidRPr="00DD12D1">
        <w:t>(</w:t>
      </w:r>
      <w:r w:rsidR="00DD12D1" w:rsidRPr="00DD12D1">
        <w:rPr>
          <w:i/>
          <w:iCs/>
        </w:rPr>
        <w:t>38</w:t>
      </w:r>
      <w:r w:rsidR="00DD12D1" w:rsidRPr="00DD12D1">
        <w:t>–</w:t>
      </w:r>
      <w:r w:rsidR="00DD12D1" w:rsidRPr="00DD12D1">
        <w:rPr>
          <w:i/>
          <w:iCs/>
        </w:rPr>
        <w:t>40</w:t>
      </w:r>
      <w:r w:rsidR="00DD12D1" w:rsidRPr="00DD12D1">
        <w:t>)</w:t>
      </w:r>
      <w:r>
        <w:fldChar w:fldCharType="end"/>
      </w:r>
      <w:r>
        <w:t xml:space="preserve">. Therefore, this shift is likely driven by the relative persistence of facultative versus obligate anaerobes at high temperatures. Since fiber fermentation creates SCFAs, which are crucial energy sources </w:t>
      </w:r>
      <w:r>
        <w:fldChar w:fldCharType="begin"/>
      </w:r>
      <w:r w:rsidR="00FE18CB">
        <w:instrText xml:space="preserve"> ADDIN ZOTERO_ITEM CSL_CITATION {"citationID":"GyT07F19","properties":{"formattedCitation":"({\\i{}104})","plainCitation":"(104)","noteIndex":0},"citationItems":[{"id":3688,"uris":["http://zotero.org/users/13901503/items/45UWS9R3"],"itemData":{"id":3688,"type":"article-journal","container-title":"Cell Metabolism","DOI":"10.1016/j.cmet.2011.02.018","ISSN":"1550-4131","issue":"5","journalAbbreviation":"Cell Metabolism","language":"English","note":"publisher: Elsevier\nPMID: 21531334","page":"517-526","source":"www.cell.com","title":"The Microbiome and Butyrate Regulate Energy Metabolism and Autophagy in the Mammalian Colon","volume":"13","author":[{"family":"Donohoe","given":"Dallas R."},{"family":"Garge","given":"Nikhil"},{"family":"Zhang","given":"Xinxin"},{"family":"Sun","given":"Wei"},{"family":"O'Connell","given":"Thomas M."},{"family":"Bunger","given":"Maureen K."},{"family":"Bultman","given":"Scott J."}],"issued":{"date-parts":[["2011",5,4]]}}}],"schema":"https://github.com/citation-style-language/schema/raw/master/csl-citation.json"} </w:instrText>
      </w:r>
      <w:r>
        <w:fldChar w:fldCharType="separate"/>
      </w:r>
      <w:r w:rsidR="00FE18CB" w:rsidRPr="00FE18CB">
        <w:t>(</w:t>
      </w:r>
      <w:r w:rsidR="00FE18CB" w:rsidRPr="00FE18CB">
        <w:rPr>
          <w:i/>
          <w:iCs/>
        </w:rPr>
        <w:t>104</w:t>
      </w:r>
      <w:r w:rsidR="00FE18CB" w:rsidRPr="00FE18CB">
        <w:t>)</w:t>
      </w:r>
      <w:r>
        <w:fldChar w:fldCharType="end"/>
      </w:r>
      <w:r>
        <w:t xml:space="preserve"> and immunomodulators </w:t>
      </w:r>
      <w:r>
        <w:fldChar w:fldCharType="begin"/>
      </w:r>
      <w:r w:rsidR="00DD12D1">
        <w:instrText xml:space="preserve"> ADDIN ZOTERO_ITEM CSL_CITATION {"citationID":"QFFOlCEu","properties":{"formattedCitation":"({\\i{}42}, {\\i{}43})","plainCitation":"(42, 43)","noteIndex":0},"citationItems":[{"id":3264,"uris":["http://zotero.org/users/13901503/items/8XXJ4CBR"],"itemData":{"id":3264,"type":"article-journal","abstract":"The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fldChar w:fldCharType="separate"/>
      </w:r>
      <w:r w:rsidR="00DD12D1" w:rsidRPr="00DD12D1">
        <w:t>(</w:t>
      </w:r>
      <w:r w:rsidR="00DD12D1" w:rsidRPr="00DD12D1">
        <w:rPr>
          <w:i/>
          <w:iCs/>
        </w:rPr>
        <w:t>42</w:t>
      </w:r>
      <w:r w:rsidR="00DD12D1" w:rsidRPr="00DD12D1">
        <w:t xml:space="preserve">, </w:t>
      </w:r>
      <w:r w:rsidR="00DD12D1" w:rsidRPr="00DD12D1">
        <w:rPr>
          <w:i/>
          <w:iCs/>
        </w:rPr>
        <w:t>43</w:t>
      </w:r>
      <w:r w:rsidR="00DD12D1" w:rsidRPr="00DD12D1">
        <w:t>)</w:t>
      </w:r>
      <w:r>
        <w:fldChar w:fldCharType="end"/>
      </w:r>
      <w:r>
        <w:t xml:space="preserve">, extended periods of high temperatures may eventually cause a decline in overall energy availability and affect immune function. While these metabolic shifts suggest that capuchin gut microbes actively respond to heat in ways that may support short-term community stability, the decline in membrane repair and inferred loss of obligate fermenters indicate that this response is unlikely to be sustainable over longer periods of high temperatures. </w:t>
      </w:r>
    </w:p>
    <w:p w14:paraId="248F2987" w14:textId="7D9E6AE7" w:rsidR="00632E94" w:rsidRDefault="00230DAD" w:rsidP="00D4726B">
      <w:pPr>
        <w:ind w:firstLine="720"/>
      </w:pPr>
      <w:r>
        <w:t xml:space="preserve">The taxonomic response to temperature suggests that changes in gut physiology at high temperatures affect the persistence of obligate anaerobes compared to facultative anaerobes. There are broad declines in two phyla known to include obligate anaerobes, </w:t>
      </w:r>
      <w:proofErr w:type="spellStart"/>
      <w:r>
        <w:t>Bacteroidota</w:t>
      </w:r>
      <w:proofErr w:type="spellEnd"/>
      <w:r>
        <w:t xml:space="preserve"> and Firmicutes, including </w:t>
      </w:r>
      <w:r w:rsidRPr="0096051B">
        <w:t xml:space="preserve">essential obligate taxa such as </w:t>
      </w:r>
      <w:r w:rsidRPr="0096051B">
        <w:rPr>
          <w:i/>
          <w:iCs/>
        </w:rPr>
        <w:t xml:space="preserve">Bacteroides, Parabacteroides, Clostridium, </w:t>
      </w:r>
      <w:proofErr w:type="spellStart"/>
      <w:r w:rsidRPr="0096051B">
        <w:rPr>
          <w:i/>
          <w:iCs/>
        </w:rPr>
        <w:t>Ruminococcus</w:t>
      </w:r>
      <w:proofErr w:type="spellEnd"/>
      <w:r w:rsidRPr="0096051B">
        <w:rPr>
          <w:i/>
          <w:iCs/>
        </w:rPr>
        <w:t xml:space="preserve">, Eubacterium, </w:t>
      </w:r>
      <w:proofErr w:type="spellStart"/>
      <w:r w:rsidRPr="0096051B">
        <w:rPr>
          <w:i/>
          <w:iCs/>
        </w:rPr>
        <w:t>Blautia</w:t>
      </w:r>
      <w:proofErr w:type="spellEnd"/>
      <w:r w:rsidRPr="0096051B">
        <w:rPr>
          <w:i/>
          <w:iCs/>
        </w:rPr>
        <w:t xml:space="preserve">, </w:t>
      </w:r>
      <w:proofErr w:type="spellStart"/>
      <w:r w:rsidRPr="0096051B">
        <w:rPr>
          <w:i/>
          <w:iCs/>
        </w:rPr>
        <w:t>Anaerostipes</w:t>
      </w:r>
      <w:proofErr w:type="spellEnd"/>
      <w:r w:rsidRPr="0096051B">
        <w:rPr>
          <w:i/>
          <w:iCs/>
        </w:rPr>
        <w:t xml:space="preserve">, </w:t>
      </w:r>
      <w:r w:rsidRPr="0096051B">
        <w:t>and</w:t>
      </w:r>
      <w:r w:rsidRPr="0096051B">
        <w:rPr>
          <w:i/>
          <w:iCs/>
        </w:rPr>
        <w:t xml:space="preserve"> </w:t>
      </w:r>
      <w:proofErr w:type="spellStart"/>
      <w:r w:rsidRPr="0096051B">
        <w:rPr>
          <w:i/>
          <w:iCs/>
        </w:rPr>
        <w:t>Alistipes</w:t>
      </w:r>
      <w:proofErr w:type="spellEnd"/>
      <w:r w:rsidRPr="0096051B">
        <w:rPr>
          <w:i/>
          <w:iCs/>
        </w:rPr>
        <w:t xml:space="preserve"> </w:t>
      </w:r>
      <w:r w:rsidRPr="0096051B">
        <w:t>(Fig 2).</w:t>
      </w:r>
      <w:r>
        <w:rPr>
          <w:i/>
          <w:iCs/>
        </w:rPr>
        <w:t xml:space="preserve"> </w:t>
      </w:r>
      <w:r>
        <w:t xml:space="preserve">In contrast, Proteobacteria, comprised of primarily facultative taxa </w:t>
      </w:r>
      <w:r>
        <w:fldChar w:fldCharType="begin"/>
      </w:r>
      <w:r w:rsidR="00DD12D1">
        <w:instrText xml:space="preserve"> ADDIN ZOTERO_ITEM CSL_CITATION {"citationID":"5ZCM5sNZ","properties":{"formattedCitation":"({\\i{}36}, {\\i{}37})","plainCitation":"(36, 37)","noteIndex":0},"citationItems":[{"id":3399,"uris":["http://zotero.org/users/13901503/items/9SHPRSI6"],"itemData":{"id":3399,"type":"article-journal","abstract":"Background &amp; Aims\nThe gut microbiota is a complex and densely populated community in a dynamic environment determined by host physiology. We investigated how intestinal oxygen levels affect the composition of the fecal and mucosally adherent microbiota.\nMethods\nWe used the phosphorescence quenching method and a specially designed intraluminal oxygen probe to dynamically quantify gut luminal oxygen levels in mice. 16S ribosomal RNA gene sequencing was used to characterize the microbiota in intestines of mice exposed to hyperbaric oxygen, human rectal biopsy and mucosal swab samples, and paired human stool samples.\nResults\nAverage Po2 values in the lumen of the cecum were extremely low (&lt;1 mm Hg). In altering oxygenation of mouse intestines, we observed that oxygen diffused from intestinal tissue and established a radial gradient that extended from the tissue interface into the lumen. Increasing tissue oxygenation with hyperbaric oxygen altered the composition of the gut microbiota in mice. In human beings, 16S ribosomal RNA gene analyses showed an increased proportion of oxygen-tolerant organisms of the Proteobacteria and Actinobacteria phyla associated with rectal mucosa, compared with feces. A consortium of asaccharolytic bacteria of the Firmicute and Bacteroidetes phyla, which primarily metabolize peptones and amino acids, was associated primarily with mucus. This could be owing to the presence of proteinaceous substrates provided by mucus and the shedding of the intestinal epithelium.\nConclusions\nIn an analysis of intestinal microbiota of mice and human beings, we observed a radial gradient of microbes linked to the distribution of oxygen and nutrients provided by host tissue.","container-title":"Gastroenterology","DOI":"10.1053/j.gastro.2014.07.020","ISSN":"0016-5085","issue":"5","journalAbbreviation":"Gastroenterology","page":"1055-1063.e8","source":"ScienceDirect","title":"Correlation Between Intraluminal Oxygen Gradient and Radial Partitioning of Intestinal Microbiota","volume":"147","author":[{"family":"Albenberg","given":"Lindsey"},{"family":"Esipova","given":"Tatiana V."},{"family":"Judge","given":"Colleen P."},{"family":"Bittinger","given":"Kyle"},{"family":"Chen","given":"Jun"},{"family":"Laughlin","given":"Alice"},{"family":"Grunberg","given":"Stephanie"},{"family":"Baldassano","given":"Robert N."},{"family":"Lewis","given":"James D."},{"family":"Li","given":"Hongzhe"},{"family":"Thom","given":"Stephen R."},{"family":"Bushman","given":"Frederic D."},{"family":"Vinogradov","given":"Sergei A."},{"family":"Wu","given":"Gary D."}],"issued":{"date-parts":[["2014",11,1]]}}},{"id":3636,"uris":["http://zotero.org/users/13901503/items/26FYIIWM"],"itemData":{"id":3636,"type":"article-journal","abstract":"Recent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fldChar w:fldCharType="separate"/>
      </w:r>
      <w:r w:rsidR="00DD12D1" w:rsidRPr="00DD12D1">
        <w:t>(</w:t>
      </w:r>
      <w:r w:rsidR="00DD12D1" w:rsidRPr="00DD12D1">
        <w:rPr>
          <w:i/>
          <w:iCs/>
        </w:rPr>
        <w:t>36</w:t>
      </w:r>
      <w:r w:rsidR="00DD12D1" w:rsidRPr="00DD12D1">
        <w:t xml:space="preserve">, </w:t>
      </w:r>
      <w:r w:rsidR="00DD12D1" w:rsidRPr="00DD12D1">
        <w:rPr>
          <w:i/>
          <w:iCs/>
        </w:rPr>
        <w:t>37</w:t>
      </w:r>
      <w:r w:rsidR="00DD12D1" w:rsidRPr="00DD12D1">
        <w:t>)</w:t>
      </w:r>
      <w:r>
        <w:fldChar w:fldCharType="end"/>
      </w:r>
      <w:r>
        <w:t xml:space="preserve">, are relatively stable in response to rising temperatures. These patterns mirror compositional changes in response to heat stress in a wide range of vertebrates [e.g., fish </w:t>
      </w:r>
      <w:r>
        <w:fldChar w:fldCharType="begin"/>
      </w:r>
      <w:r w:rsidR="00FE18CB">
        <w:instrText xml:space="preserve"> ADDIN ZOTERO_ITEM CSL_CITATION {"citationID":"25zGiPQC","properties":{"formattedCitation":"({\\i{}105}, {\\i{}106})","plainCitation":"(105, 106)","noteIndex":0},"citationItems":[{"id":2229,"uris":["http://zotero.org/users/13901503/items/J3568CMW"],"itemData":{"id":2229,"type":"article-journal","abstract":"We investigated the changes in the faecal microbial population of the hindgut of farmed Atlantic salmon fed two commercial diets (A and B) over a 10-month period. At each sampling round, hindgut contents of 40 fish (20 per diet) were pooled according to diet and cultivated on selective agar. The functional status of all microbiota was assessed against 48 substrates using the PhPlate generalized microplate, which also yielded a metabolic capacity (MC) value for each microbiota. Virulence gene profiles of each microbiota were also investigated. The number of different bacterial groups between two diets varied slightly and increased as water temperature peaked at 18.5°C during summer. This however, was associated with an increase in Vibrio numbers and a decrease in lactic acid bacterial numbers. A shift in the functional status of gut microbiota was observed as temperature increased, which was coupled with a decrease in the MC-value of the microbiota in both diets. Of the 35 virulence genes tested from total DNA extract of the microbiota, only cdt and east1 were detected. Results indicate that temperature is the main driver of changes to the gut microbiota in farmed Tasmanian Atlantic salmon receiving these two diets.","container-title":"Aquaculture Research","DOI":"10.1111/are.12522","ISSN":"1365-2109","issue":"2","language":"en","license":"© 2014 John Wiley &amp; Sons Ltd","note":"_eprint: https://onlinelibrary.wiley.com/doi/pdf/10.1111/are.12522","page":"660-672","source":"Wiley Online Library","title":"The effect of diet and environmental temperature on the faecal microbiota of farmed Tasmanian Atlantic Salmon (almo salar L.)","volume":"47","author":[{"family":"Neuman","given":"Christina"},{"family":"Hatje","given":"Eva"},{"family":"Zarkasi","given":"Kamarul Z"},{"family":"Smullen","given":"Richard"},{"family":"Bowman","given":"John P"},{"family":"Katouli","given":"Mohammad"}],"issued":{"date-parts":[["2016"]]}}},{"id":2232,"uris":["http://zotero.org/users/13901503/items/TL348YX4"],"itemData":{"id":2232,"type":"article-journal","abstract":"Gut microbiota plays a determining role in the health status of the host. In general, a beneficial bacterial community, associated with a greater metabolic capacity and wellbeing, shows high values of species richness and relative abundance. Because environmental temperature is a regulating factor in fish physiological and metabolic processes, it is very important to understand the effect of environmental temperature on diversity and richness of gut microbiota in poikilothermic organisms. This study analysed the reciprocal diet-temperature correlations in the faecal microbiota diversity in Seriola lalandi. Juveniles were acclimated at 20 °C and 26 °C for 30 days; in addition, the fish were fed three diets with three levels of lipid inclusion (7%, 14% and 21%). Faecal microbiota in S. lalandi was characterized using the high-throughput sequencing approach based on the V3 region of the 16S rRNA gene. The most abundant phyla identified in this study were Proteobacteria, Actinobacteria, Bacteroidetes and Firmicutes. A significant change was observed in faecal microbiota in relation to acclimation temperature. The results indicated that species richness was modified in relation to the environmental temperatures; the Operational Taxonomic Units (OTUs) identified in fish acclimated at 26 °C belonged to the families Pseudomonadacea, Alcaligenaceae and Microbacteriaceae whereas those identified at 20 °C were Micavibrio, Comamonadaceae and Saprospiraceae. Furthermore, significant differences were observed between the OTUs identified in the dietary treatments, in which Actinobacteria (7% lipid), Gammaproteobacteria (14% lipid), Betaproteobacteria (21% lipid), and Flavobacteria (skretting diet) were the phyla preferentially identified from each treatment. The results obtained in this study demonstrated the importance of environmental temperature to maintain a balance in intestinal microbiota, as well as the effects of diet composition on proliferation of different microbial groups with respect to thermal induction.","container-title":"Aquaculture","DOI":"10.1016/j.aquaculture.2018.07.065","ISSN":"0044-8486","journalAbbreviation":"Aquaculture","page":"269-277","source":"ScienceDirect","title":"Effect of temperature and dietary lipid proportion on gut microbiota in yellowtail kingfish &lt;i&gt;Seriola lalandi&lt;/i&gt; juveniles","volume":"497","author":[{"family":"Soriano","given":"Ernesto Larios"},{"family":"Ramírez","given":"Dariel Tovar"},{"family":"Araujo","given":"Denise Re"},{"family":"Gómez-Gil","given":"Bruno"},{"family":"Castro","given":"Leonardo Ibarra"},{"family":"Sánchez","given":"Clara Galindo"}],"issued":{"date-parts":[["2018",12,1]]}}}],"schema":"https://github.com/citation-style-language/schema/raw/master/csl-citation.json"} </w:instrText>
      </w:r>
      <w:r>
        <w:fldChar w:fldCharType="separate"/>
      </w:r>
      <w:r w:rsidR="00FE18CB" w:rsidRPr="00FE18CB">
        <w:t>(</w:t>
      </w:r>
      <w:r w:rsidR="00FE18CB" w:rsidRPr="00FE18CB">
        <w:rPr>
          <w:i/>
          <w:iCs/>
        </w:rPr>
        <w:t>105</w:t>
      </w:r>
      <w:r w:rsidR="00FE18CB" w:rsidRPr="00FE18CB">
        <w:t xml:space="preserve">, </w:t>
      </w:r>
      <w:r w:rsidR="00FE18CB" w:rsidRPr="00FE18CB">
        <w:rPr>
          <w:i/>
          <w:iCs/>
        </w:rPr>
        <w:t>106</w:t>
      </w:r>
      <w:r w:rsidR="00FE18CB" w:rsidRPr="00FE18CB">
        <w:t>)</w:t>
      </w:r>
      <w:r>
        <w:fldChar w:fldCharType="end"/>
      </w:r>
      <w:r>
        <w:t xml:space="preserve">, reptiles </w:t>
      </w:r>
      <w:r>
        <w:fldChar w:fldCharType="begin"/>
      </w:r>
      <w:r w:rsidR="00DD12D1">
        <w:instrText xml:space="preserve"> ADDIN ZOTERO_ITEM CSL_CITATION {"citationID":"XZMcVBqo","properties":{"formattedCitation":"({\\i{}33}, {\\i{}49})","plainCitation":"(33, 49)","noteIndex":0},"citationItems":[{"id":1961,"uris":["http://zotero.org/users/13901503/items/UL2CLBKR"],"itemData":{"id":1961,"type":"article-journal","abstract":"Climate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fldChar w:fldCharType="separate"/>
      </w:r>
      <w:r w:rsidR="00DD12D1" w:rsidRPr="00DD12D1">
        <w:t>(</w:t>
      </w:r>
      <w:r w:rsidR="00DD12D1" w:rsidRPr="00DD12D1">
        <w:rPr>
          <w:i/>
          <w:iCs/>
        </w:rPr>
        <w:t>33</w:t>
      </w:r>
      <w:r w:rsidR="00DD12D1" w:rsidRPr="00DD12D1">
        <w:t xml:space="preserve">, </w:t>
      </w:r>
      <w:r w:rsidR="00DD12D1" w:rsidRPr="00DD12D1">
        <w:rPr>
          <w:i/>
          <w:iCs/>
        </w:rPr>
        <w:t>49</w:t>
      </w:r>
      <w:r w:rsidR="00DD12D1" w:rsidRPr="00DD12D1">
        <w:t>)</w:t>
      </w:r>
      <w:r>
        <w:fldChar w:fldCharType="end"/>
      </w:r>
      <w:r>
        <w:t xml:space="preserve">, amphibians, birds </w:t>
      </w:r>
      <w:r>
        <w:fldChar w:fldCharType="begin"/>
      </w:r>
      <w:r w:rsidR="00DD12D1">
        <w:instrText xml:space="preserve"> ADDIN ZOTERO_ITEM CSL_CITATION {"citationID":"o7W8eHcU","properties":{"formattedCitation":"({\\i{}21})","plainCitation":"(21)","noteIndex":0},"citationItems":[{"id":1972,"uris":["http://zotero.org/users/13901503/items/Z3WTZJPU"],"itemData":{"id":1972,"type":"article-journal","abstract":"Chicken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sidR="00DD12D1" w:rsidRPr="00DD12D1">
        <w:t>(</w:t>
      </w:r>
      <w:r w:rsidR="00DD12D1" w:rsidRPr="00DD12D1">
        <w:rPr>
          <w:i/>
          <w:iCs/>
        </w:rPr>
        <w:t>21</w:t>
      </w:r>
      <w:r w:rsidR="00DD12D1" w:rsidRPr="00DD12D1">
        <w:t>)</w:t>
      </w:r>
      <w:r>
        <w:fldChar w:fldCharType="end"/>
      </w:r>
      <w:r>
        <w:t xml:space="preserve">, and mammals </w:t>
      </w:r>
      <w:r>
        <w:fldChar w:fldCharType="begin"/>
      </w:r>
      <w:r w:rsidR="00FE18CB">
        <w:instrText xml:space="preserve"> ADDIN ZOTERO_ITEM CSL_CITATION {"citationID":"QftC6azE","properties":{"formattedCitation":"({\\i{}107})","plainCitation":"(107)","noteIndex":0},"citationItems":[{"id":1959,"uris":["http://zotero.org/users/13901503/items/ZXQ5TW3X"],"itemData":{"id":1959,"type":"article-journal","abstract":"Summary Numerous studies have investigated the effects of diet, phylogeny and immune status on the gut microbial communities of animals. Most of these studies are conducted on endotherms, especially mammals, which maintain constant body temperature in the face of environmental temperature variability. However, the majority of animals and vertebrates are ectotherms, which often experience fluctuations in body temperature as a result of their environment. While there have been several studies investigating the gut microbial diversity of ectotherms, we lack an understanding of how environmental temperature affects these communities. Here, we used high-throughput sequencing to inventory the gut microbial communities of tadpoles exposed to cool (18°C) or warm (28°C) temperature treatments. We found that temperature significantly impacted the community structure and membership of the tadpole gut. Specifically, tadpoles in the warm treatment exhibited higher abundances of the phylum Planctomycetes and the genus Mycobacterium. These results may be due to the direct effects of temperature, or mediated through changes in host physiology. Given that environmental temperatures are expected to increase due to global climate change, understanding the effects of temperature on the diversity and function of gut microbial communities is critical.","container-title":"Environmental Microbiology","DOI":"10.1111/1462-2920.13255","ISSN":"1462-2912","issue":"5","note":"publisher: John Wiley &amp; Sons, Ltd","page":"1561-1565","source":"enviromicro-journals-onlinelibrary-wiley-com.proxy.lib.umich.edu (Atypon)","title":"Effects of environmental temperature on the gut microbial communities of tadpoles","volume":"18","author":[{"family":"Kohl","given":"Kevin D."},{"family":"Yahn","given":"Jeremiah"}],"issued":{"date-parts":[["2016",5]]}}}],"schema":"https://github.com/citation-style-language/schema/raw/master/csl-citation.json"} </w:instrText>
      </w:r>
      <w:r>
        <w:fldChar w:fldCharType="separate"/>
      </w:r>
      <w:r w:rsidR="00FE18CB" w:rsidRPr="00FE18CB">
        <w:t>(</w:t>
      </w:r>
      <w:r w:rsidR="00FE18CB" w:rsidRPr="00FE18CB">
        <w:rPr>
          <w:i/>
          <w:iCs/>
        </w:rPr>
        <w:t>107</w:t>
      </w:r>
      <w:r w:rsidR="00FE18CB" w:rsidRPr="00FE18CB">
        <w:t>)</w:t>
      </w:r>
      <w:r>
        <w:fldChar w:fldCharType="end"/>
      </w:r>
      <w:r>
        <w:t xml:space="preserve">]. The decrease in obligate anaerobes is likely due to redox imbalance induced by high temperatures, where the production of reactive oxygen species (ROS) exceeds the antioxidant capacity of the gut environment. Obligate anaerobes possess limited enzymatic defenses against ROS, and are therefore less able to tolerate changes in the oxygen environment compared to facultative taxa </w:t>
      </w:r>
      <w:r>
        <w:fldChar w:fldCharType="begin"/>
      </w:r>
      <w:r w:rsidR="00DD12D1">
        <w:instrText xml:space="preserve"> ADDIN ZOTERO_ITEM CSL_CITATION {"citationID":"aCXnpG9t","properties":{"formattedCitation":"({\\i{}34}, {\\i{}35})","plainCitation":"(34, 35)","noteIndex":0},"citationItems":[{"id":3598,"uris":["http://zotero.org/users/13901503/items/AT42KT3B"],"itemData":{"id":3598,"type":"article-journal","abstract":"It has been unclear whether superoxide and/or hydrogen peroxide play important roles in the phenomenon of obligate anaerobiosis. This question was explored using Bacteroides thetaiotaomicron, a major fermentative bacterium in the human gastrointestinal tract. Aeration inactivated two enzyme families—[4Fe-4S] dehydratases and nonredox mononuclear iron enzymes—whose homologs, in contrast, remain active in aerobic Escherichia coli. Inactivation-rate measurements of one such enzyme, B. thetaiotaomicron fumarase, showed that it is no more intrinsically sensitive to oxidants than is an E. coli fumarase. Indeed, when the E. coli enzymes were expressed in B. thetaiotaomicron, they no longer could tolerate aeration; conversely, the B. thetaiotaomicron enzymes maintained full activity when expressed in aerobic E. coli. Thus, the aerobic inactivation of the B. thetaiotaomicron enzymes is a feature of their intracellular environment rather than of the enzymes themselves. B. thetaiotaomicron possesses superoxide dismutase and peroxidases, and it can repair damaged enzymes. However, measurements confirmed that the rate of reactive oxygen species production inside aerated B. thetaiotaomicron is far higher than in E. coli. Analysis of the damaged enzymes recovered from aerated B. thetaiotaomicron suggested that they had been inactivated by superoxide rather than by hydrogen peroxide. Accordingly, overproduction of superoxide dismutase substantially protected the enzymes from aeration. We conclude that when this anaerobe encounters oxygen, its internal superoxide levels rise high enough to inactivate key catabolic and biosynthetic enzymes. Superoxide thus comprises a major element of the oxygen sensitivity of this anaerobe. The extent to which molecular oxygen exerts additional direct effects remains to be determined.","container-title":"Proceedings of the National Academy of Sciences","DOI":"10.1073/pnas.1800120115","issue":"14","note":"publisher: Proceedings of the National Academy of Sciences","page":"E3266-E3275","source":"www-pnas-org.proxy.lib.umich.edu (Atypon)","title":"Endogenous superoxide is a key effector of the oxygen sensitivity of a model obligate anaerobe","volume":"115","author":[{"family":"Lu","given":"Zheng"},{"family":"Sethu","given":"Ramakrishnan"},{"family":"Imlay","given":"James A."}],"issued":{"date-parts":[["2018",4,3]]}}},{"id":3602,"uris":["http://zotero.org/users/13901503/items/XVIRKXQ2"],"itemData":{"id":3602,"type":"article-journal","abstract":"The distribution of catalase and superoxide dismutase has been examined in various micro-organisms. Strict anaerobes exhibited no superoxide dismutase and, generally, no catalase activity. All aerobic organisms containing cytochrome systems were found to contain both superoxide dismutase and catalase. Aerotolerant anaerobes, which survive exposure to air and metabolize oxygen to a limited extent but do not contain cytochrome systems, were found to be devoid of catalase activity but did exhibit superoxide dismutase activity. This distribution is consistent with the proposal that the prime physiological function of superoxide dismutase is protection of oxygen-metabolizing organisms against the potentially detrimental effects of the superoxide free radical, a biologically produced intermediate resulting from the univalent reduction of molecular oxygen.","container-title":"Proceedings of the National Academy of Sciences","DOI":"10.1073/pnas.68.5.1024","issue":"5","note":"publisher: Proceedings of the National Academy of Sciences","page":"1024-1027","source":"www-pnas-org.proxy.lib.umich.edu (Atypon)","title":"An Enzyme-Based Theory of Obligate Anaerobiosis: The Physiological Function of Superoxide Dismutase","title-short":"An Enzyme-Based Theory of Obligate Anaerobiosis","volume":"68","author":[{"family":"McCord","given":"Joe M."},{"family":"Keele","given":"Bernard B."},{"family":"Fridovich","given":"Irwin"}],"issued":{"date-parts":[["1971",5]]}}}],"schema":"https://github.com/citation-style-language/schema/raw/master/csl-citation.json"} </w:instrText>
      </w:r>
      <w:r>
        <w:fldChar w:fldCharType="separate"/>
      </w:r>
      <w:r w:rsidR="00DD12D1" w:rsidRPr="00DD12D1">
        <w:t>(</w:t>
      </w:r>
      <w:r w:rsidR="00DD12D1" w:rsidRPr="00DD12D1">
        <w:rPr>
          <w:i/>
          <w:iCs/>
        </w:rPr>
        <w:t>34</w:t>
      </w:r>
      <w:r w:rsidR="00DD12D1" w:rsidRPr="00DD12D1">
        <w:t xml:space="preserve">, </w:t>
      </w:r>
      <w:r w:rsidR="00DD12D1" w:rsidRPr="00DD12D1">
        <w:rPr>
          <w:i/>
          <w:iCs/>
        </w:rPr>
        <w:t>35</w:t>
      </w:r>
      <w:r w:rsidR="00DD12D1" w:rsidRPr="00DD12D1">
        <w:t>)</w:t>
      </w:r>
      <w:r>
        <w:fldChar w:fldCharType="end"/>
      </w:r>
      <w:r>
        <w:t>. Although direct markers of redox balance are needed to assess the gut’s redox environment, the observed decline in redox-maintenance pathways</w:t>
      </w:r>
      <w:r w:rsidR="00396DB1">
        <w:t xml:space="preserve"> (Fig 3C)</w:t>
      </w:r>
      <w:r>
        <w:t xml:space="preserve"> suggests that rising temperatures impair microbial antioxidant capacity, which can disrupt the redox environment </w:t>
      </w:r>
      <w:r>
        <w:fldChar w:fldCharType="begin"/>
      </w:r>
      <w:r w:rsidR="00DD12D1">
        <w:instrText xml:space="preserve"> ADDIN ZOTERO_ITEM CSL_CITATION {"citationID":"zM9vvOjp","properties":{"formattedCitation":"({\\i{}26}\\uc0\\u8211{}{\\i{}28})","plainCitation":"(26–28)","noteIndex":0},"citationItems":[{"id":3255,"uris":["http://zotero.org/users/13901503/items/FQ9APYWZ"],"itemData":{"id":3255,"type":"article-journal","abstract":"The human gastrointestinal tract is home to a complex microbial community that plays an important role in the general well-being of the entire organism. The gut microbiota generates a variety of metabolites and thereby regulates many biological processes, such as the regulation of the immune system. In the gut, bacteria are in direct contact with the host. The major challenge here is to prevent unwanted inflammatory reactions on one hand and on the other hand to ensure that the immune system can be activated when pathogens invade. Here the REDOX equilibrium is of utmost importance. This REDOX equilibrium is controlled by the microbiota either directly or indirectly via bacterial-derived metabolites. A balanced microbiome sorts for a stable REDOX balance, whereas dysbiosis destabilizes this equilibrium. An imbalanced REDOX status directly affects the immune system by disrupting intracellular signaling and promoting inflammatory responses. Here we (i) focus on the most common reactive oxygen species (ROS) and (ii) define the transition from a balanced REDOX state to oxidative stress. Further, we (iii) describe the role of ROS in regulating the immune system and inflammatory responses. Thereafter, we (iv) examine the influence of microbiota on REDOX homeostasis and how shifts in pro- and anti-oxidative cellular conditions can suppress or promote immune responses or inflammation.","container-title":"Biomedicines","DOI":"10.3390/biomedicines11051388","ISSN":"2227-9059","issue":"5","journalAbbreviation":"Biomedicines","note":"PMID: 37239059\nPMCID: PMC10216031","page":"1388","source":"PubMed Central","title":"The Influence of Gut Microbiota on Oxidative Stress and the Immune System","volume":"11","author":[{"family":"Kunst","given":"Claudia"},{"family":"Schmid","given":"Stephan"},{"family":"Michalski","given":"Marlen"},{"family":"Tümen","given":"Deniz"},{"family":"Buttenschön","given":"Jonas"},{"family":"Müller","given":"Martina"},{"family":"Gülow","given":"Karsten"}],"issued":{"date-parts":[["2023",5,8]]}}},{"id":3297,"uris":["http://zotero.org/users/13901503/items/LKCDGAMP"],"itemData":{"id":3297,"type":"article-journal","abstract":"Recent studies have indicated that gut microbiota-mediated oxidative stress is significantly associated with intestinal diseases such as colorectal cancer, ulcerative colitis, and Crohn’s disease. The level of reactive oxygen species (ROS) has been reported to increase when the gut microbiota is dysregulated, especially when several gut bacterial metabolites are present. Although healthy gut microbiota plays a vital role in defending against excessive oxidative stress, intestinal disease is significantly influenced by excessive ROS, and this process is controlled by gut microbiota-mediated immunological responses, DNA damage, and intestinal inflammation. In this review, we discuss the relationship between gut microbiota and intestinal disease from an oxidative stress perspective. In addition, we also provide a summary of the most recent therapeutic approaches for preventing or treating intestinal diseases by modifying gut microbiota.","container-title":"Frontiers in Microbiology","DOI":"10.3389/fmicb.2024.1328324","ISSN":"1664-302X","journalAbbreviation":"Front. Microbiol.","language":"English","note":"publisher: Frontiers","source":"Frontiers","title":"The role of gut microbiota in intestinal disease: from an oxidative stress perspective","title-short":"The role of gut microbiota in intestinal disease","URL":"https://www.frontiersin.org/journals/microbiology/articles/10.3389/fmicb.2024.1328324/full","volume":"15","author":[{"family":"Sun","given":"Yiqi"},{"family":"Wang","given":"Xurui"},{"family":"Li","given":"Lei"},{"family":"Zhong","given":"Chao"},{"family":"Zhang","given":"Yu"},{"family":"Yang","given":"Xiangdong"},{"family":"Li","given":"Mingyue"},{"family":"Yang","given":"Chao"}],"accessed":{"date-parts":[["2025",5,12]]},"issued":{"date-parts":[["2024",2,14]]}}},{"id":3328,"uris":["http://zotero.org/users/13901503/items/R2W8Z2FT"],"itemData":{"id":3328,"type":"article-journal","abstract":"Changes in the gut microbiota and the mitochondrial genome are both linked with the development of disease. To investigate why, we examined the gut microbiota of mice harboring various mutations in genes that alter mitochondrial function. These studies revealed that mitochondrial genetic variations altered the composition of the gut microbiota community. In cross-fostering studies, we found that although the initial microbiota community of newborn mice was that obtained from the nursing mother, the microbiota community progressed toward that characteristic of the microbiome of unfostered pups of the same genotype within 2 months. Analysis of the mitochondrial DNA variants associated with altered gut microbiota suggested that microbiome species diversity correlated with host reactive oxygen species (ROS) production. To determine whether the abundance of ROS could alter the gut microbiota, mice were aged, treated with N-acetylcysteine, or engineered to express the ROS scavenger catalase specifically within the mitochondria. All three conditions altered the microbiota from that initially established. Thus, these data suggest that the mitochondrial genotype modulates both ROS production and the species diversity of the gut microbiome, implying that the connection between the gut microbiome and common disease phenotypes might be due to underlying changes in mitochondrial function.","container-title":"Science Signaling","DOI":"10.1126/scisignal.aaw3159","issue":"588","note":"publisher: American Association for the Advancement of Science","page":"eaaw3159","source":"www-science-org.proxy.lib.umich.edu (Atypon)","title":"Host mitochondria influence gut microbiome diversity: A role for ROS","title-short":"Host mitochondria influence gut microbiome diversity","volume":"12","author":[{"family":"Yardeni","given":"Tal"},{"family":"Tanes","given":"Ceylan E."},{"family":"Bittinger","given":"Kyle"},{"family":"Mattei","given":"Lisa M."},{"family":"Schaefer","given":"Patrick M."},{"family":"Singh","given":"Larry N."},{"family":"Wu","given":"Gary D."},{"family":"Murdock","given":"Deborah G."},{"family":"Wallace","given":"Douglas C."}],"issued":{"date-parts":[["2019",7,2]]}}}],"schema":"https://github.com/citation-style-language/schema/raw/master/csl-citation.json"} </w:instrText>
      </w:r>
      <w:r>
        <w:fldChar w:fldCharType="separate"/>
      </w:r>
      <w:r w:rsidR="00DD12D1" w:rsidRPr="00DD12D1">
        <w:t>(</w:t>
      </w:r>
      <w:r w:rsidR="00DD12D1" w:rsidRPr="00DD12D1">
        <w:rPr>
          <w:i/>
          <w:iCs/>
        </w:rPr>
        <w:t>26</w:t>
      </w:r>
      <w:r w:rsidR="00DD12D1" w:rsidRPr="00DD12D1">
        <w:t>–</w:t>
      </w:r>
      <w:r w:rsidR="00DD12D1" w:rsidRPr="00DD12D1">
        <w:rPr>
          <w:i/>
          <w:iCs/>
        </w:rPr>
        <w:t>28</w:t>
      </w:r>
      <w:r w:rsidR="00DD12D1" w:rsidRPr="00DD12D1">
        <w:t>)</w:t>
      </w:r>
      <w:r>
        <w:fldChar w:fldCharType="end"/>
      </w:r>
      <w:r>
        <w:t>. We also observe an increase in DNA repair pathways</w:t>
      </w:r>
      <w:r w:rsidR="00396DB1">
        <w:t xml:space="preserve"> (Fig 3D)</w:t>
      </w:r>
      <w:r>
        <w:t xml:space="preserve"> that suggests cellular damage from the accumulation of ROS </w:t>
      </w:r>
      <w:r>
        <w:fldChar w:fldCharType="begin"/>
      </w:r>
      <w:r w:rsidR="00FE18CB">
        <w:instrText xml:space="preserve"> ADDIN ZOTERO_ITEM CSL_CITATION {"citationID":"6OoDTMXc","properties":{"formattedCitation":"({\\i{}76})","plainCitation":"(76)","noteIndex":0},"citationItems":[{"id":3368,"uris":["http://zotero.org/users/13901503/items/R3YTNYU9"],"itemData":{"id":3368,"type":"article-journal","abstract":"Excess oxygen can disrupt the growth of most organisms, but the underlying mechanisms of damage have proved difficult to unravel. The model bacterium Escherichia coli represents the best understood organism in terms of the effects of and response to oxidative stress.Superoxide (O2−) and hydrogen peroxide (H2O2) are formed within cells when molecular oxygen (O2) adventitiously acquires electrons from the reduced cofactors of flavoproteins.Both O2− and H2O2 can oxidize the exposed Fe–S clusters of a family of dehydratases. This event destabilizes the clusters, and their consequent disintegration eliminates enzyme activity.O2− and H2O2 also inactivate a variety of non-redox enzymes that use single Fe2+ ions as catalytic cofactors.DNA is damaged when H2O2 reacts with the intracellular pool of unincorporated iron. The iron that is released from oxidized metalloproteins enlarges this pool and accelerates this process.The transcription factor OxyR detects modest increments in intracellular H2O2. It activates several responses that help preserve the activities of Fe–S and mononuclear metalloenzymes.The SoxRS system detects redox-active compounds that are released by plants and some bacteria. These compounds can generate toxic doses of O2−, and the SoxRS system acts primarily to minimize the amounts of these compounds inside the cell.Future studies should aim to determine whether the knowledge gained from studying oxidative stress in the facultative anaerobe E. coli is applicable to other organisms, such as strictly aerobic and microaerophilic bacteria.","container-title":"Nature Reviews Microbiology","DOI":"10.1038/nrmicro3032","ISSN":"1740-1534","issue":"7","journalAbbreviation":"Nat Rev Microbiol","language":"en","license":"2013 Springer Nature Limited","note":"publisher: Nature Publishing Group","page":"443-454","source":"www.nature.com","title":"The molecular mechanisms and physiological consequences of oxidative stress: lessons from a model bacterium","title-short":"The molecular mechanisms and physiological consequences of oxidative stress","volume":"11","author":[{"family":"Imlay","given":"James A."}],"issued":{"date-parts":[["2013",7]]}}}],"schema":"https://github.com/citation-style-language/schema/raw/master/csl-citation.json"} </w:instrText>
      </w:r>
      <w:r>
        <w:fldChar w:fldCharType="separate"/>
      </w:r>
      <w:r w:rsidR="00FE18CB" w:rsidRPr="00FE18CB">
        <w:t>(</w:t>
      </w:r>
      <w:r w:rsidR="00FE18CB" w:rsidRPr="00FE18CB">
        <w:rPr>
          <w:i/>
          <w:iCs/>
        </w:rPr>
        <w:t>76</w:t>
      </w:r>
      <w:r w:rsidR="00FE18CB" w:rsidRPr="00FE18CB">
        <w:t>)</w:t>
      </w:r>
      <w:r>
        <w:fldChar w:fldCharType="end"/>
      </w:r>
      <w:r>
        <w:t xml:space="preserve">. Together, these results </w:t>
      </w:r>
      <w:r>
        <w:lastRenderedPageBreak/>
        <w:t xml:space="preserve">provide compelling evidence that capuchins experience periods of redox imbalance at high temperatures that drive shifts in the relative abundance of facultative versus obligate anaerobes. These findings also parallel changes typically associated with heat stress </w:t>
      </w:r>
      <w:r>
        <w:fldChar w:fldCharType="begin"/>
      </w:r>
      <w:r w:rsidR="00DD12D1">
        <w:instrText xml:space="preserve"> ADDIN ZOTERO_ITEM CSL_CITATION {"citationID":"bZu282tA","properties":{"formattedCitation":"({\\i{}17}, {\\i{}29}, {\\i{}30})","plainCitation":"(17, 29, 30)","noteIndex":0},"citationItems":[{"id":3187,"uris":["http://zotero.org/users/13901503/items/DHD4XMP5"],"itemData":{"id":3187,"type":"article-journal","abstract":"Tsinling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fldChar w:fldCharType="separate"/>
      </w:r>
      <w:r w:rsidR="00DD12D1" w:rsidRPr="00DD12D1">
        <w:t>(</w:t>
      </w:r>
      <w:r w:rsidR="00DD12D1" w:rsidRPr="00DD12D1">
        <w:rPr>
          <w:i/>
          <w:iCs/>
        </w:rPr>
        <w:t>17</w:t>
      </w:r>
      <w:r w:rsidR="00DD12D1" w:rsidRPr="00DD12D1">
        <w:t xml:space="preserve">, </w:t>
      </w:r>
      <w:r w:rsidR="00DD12D1" w:rsidRPr="00DD12D1">
        <w:rPr>
          <w:i/>
          <w:iCs/>
        </w:rPr>
        <w:t>29</w:t>
      </w:r>
      <w:r w:rsidR="00DD12D1" w:rsidRPr="00DD12D1">
        <w:t xml:space="preserve">, </w:t>
      </w:r>
      <w:r w:rsidR="00DD12D1" w:rsidRPr="00DD12D1">
        <w:rPr>
          <w:i/>
          <w:iCs/>
        </w:rPr>
        <w:t>30</w:t>
      </w:r>
      <w:r w:rsidR="00DD12D1" w:rsidRPr="00DD12D1">
        <w:t>)</w:t>
      </w:r>
      <w:r>
        <w:fldChar w:fldCharType="end"/>
      </w:r>
      <w:r>
        <w:t xml:space="preserve">, suggesting that capuchins are experiencing periods of high temperatures that exceed the upper limit of their thermal tolerance. This trend is especially concerning given that capuchins in northwestern Costa Rica are endemic to highly seasonal forests and likely adapted to a broader temperature range than many tropical specialists </w:t>
      </w:r>
      <w:r>
        <w:fldChar w:fldCharType="begin"/>
      </w:r>
      <w:r w:rsidR="00FE18CB">
        <w:instrText xml:space="preserve"> ADDIN ZOTERO_ITEM CSL_CITATION {"citationID":"xhoCHL1h","properties":{"formattedCitation":"({\\i{}108}, {\\i{}109})","plainCitation":"(108, 109)","noteIndex":0},"citationItems":[{"id":545,"uris":["http://zotero.org/users/13901503/items/DK9CP8XR"],"itemData":{"id":545,"type":"article-journal","abstract":"We examined thermoregulatory behaviors in a wild population of white-faced capuchins (Cebus capucinus) inhabiting a highly seasonal dry forest in Santa Rosa National Park (SRNP), Costa Rica. The dry season in SRNP lasts </w:instrText>
      </w:r>
      <w:r w:rsidR="00FE18CB">
        <w:rPr>
          <w:rFonts w:ascii="Cambria Math" w:hAnsi="Cambria Math" w:cs="Cambria Math"/>
        </w:rPr>
        <w:instrText>∼</w:instrText>
      </w:r>
      <w:r w:rsidR="00FE18CB">
        <w:instrText xml:space="preserve">5 months and is characterized by high ambient temperatures regularly exceeding 37°C, low relative humidity, and the near absence of precipitation. This study demonstrates that capuchins rest more and travel shorter distances during the hottest and driest hours of the day, and suggests that they extend their tongues to lower body temperature via evaporative cooling. Seasonal weather patterns and group movement data reported here are based on 940 h of observations on three social groups of capuchins (wet season: 370 h, dry season: 570 h). In the dry season, the proportion of time spent resting increased at higher temperatures whereas the proportion of time spent traveling decreased. Distance traveled between location points taken at half-hour intervals decreased significantly as temperature increased, although the correlation was not strong. Capuchins exposed their tongues during hot, dry, windy conditions, and this behavior was much more frequent in the dry season. Temperature was significantly higher and humidity significantly lower for “tongue-out” events than expected for a random event in the dry season. Finally, as surface water became scarce, home-range areas of heavy use became increasingly centered on the remaining permanent water sources. These results suggest that heat stress and water scarcity are significant influences on the behavior of capuchins in hot, dry conditions. Am J Phys Anthropol, 2009. © 2008 Wiley-Liss, Inc.","container-title":"American Journal of Physical Anthropology","DOI":"10.1002/ajpa.20908","ISSN":"1096-8644","issue":"1","language":"en","license":"Copyright © 2008 Wiley-Liss, Inc.","note":"_eprint: https://onlinelibrary.wiley.com/doi/pdf/10.1002/ajpa.20908","page":"101-111","source":"Wiley Online Library","title":"Behavioral adaptations to heat stress and water scarcity in white-faced capuchins (Cebus capucinus) in Santa Rosa National Park, Costa Rica","volume":"138","author":[{"family":"Campos","given":"Fernando A."},{"family":"Fedigan","given":"Linda M."}],"issued":{"date-parts":[["2009"]]}}},{"id":131,"uris":["http://zotero.org/users/13901503/items/6ZVNXHEZ"],"itemData":{"id":131,"type":"article-journal","abstract":"Significance\n            Surviving challenging environments, living long lives, and engaging in complex cognitive processes are hallmark human characteristics. Similar traits have evolved in parallel in capuchin monkeys, but their genetic underpinnings remain unexplored. We developed and annotated a reference assembly for white-faced capuchin monkeys to explore the evolution of these phenotypes. By comparing populations of capuchins inhabiting rainforest versus dry forests with seasonal droughts, we detected selection in genes associated with kidney function, muscular wasting, and metabolism, suggesting adaptation to periodic resource scarcity. When comparing capuchins to other mammals, we identified evidence of selection in multiple genes implicated in longevity and brain development. Our research was facilitated by our method to generate high- and low-coverage genomes from noninvasive biomaterials.\n          , \n            \n              Ecological flexibility, extended lifespans, and large brains have long intrigued evolutionary biologists, and comparative genomics offers an efficient and effective tool for generating new insights into the evolution of such traits. Studies of capuchin monkeys are particularly well situated to shed light on the selective pressures and genetic underpinnings of local adaptation to diverse habitats, longevity, and brain development. Distributed widely across Central and South America, they are inventive and extractive foragers, known for their sensorimotor intelligence. Capuchins have among the largest relative brain size of any monkey and a lifespan that exceeds 50 y, despite their small (3 to 5 kg) body size. We assemble and annotate a de novo reference genome for\n              Cebus imitator\n              . Through high-depth sequencing of DNA derived from blood, various tissues, and feces via fluorescence-activated cell sorting (fecalFACS) to isolate monkey epithelial cells, we compared genomes of capuchin populations from tropical dry forests and lowland rainforests and identified population divergence in genes involved in water balance, kidney function, and metabolism. Through a comparative genomics approach spanning a wide diversity of mammals, we identified genes under positive selection associated with longevity and brain development. Additionally, we provide a technological advancement in the use of noninvasive genomics for studies of free-ranging mammals. Our intra- and interspecific comparative study of capuchin genomics provides insights into processes underlying local adaptation to diverse and physiologically challenging environments, as well as the molecular basis of brain evolution and longevity.","container-title":"Proceedings of the National Academy of Sciences","DOI":"10.1073/pnas.2010632118","ISSN":"0027-8424, 1091-6490","issue":"7","journalAbbreviation":"Proc. Natl. Acad. Sci. U.S.A.","language":"en","page":"e2010632118","source":"DOI.org (Crossref)","title":"The genomics of ecological flexibility, large brains, and long lives in capuchin monkeys revealed with fecalFACS","volume":"118","author":[{"family":"Orkin","given":"Joseph D."},{"family":"Montague","given":"Michael J."},{"family":"Tejada-Martinez","given":"Daniela"},{"family":"De Manuel","given":"Marc"},{"family":"Del Campo","given":"Javier"},{"family":"Cheves Hernandez","given":"Saul"},{"family":"Di Fiore","given":"Anthony"},{"family":"Fontsere","given":"Claudia"},{"family":"Hodgson","given":"Jason A."},{"family":"Janiak","given":"Mareike C."},{"family":"Kuderna","given":"Lukas F. K."},{"family":"Lizano","given":"Esther"},{"family":"Martin","given":"Maria Pia"},{"family":"Niimura","given":"Yoshihito"},{"family":"Perry","given":"George H."},{"family":"Valverde","given":"Carmen Soto"},{"family":"Tang","given":"Jia"},{"family":"Warren","given":"Wesley C."},{"family":"De Magalhães","given":"João Pedro"},{"family":"Kawamura","given":"Shoji"},{"family":"Marquès-Bonet","given":"Tomàs"},{"family":"Krawetz","given":"Roman"},{"family":"Melin","given":"Amanda D."}],"issued":{"date-parts":[["2021",2,16]]}}}],"schema":"https://github.com/citation-style-language/schema/raw/master/csl-citation.json"} </w:instrText>
      </w:r>
      <w:r>
        <w:fldChar w:fldCharType="separate"/>
      </w:r>
      <w:r w:rsidR="00FE18CB" w:rsidRPr="00FE18CB">
        <w:t>(</w:t>
      </w:r>
      <w:r w:rsidR="00FE18CB" w:rsidRPr="00FE18CB">
        <w:rPr>
          <w:i/>
          <w:iCs/>
        </w:rPr>
        <w:t>108</w:t>
      </w:r>
      <w:r w:rsidR="00FE18CB" w:rsidRPr="00FE18CB">
        <w:t xml:space="preserve">, </w:t>
      </w:r>
      <w:r w:rsidR="00FE18CB" w:rsidRPr="00FE18CB">
        <w:rPr>
          <w:i/>
          <w:iCs/>
        </w:rPr>
        <w:t>109</w:t>
      </w:r>
      <w:r w:rsidR="00FE18CB" w:rsidRPr="00FE18CB">
        <w:t>)</w:t>
      </w:r>
      <w:r>
        <w:fldChar w:fldCharType="end"/>
      </w:r>
      <w:r>
        <w:t>.</w:t>
      </w:r>
    </w:p>
    <w:p w14:paraId="6770FFAE" w14:textId="4FC4144B" w:rsidR="00230DAD" w:rsidRDefault="00230DAD" w:rsidP="00D82060">
      <w:pPr>
        <w:ind w:firstLine="720"/>
      </w:pPr>
      <w:r>
        <w:t>A decline in obligate anaerobes during heat stress may disrupt the gut microbiome’s ability to regulate host immunity by impairing key immunomodulatory functions. Obligate anaerobes are essential SCFA producers that help regulate intestinal immunity and maintain host tolerance towards gut microbiomes, including the promotion of anti-inflammatory regulatory T-cell activity</w:t>
      </w:r>
      <w:r w:rsidRPr="00E42C53">
        <w:t xml:space="preserve"> </w:t>
      </w:r>
      <w:r>
        <w:fldChar w:fldCharType="begin"/>
      </w:r>
      <w:r w:rsidR="00FE18CB">
        <w:instrText xml:space="preserve"> ADDIN ZOTERO_ITEM CSL_CITATION {"citationID":"rUdKSzFd","properties":{"formattedCitation":"({\\i{}42}, {\\i{}80})","plainCitation":"(42, 80)","noteIndex":0},"citationItems":[{"id":3266,"uris":["http://zotero.org/users/13901503/items/ZX3K6GKV"],"itemData":{"id":3266,"type":"article-journal","abstract":"In mice, provision of butyrate—a short-chain fatty acid produced by commensal microorganisms during starch fermentation—facilitates extrathymic generation and differentiation of Foxp3+ regulatory T cells, demonstrating that metabolic by-products are sensed by cells of the immune system and affect the balance between pro- and anti-inflammatory cells.","container-title":"Nature","DOI":"10.1038/nature12726","ISSN":"1476-4687","issue":"7480","language":"en","license":"2013 Springer Nature Limited","note":"publisher: Nature Publishing Group","page":"451-455","source":"www.nature.com","title":"Metabolites produced by commensal bacteria promote peripheral regulatory T-cell generation","volume":"504","author":[{"family":"Arpaia","given":"Nicholas"},{"family":"Campbell","given":"Clarissa"},{"family":"Fan","given":"Xiying"},{"family":"Dikiy","given":"Stanislav"},{"family":"Veeken","given":"Joris","non-dropping-particle":"van der"},{"family":"deRoos","given":"Paul"},{"family":"Liu","given":"Hui"},{"family":"Cross","given":"Justin R."},{"family":"Pfeffer","given":"Klaus"},{"family":"Coffer","given":"Paul J."},{"family":"Rudensky","given":"Alexander Y."}],"issued":{"date-parts":[["2013",12]]}}},{"id":3264,"uris":["http://zotero.org/users/13901503/items/8XXJ4CBR"],"itemData":{"id":3264,"type":"article-journal","abstract":"The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schema":"https://github.com/citation-style-language/schema/raw/master/csl-citation.json"} </w:instrText>
      </w:r>
      <w:r>
        <w:fldChar w:fldCharType="separate"/>
      </w:r>
      <w:r w:rsidR="00FE18CB" w:rsidRPr="00FE18CB">
        <w:t>(</w:t>
      </w:r>
      <w:r w:rsidR="00FE18CB" w:rsidRPr="00FE18CB">
        <w:rPr>
          <w:i/>
          <w:iCs/>
        </w:rPr>
        <w:t>42</w:t>
      </w:r>
      <w:r w:rsidR="00FE18CB" w:rsidRPr="00FE18CB">
        <w:t xml:space="preserve">, </w:t>
      </w:r>
      <w:r w:rsidR="00FE18CB" w:rsidRPr="00FE18CB">
        <w:rPr>
          <w:i/>
          <w:iCs/>
        </w:rPr>
        <w:t>80</w:t>
      </w:r>
      <w:r w:rsidR="00FE18CB" w:rsidRPr="00FE18CB">
        <w:t>)</w:t>
      </w:r>
      <w:r>
        <w:fldChar w:fldCharType="end"/>
      </w:r>
      <w:r>
        <w:t xml:space="preserve"> and the suppression of proinflammatory cytokine signaling </w:t>
      </w:r>
      <w:r>
        <w:fldChar w:fldCharType="begin"/>
      </w:r>
      <w:r w:rsidR="00FE18CB">
        <w:instrText xml:space="preserve"> ADDIN ZOTERO_ITEM CSL_CITATION {"citationID":"5WMcbnWb","properties":{"formattedCitation":"({\\i{}43}, {\\i{}81})","plainCitation":"(43, 81)","noteIndex":0},"citationItems":[{"id":3176,"uris":["http://zotero.org/users/13901503/items/HTMPX6GE"],"itemData":{"id":3176,"type":"article-journal","abstract":"Monocytes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fldChar w:fldCharType="separate"/>
      </w:r>
      <w:r w:rsidR="00FE18CB" w:rsidRPr="00FE18CB">
        <w:t>(</w:t>
      </w:r>
      <w:r w:rsidR="00FE18CB" w:rsidRPr="00FE18CB">
        <w:rPr>
          <w:i/>
          <w:iCs/>
        </w:rPr>
        <w:t>43</w:t>
      </w:r>
      <w:r w:rsidR="00FE18CB" w:rsidRPr="00FE18CB">
        <w:t xml:space="preserve">, </w:t>
      </w:r>
      <w:r w:rsidR="00FE18CB" w:rsidRPr="00FE18CB">
        <w:rPr>
          <w:i/>
          <w:iCs/>
        </w:rPr>
        <w:t>81</w:t>
      </w:r>
      <w:r w:rsidR="00FE18CB" w:rsidRPr="00FE18CB">
        <w:t>)</w:t>
      </w:r>
      <w:r>
        <w:fldChar w:fldCharType="end"/>
      </w:r>
      <w:r>
        <w:t>.</w:t>
      </w:r>
      <w:r w:rsidRPr="00A835F8">
        <w:t xml:space="preserve"> </w:t>
      </w:r>
      <w:r>
        <w:t>The decrease in SCFA-producing pathways, particularly butyrate and pyruvate (Fig 3E), likely reflects the loss of obligate anaerobes at high temperatures due to redox imbalance and may decrease host tolerance towards gut microbiomes.</w:t>
      </w:r>
      <w:r w:rsidRPr="00A835F8">
        <w:t xml:space="preserve"> </w:t>
      </w:r>
      <w:r>
        <w:t xml:space="preserve">The resulting increase in immune activity may continue to exacerbate redox imbalance because activated immune cells, particularly phagocytes, release ROS as part of the inflammatory response </w:t>
      </w:r>
      <w:r>
        <w:fldChar w:fldCharType="begin"/>
      </w:r>
      <w:r w:rsidR="00FE18CB">
        <w:instrText xml:space="preserve"> ADDIN ZOTERO_ITEM CSL_CITATION {"citationID":"1C9evp4M","properties":{"formattedCitation":"({\\i{}110})","plainCitation":"(110)","noteIndex":0},"citationItems":[{"id":3724,"uris":["http://zotero.org/users/13901503/items/IM2TT9E8"],"itemData":{"id":3724,"type":"article-journal","abstract":"Reactive oxygen species (ROS) include superoxide, hydrogen peroxide, singlet oxygen, ozone, hypohalous acids and organic peroxides. They interact with and share some of the actions of other classes of small, reactive, endogenous signalling molecules — reactive nitrogen species such as NO• and NO2•; H2S or its anion, HS−; and carbon monoxide.ROS can both promote and prevent cell death, cancer, ageing and inflammation. For example, ROS mediate inflammasome activation, but patients with chronic granulomatous disease, who lack a functional form of a principal ROS-producing enzyme, NADPH oxidase 2 (NOX2), demonstrate considerable susceptibility to infection, as well as non-resolving inflammation.The numerous enzymatic sources of ROS include mitochondria and multiple isoforms of NOXs. The first NOX, now called NOX2, was discovered in neutrophils, but NOXs contribute to signal transduction in diverse cell types. ROS are produced following B and T cell receptor stimulation and can dictate whether T cell activation is fostered or impeded.Many antioxidant systems contribute to the regulation of ROS, including superoxide dismutases, catalases and the enzymes of the glutathione redox cycle, which reflects the widespread functional effects of ROS.Reactions involving ROS demonstrate atomic rather than molecular specificity. That is, ROS preferentially react with certain types of atoms and most readily with a subset of those atoms, but the atomic targets of ROS are distributed in many different macromolecules. For example, ROS preferentially react with the sulphur atom in some but not other cysteine residues; the cysteine thiols that are most susceptible include many that participate in enzyme active sites, such as in phosphatases. This kind of specificity equips ROS to influence many different signalling pathways simultaneously.The immunosuppressive capacity of myeloid-derived suppressor cells and regulatory T cells results in part from their production of ROS. Tumour cells also produce ROS, which can contribute to their immunosuppressive and metastatic potential.","container-title":"Nature Reviews Immunology","DOI":"10.1038/nri3423","ISSN":"1474-1741","issue":"5","journalAbbreviation":"Nat Rev Immunol","language":"en","license":"2013 Springer Nature Limited","note":"publisher: Nature Publishing Group","page":"349-361","source":"www-nature-com.proxy.lib.umich.edu","title":"Beyond oxidative stress: an immunologist's guide to reactive oxygen species","title-short":"Beyond oxidative stress","volume":"13","author":[{"family":"Nathan","given":"Carl"},{"family":"Cunningham-Bussel","given":"Amy"}],"issued":{"date-parts":[["2013",5]]}}}],"schema":"https://github.com/citation-style-language/schema/raw/master/csl-citation.json"} </w:instrText>
      </w:r>
      <w:r>
        <w:fldChar w:fldCharType="separate"/>
      </w:r>
      <w:r w:rsidR="00FE18CB" w:rsidRPr="00FE18CB">
        <w:t>(</w:t>
      </w:r>
      <w:r w:rsidR="00FE18CB" w:rsidRPr="00FE18CB">
        <w:rPr>
          <w:i/>
          <w:iCs/>
        </w:rPr>
        <w:t>110</w:t>
      </w:r>
      <w:r w:rsidR="00FE18CB" w:rsidRPr="00FE18CB">
        <w:t>)</w:t>
      </w:r>
      <w:r>
        <w:fldChar w:fldCharType="end"/>
      </w:r>
      <w:r>
        <w:t>.</w:t>
      </w:r>
      <w:r w:rsidR="00D82060">
        <w:t xml:space="preserve"> </w:t>
      </w:r>
      <w:r>
        <w:t xml:space="preserve">Together, these interactions create a heat-driven physiological cascade linking redox imbalance, disruption of microbiome composition, and the breakdown of gut-immune homeostasis (Fig 3F). Although these relationships have been explored in experimental and clinical research </w:t>
      </w:r>
      <w:r>
        <w:fldChar w:fldCharType="begin"/>
      </w:r>
      <w:r w:rsidR="00FE18CB">
        <w:instrText xml:space="preserve"> ADDIN ZOTERO_ITEM CSL_CITATION {"citationID":"ZVo4Iuph","properties":{"formattedCitation":"({\\i{}111}, {\\i{}112})","plainCitation":"(111, 112)","noteIndex":0},"citationItems":[{"id":3497,"uris":["http://zotero.org/users/13901503/items/RMY7RJ4R"],"itemData":{"id":3497,"type":"article-journal","abstract":"Inflammatory bowel disease (IBD) is a long-term, progressive, and recurrent intestinal inflammatory disorder. The pathogenic mechanisms of IBD are multifaceted and associated with oxidative stress, unbalanced gut microbiota, and aberrant immune response. Indeed, oxidative stress can affect the progression and development of IBD by regulating the homeostasis of the gut microbiota and immune response. Therefore, redox-targeted therapy is a promising treatment option for IBD. Recent evidence has verified that Chinese herbal medicine (CHM)-derived polyphenols, natural antioxidants, are able to maintain redox equilibrium in the intestinal tract to prevent abnormal gut microbiota and radical inflammatory responses. Here, we provide a comprehensive perspective for implementing natural antioxidants as potential IBD candidate medications. In addition, we demonstrate novel technologies and stratagems for promoting the antioxidative properties of CHM-derived polyphenols, including novel delivery systems, chemical modifications, and combination strategies.","container-title":"Antioxidants","DOI":"10.3390/antiox12040967","ISSN":"2076-3921","issue":"4","language":"en","license":"http://creativecommons.org/licenses/by/3.0/","note":"number: 4\npublisher: Multidisciplinary Digital Publishing Institute","page":"967","source":"www-mdpi-com.proxy.lib.umich.edu","title":"Oxidative Stress, Inflammation, Gut Dysbiosis: What Can Polyphenols Do in Inflammatory Bowel Disease?","title-short":"Oxidative Stress, Inflammation, Gut Dysbiosis","volume":"12","author":[{"family":"Li","given":"Lei"},{"family":"Peng","given":"Peilan"},{"family":"Ding","given":"Ning"},{"family":"Jia","given":"Wenhui"},{"family":"Huang","given":"Canhua"},{"family":"Tang","given":"Yong"}],"issued":{"date-parts":[["2023",4]]}}},{"id":3251,"uris":["http://zotero.org/users/13901503/items/RA2W4N37"],"itemData":{"id":3251,"type":"article-journal","abstract":"Gut dysbiosis, resulting from an imbalance in the gut microbiome, can induce excessive production of reactive oxygen species (ROS), leading to inflammation, DNA damage, activation of the immune system, and epigenetic alterations of critical genes involved in the metabolic pathways. Gut dysbiosis-induced inflammation can also disrupt the gut barrier integrity and increase intestinal permeability, which allows gut-derived toxic products to enter the liver and systemic circulation, further triggering oxidative stress, inflammation, and epigenetic alterations associated with metabolic diseases. However, specific gut-derived metabolites, such as short-chain fatty acids (SCFAs), lactate, and vitamins, can modulate oxidative stress and the immune system through epigenetic mechanisms, thereby improving metabolic function. Gut microbiota and diet-induced metabolic diseases, such as obesity, insulin resistance, dyslipidemia, and hypertension, can transfer to the next generation, involving epigenetic mechanisms. In this review, we will introduce the key epigenetic alterations that, along with gut dysbiosis and ROS, are engaged in developing metabolic diseases. Finally, we will discuss potential therapeutic interventions such as dietary modifications, prebiotics, probiotics, postbiotics, and fecal microbiota transplantation, which may reduce oxidative stress and inflammation associated with metabolic syndrome by altering gut microbiota and epigenetic alterations. In summary, this review highlights the crucial role of gut microbiota dysbiosis, oxidative stress, and inflammation in the pathogenesis of metabolic diseases, with a particular focus on epigenetic alterations (including histone modifications, DNA methylomics, and RNA interference) and potential interventions that may prevent or improve metabolic diseases.","container-title":"Antioxidants","DOI":"10.3390/antiox13080985","ISSN":"2076-3921","issue":"8","language":"en","license":"http://creativecommons.org/licenses/by/3.0/","note":"number: 8\npublisher: Multidisciplinary Digital Publishing Institute","page":"985","source":"www-mdpi-com.proxy.lib.umich.edu","title":"Gut Microbiota Dysbiosis, Oxidative Stress, Inflammation, and Epigenetic Alterations in Metabolic Diseases","volume":"13","author":[{"family":"Mostafavi Abdolmaleky","given":"Hamid"},{"family":"Zhou","given":"Jin-Rong"}],"issued":{"date-parts":[["2024",8]]}}}],"schema":"https://github.com/citation-style-language/schema/raw/master/csl-citation.json"} </w:instrText>
      </w:r>
      <w:r>
        <w:fldChar w:fldCharType="separate"/>
      </w:r>
      <w:r w:rsidR="00FE18CB" w:rsidRPr="00FE18CB">
        <w:t>(</w:t>
      </w:r>
      <w:r w:rsidR="00FE18CB" w:rsidRPr="00FE18CB">
        <w:rPr>
          <w:i/>
          <w:iCs/>
        </w:rPr>
        <w:t>111</w:t>
      </w:r>
      <w:r w:rsidR="00FE18CB" w:rsidRPr="00FE18CB">
        <w:t xml:space="preserve">, </w:t>
      </w:r>
      <w:r w:rsidR="00FE18CB" w:rsidRPr="00FE18CB">
        <w:rPr>
          <w:i/>
          <w:iCs/>
        </w:rPr>
        <w:t>112</w:t>
      </w:r>
      <w:r w:rsidR="00FE18CB" w:rsidRPr="00FE18CB">
        <w:t>)</w:t>
      </w:r>
      <w:r>
        <w:fldChar w:fldCharType="end"/>
      </w:r>
      <w:r>
        <w:t xml:space="preserve">, our findings provide the first evidence of this mechanism in a natural population in response to environmental change. These results highlight the crucial role of temperature in shaping essential gut microbiome functions in a wild primate species and offer insight into how rising temperatures due to climate change may affect wild animals by disrupting host-microbiome interactions. </w:t>
      </w:r>
    </w:p>
    <w:p w14:paraId="001F0501" w14:textId="77777777" w:rsidR="00245043" w:rsidRDefault="00245043" w:rsidP="002C24BA"/>
    <w:p w14:paraId="70E78FB9" w14:textId="612F35DC" w:rsidR="00D4726B" w:rsidRDefault="00D4726B" w:rsidP="00D4726B">
      <w:pPr>
        <w:rPr>
          <w:u w:val="single"/>
        </w:rPr>
      </w:pPr>
      <w:r w:rsidRPr="00C64C3B">
        <w:rPr>
          <w:u w:val="single"/>
        </w:rPr>
        <w:t xml:space="preserve">Gut microbiome </w:t>
      </w:r>
      <w:r>
        <w:rPr>
          <w:u w:val="single"/>
        </w:rPr>
        <w:t xml:space="preserve">response to temperature </w:t>
      </w:r>
      <w:r w:rsidR="00A84791">
        <w:rPr>
          <w:u w:val="single"/>
        </w:rPr>
        <w:t>is related to</w:t>
      </w:r>
      <w:r>
        <w:rPr>
          <w:u w:val="single"/>
        </w:rPr>
        <w:t xml:space="preserve"> microbiome-immune homeostasis</w:t>
      </w:r>
    </w:p>
    <w:p w14:paraId="7E8196C0" w14:textId="73D23979" w:rsidR="00D4726B" w:rsidRDefault="00D4726B" w:rsidP="00D4726B">
      <w:pPr>
        <w:ind w:firstLine="720"/>
      </w:pPr>
      <w:r>
        <w:t xml:space="preserve">The observed interaction between temperature and immune activation supports the idea that heat-driven taxonomic shifts in the microbiome affect the relationship between the gut microbiome and host immunity. For example, stronger declines in obligate anaerobes, such as </w:t>
      </w:r>
      <w:r>
        <w:rPr>
          <w:rStyle w:val="Emphasis"/>
          <w:rFonts w:eastAsiaTheme="majorEastAsia"/>
        </w:rPr>
        <w:t>Parabacteroides</w:t>
      </w:r>
      <w:r>
        <w:t xml:space="preserve"> and </w:t>
      </w:r>
      <w:proofErr w:type="spellStart"/>
      <w:r w:rsidRPr="00E8793F">
        <w:rPr>
          <w:rStyle w:val="Emphasis"/>
          <w:rFonts w:eastAsiaTheme="majorEastAsia"/>
        </w:rPr>
        <w:t>Alistipes</w:t>
      </w:r>
      <w:proofErr w:type="spellEnd"/>
      <w:r>
        <w:rPr>
          <w:rStyle w:val="Emphasis"/>
          <w:rFonts w:eastAsiaTheme="majorEastAsia"/>
        </w:rPr>
        <w:t>,</w:t>
      </w:r>
      <w:r w:rsidRPr="00D1426F">
        <w:t xml:space="preserve"> </w:t>
      </w:r>
      <w:r>
        <w:t>are associated with higher neopterin levels (Fig 4A). These taxa contribute to anti-inflammatory signaling through the production of SCFAs</w:t>
      </w:r>
      <w:r>
        <w:rPr>
          <w:rStyle w:val="Emphasis"/>
          <w:rFonts w:eastAsiaTheme="majorEastAsia"/>
        </w:rPr>
        <w:t xml:space="preserve"> </w:t>
      </w:r>
      <w:r w:rsidRPr="00D4726B">
        <w:rPr>
          <w:i/>
          <w:iCs/>
        </w:rPr>
        <w:fldChar w:fldCharType="begin"/>
      </w:r>
      <w:r w:rsidR="00FE18CB">
        <w:rPr>
          <w:i/>
          <w:iCs/>
        </w:rPr>
        <w:instrText xml:space="preserve"> ADDIN ZOTERO_ITEM CSL_CITATION {"citationID":"56Usf7sy","properties":{"formattedCitation":"({\\i{}84}, {\\i{}85})","plainCitation":"(84, 85)","noteIndex":0},"citationItems":[{"id":2193,"uris":["http://zotero.org/users/13901503/items/TK9QBJNS"],"itemData":{"id":2193,"type":"article-journal","abstract":"Altered intestinal microbiota is associated with systemic and intestinal diseases, such as inflammatory bowel disease (IBD). Dysbiotic microbiota with enhanced proinflammatory capacity is characterized by depletion of anaerobic commensals, increased proportion of facultatively anaerobic bacteria, as well as reduced diversity and stability. In this study, we developed a high-throughput in vitro screening assay to isolate intestinal commensal bacteria with anti-inflammatory capacity from a healthy fecal microbiota transplantation donor. Freshly isolated gut bacteria were screened for their capacity to attenuate Escherichia coli lipopolysaccharide (LPS)-induced interleukin 8 (IL-8) release from HT-29 cells. The screen yielded a number of Bacteroides and Parabacteroides isolates, which were identified as P. distasonis, B. caccae, B. intestinalis, B. uniformis, B. fragilis, B. vulgatus and B. ovatus using whole genome sequencing. We observed that a cell-cell contact with the epithelium was not necessary to alleviate in vitro inflammation as spent culture media from the isolates were also effective and the anti-inflammatory action did not correlate with the enterocyte adherence capacity of the isolates. The anti-inflammatory isolates also exerted enterocyte monolayer reinforcing action and lacked essential genes to synthetize hexa-acylated, proinflammatory lipid A, part of LPS. Yet, the anti-inflammatory effector molecules remain to be identified. The Bacteroides strains isolated and characterized in this study have potential to be used as so-called next-generation probiotics.","container-title":"Nutrients","DOI":"10.3390/nu12040935","ISSN":"2072-6643","issue":"4","language":"en","license":"http://creativecommons.org/licenses/by/3.0/","note":"number: 4\npublisher: Multidisciplinary Digital Publishing Institute","page":"935","source":"www-mdpi-com.proxy.lib.umich.edu","title":"Isolation of Anti-Inflammatory and Epithelium Reinforcing Bacteroides and Parabacteroides Spp. from A Healthy Fecal Donor","volume":"12","author":[{"family":"Hiippala","given":"Kaisa"},{"family":"Kainulainen","given":"Veera"},{"family":"Suutarinen","given":"Maiju"},{"family":"Heini","given":"Tuomas"},{"family":"Bowers","given":"Jolene R."},{"family":"Jasso-Selles","given":"Daniel"},{"family":"Lemmer","given":"Darrin"},{"family":"Valentine","given":"Michael"},{"family":"Barnes","given":"Riley"},{"family":"Engelthaler","given":"David M."},{"family":"Satokari","given":"Reetta"}],"issued":{"date-parts":[["2020",4]]}}},{"id":2197,"uris":["http://zotero.org/users/13901503/items/QJXBZMS7"],"itemData":{"id":2197,"type":"article-journal","abstract":"&lt;p&gt;&lt;italic&gt;Alistipes&lt;/italic&gt; is a relatively new genus of bacteria isolated primarily from medical clinical samples, although at a low rate compared to other genus members of the &lt;italic&gt;Bacteroidetes&lt;/italic&gt; phylum, which are highly relevant in dysbiosis and disease. According to the taxonomy database at The National Center for Biotechnology Information, the genus consists of 13 species: &lt;italic&gt;Alistipes finegoldii, Alistipes putredinis, Alistipes onderdonkii, Alistipes shahii, Alistipes indistinctus, Alistipes senegalensis, Alistipes timonensis, Alistipes obesi, Alistipes ihumii, Alistipes inops, Alistipes megaguti, Alistipes provencensis&lt;/italic&gt;, and &lt;italic&gt;Alistipes massiliensis. Alistipes communis&lt;/italic&gt; and &lt;italic&gt;A. dispar&lt;/italic&gt;, and the subspecies &lt;italic&gt;A. Onderdonkii&lt;/italic&gt; subspecies vulgaris (vs. &lt;italic&gt;onderdonkii&lt;/italic&gt; subsp.) are the newest strains featured outside that list. Although typically isolated from the human gut microbiome various species of this genus have been isolated from patients suffering from appendicitis, and abdominal and rectal abscess. It is possible that as &lt;italic&gt;Alistipes&lt;/italic&gt; spp. emerge, their identification in clinical samples may be underrepresented as novel MS-TOF methods may not be fully capable to discriminate distinct species as separate since it will require the upgrading of MS-TOF identification databases. In terms of pathogenicity, there is contrasting evidence indicating that &lt;italic&gt;Alistipes&lt;/italic&gt; may have protective effects against some diseases, including liver fibrosis, colitis, cancer immunotherapy, and cardiovascular disease. In contrast, other studies indicate &lt;italic&gt;Alistipes&lt;/italic&gt; is pathogenic in colorectal cancer and is associated with mental signs of depression. Gut dysbiosis seems to play a role in determining the compositional abundance of &lt;italic&gt;Alistipes&lt;/italic&gt; in the feces (&lt;italic&gt;e.g&lt;/italic&gt;., in non-alcoholic steatohepatitis, hepatic encephalopathy, and liver fibrosis). Since &lt;italic&gt;Alistipes&lt;/italic&gt; is a relatively recent sub-branch genus of the &lt;italic&gt;Bacteroidetes&lt;/italic&gt; phylum, and since &lt;italic&gt;Bacteroidetes&lt;/italic&gt; are commonly associated with chronic intestinal inflammation, this narrative review illustrates emerging immunological and mechanistic implications by which &lt;italic&gt;Alistipes&lt;/italic&gt; spp. correlate with human health.&lt;/p&gt;","container-title":"Frontiers in Immunology","DOI":"10.3389/fimmu.2020.00906","ISSN":"1664-3224","journalAbbreviation":"Front. Immunol.","language":"English","note":"publisher: Frontiers","source":"Frontiers","title":"The Genus Alistipes: Gut Bacteria With Emerging Implications to Inflammation, Cancer, and Mental Health","title-short":"The Genus Alistipes","URL":"https://www.frontiersin.org/journals/immunology/articles/10.3389/fimmu.2020.00906/full","volume":"11","author":[{"family":"Parker","given":"Bianca J."},{"family":"Wearsch","given":"Pamela A."},{"family":"Veloo","given":"Alida C. M."},{"family":"Rodriguez-Palacios","given":"Alex"}],"accessed":{"date-parts":[["2025",3,31]]},"issued":{"date-parts":[["2020",6,9]]}}}],"schema":"https://github.com/citation-style-language/schema/raw/master/csl-citation.json"} </w:instrText>
      </w:r>
      <w:r w:rsidRPr="00D4726B">
        <w:rPr>
          <w:i/>
          <w:iCs/>
        </w:rPr>
        <w:fldChar w:fldCharType="separate"/>
      </w:r>
      <w:r w:rsidR="00FE18CB" w:rsidRPr="00FE18CB">
        <w:t>(</w:t>
      </w:r>
      <w:r w:rsidR="00FE18CB" w:rsidRPr="00FE18CB">
        <w:rPr>
          <w:i/>
          <w:iCs/>
        </w:rPr>
        <w:t>84</w:t>
      </w:r>
      <w:r w:rsidR="00FE18CB" w:rsidRPr="00FE18CB">
        <w:t xml:space="preserve">, </w:t>
      </w:r>
      <w:r w:rsidR="00FE18CB" w:rsidRPr="00FE18CB">
        <w:rPr>
          <w:i/>
          <w:iCs/>
        </w:rPr>
        <w:t>85</w:t>
      </w:r>
      <w:r w:rsidR="00FE18CB" w:rsidRPr="00FE18CB">
        <w:t>)</w:t>
      </w:r>
      <w:r w:rsidRPr="00D4726B">
        <w:rPr>
          <w:i/>
          <w:iCs/>
        </w:rPr>
        <w:fldChar w:fldCharType="end"/>
      </w:r>
      <w:r w:rsidRPr="00D4726B">
        <w:rPr>
          <w:i/>
          <w:iCs/>
        </w:rPr>
        <w:t xml:space="preserve">, </w:t>
      </w:r>
      <w:r w:rsidRPr="00D4726B">
        <w:rPr>
          <w:rStyle w:val="Emphasis"/>
          <w:rFonts w:eastAsiaTheme="majorEastAsia"/>
          <w:i w:val="0"/>
          <w:iCs w:val="0"/>
        </w:rPr>
        <w:t>suggesting that their loss reduces immune tolerance towards gut microbes.</w:t>
      </w:r>
      <w:r w:rsidRPr="00D4726B">
        <w:rPr>
          <w:i/>
          <w:iCs/>
        </w:rPr>
        <w:t xml:space="preserve"> </w:t>
      </w:r>
      <w:r w:rsidRPr="00D4726B">
        <w:rPr>
          <w:rStyle w:val="Emphasis"/>
          <w:rFonts w:eastAsiaTheme="majorEastAsia"/>
          <w:i w:val="0"/>
          <w:iCs w:val="0"/>
        </w:rPr>
        <w:t>Similarly, stronger declines in metabolic pathways that produce anti-inflammatory immunomodulators are also associated with higher neopterin</w:t>
      </w:r>
      <w:r w:rsidRPr="00D4726B">
        <w:rPr>
          <w:i/>
          <w:iCs/>
        </w:rPr>
        <w:t>.</w:t>
      </w:r>
      <w:r>
        <w:t xml:space="preserve"> This includes </w:t>
      </w:r>
      <w:r w:rsidRPr="00D4726B">
        <w:rPr>
          <w:rStyle w:val="Emphasis"/>
          <w:rFonts w:eastAsiaTheme="majorEastAsia"/>
          <w:i w:val="0"/>
          <w:iCs w:val="0"/>
        </w:rPr>
        <w:t>the</w:t>
      </w:r>
      <w:r w:rsidRPr="00D1426F">
        <w:rPr>
          <w:rStyle w:val="Emphasis"/>
          <w:rFonts w:eastAsiaTheme="majorEastAsia"/>
        </w:rPr>
        <w:t xml:space="preserve"> </w:t>
      </w:r>
      <w:r w:rsidRPr="00D1426F">
        <w:t>synthesis</w:t>
      </w:r>
      <w:r>
        <w:t xml:space="preserve"> of monounsaturated fatty acids </w:t>
      </w:r>
      <w:r>
        <w:fldChar w:fldCharType="begin"/>
      </w:r>
      <w:r w:rsidR="00FE18CB">
        <w:instrText xml:space="preserve"> ADDIN ZOTERO_ITEM CSL_CITATION {"citationID":"mhDvr5M0","properties":{"formattedCitation":"({\\i{}81})","plainCitation":"(81)","noteIndex":0},"citationItems":[{"id":3176,"uris":["http://zotero.org/users/13901503/items/HTMPX6GE"],"itemData":{"id":3176,"type":"article-journal","abstract":"Monocytes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fldChar w:fldCharType="separate"/>
      </w:r>
      <w:r w:rsidR="00FE18CB" w:rsidRPr="00FE18CB">
        <w:t>(</w:t>
      </w:r>
      <w:r w:rsidR="00FE18CB" w:rsidRPr="00FE18CB">
        <w:rPr>
          <w:i/>
          <w:iCs/>
        </w:rPr>
        <w:t>81</w:t>
      </w:r>
      <w:r w:rsidR="00FE18CB" w:rsidRPr="00FE18CB">
        <w:t>)</w:t>
      </w:r>
      <w:r>
        <w:fldChar w:fldCharType="end"/>
      </w:r>
      <w:r>
        <w:t xml:space="preserve"> and tryptophan,</w:t>
      </w:r>
      <w:r w:rsidRPr="004C357C">
        <w:t xml:space="preserve"> </w:t>
      </w:r>
      <w:r>
        <w:t xml:space="preserve">a compound primarily synthesized by obligate anaerobes </w:t>
      </w:r>
      <w:r>
        <w:fldChar w:fldCharType="begin"/>
      </w:r>
      <w:r w:rsidR="00FE18CB">
        <w:instrText xml:space="preserve"> ADDIN ZOTERO_ITEM CSL_CITATION {"citationID":"0vbqoJY6","properties":{"formattedCitation":"({\\i{}113}, {\\i{}114})","plainCitation":"(113, 114)","noteIndex":0},"citationItems":[{"id":3659,"uris":["http://zotero.org/users/13901503/items/WFUC2V8A"],"itemData":{"id":3659,"type":"article-journal","abstract":"A pathway for the production of aromatic amino acid metabolites in Clostridium sporogenes is described; modulation of serum levels of these metabolites in gnotobiotic mice affects intestinal permeability and systemic immunity.","container-title":"Nature","DOI":"10.1038/nature24661","ISSN":"1476-4687","issue":"7682","language":"en","license":"2017 Macmillan Publishers Limited, part of Springer Nature. All rights reserved.","note":"publisher: Nature Publishing Group","page":"648-652","source":"www-nature-com.proxy.lib.umich.edu","title":"A gut bacterial pathway metabolizes aromatic amino acids into nine circulating metabolites","volume":"551","author":[{"family":"Dodd","given":"Dylan"},{"family":"Spitzer","given":"Matthew H."},{"family":"Van Treuren","given":"William"},{"family":"Merrill","given":"Bryan D."},{"family":"Hryckowian","given":"Andrew J."},{"family":"Higginbottom","given":"Steven K."},{"family":"Le","given":"Anthony"},{"family":"Cowan","given":"Tina M."},{"family":"Nolan","given":"Garry P."},{"family":"Fischbach","given":"Michael A."},{"family":"Sonnenburg","given":"Justin L."}],"issued":{"date-parts":[["2017",11]]}}},{"id":3657,"uris":["http://zotero.org/users/13901503/items/6BWMVY9X"],"itemData":{"id":3657,"type":"article-journal","container-title":"Immunity","DOI":"10.1016/j.immuni.2013.08.003","ISSN":"1074-7613","issue":"2","journalAbbreviation":"Immunity","language":"English","note":"publisher: Elsevier","page":"372-385","source":"www-cell-com.proxy.lib.umich.edu","title":"Tryptophan Catabolites from Microbiota Engage Aryl Hydrocarbon Receptor and Balance Mucosal Reactivity via Interleukin-22","volume":"39","author":[{"family":"Zelante","given":"Teresa"},{"family":"Iannitti","given":"Rossana G."},{"family":"Cunha","given":"Cristina"},{"family":"De Luca","given":"Antonella"},{"family":"Giovannini","given":"Gloria"},{"family":"Pieraccini","given":"Giuseppe"},{"family":"Zecchi","given":"Riccardo"},{"family":"D’Angelo","given":"Carmen"},{"family":"Massi-Benedetti","given":"Cristina"},{"family":"Fallarino","given":"Francesca"},{"family":"Carvalho","given":"Agostinho"},{"family":"Puccetti","given":"Paolo"},{"family":"Romani","given":"Luigina"}],"issued":{"date-parts":[["2013",8,22]]}}}],"schema":"https://github.com/citation-style-language/schema/raw/master/csl-citation.json"} </w:instrText>
      </w:r>
      <w:r>
        <w:fldChar w:fldCharType="separate"/>
      </w:r>
      <w:r w:rsidR="00FE18CB" w:rsidRPr="00FE18CB">
        <w:t>(</w:t>
      </w:r>
      <w:r w:rsidR="00FE18CB" w:rsidRPr="00FE18CB">
        <w:rPr>
          <w:i/>
          <w:iCs/>
        </w:rPr>
        <w:t>113</w:t>
      </w:r>
      <w:r w:rsidR="00FE18CB" w:rsidRPr="00FE18CB">
        <w:t xml:space="preserve">, </w:t>
      </w:r>
      <w:r w:rsidR="00FE18CB" w:rsidRPr="00FE18CB">
        <w:rPr>
          <w:i/>
          <w:iCs/>
        </w:rPr>
        <w:t>114</w:t>
      </w:r>
      <w:r w:rsidR="00FE18CB" w:rsidRPr="00FE18CB">
        <w:t>)</w:t>
      </w:r>
      <w:r>
        <w:fldChar w:fldCharType="end"/>
      </w:r>
      <w:r w:rsidRPr="004C357C">
        <w:t xml:space="preserve"> </w:t>
      </w:r>
      <w:r>
        <w:t>(Fig 5A &amp; B). Together, these patterns support the idea that heat-driven loss of microbial anti-inflammatory functions affects macrophage activation. Notably, the t</w:t>
      </w:r>
      <w:r w:rsidRPr="00B24088">
        <w:t xml:space="preserve">axa that exhibit stronger declines when neopterin is high are primarily from the </w:t>
      </w:r>
      <w:proofErr w:type="spellStart"/>
      <w:r w:rsidRPr="00B24088">
        <w:t>Bacteroidota</w:t>
      </w:r>
      <w:proofErr w:type="spellEnd"/>
      <w:r w:rsidRPr="00B24088">
        <w:t xml:space="preserve"> and Firmicutes </w:t>
      </w:r>
      <w:r>
        <w:t xml:space="preserve">phyla, </w:t>
      </w:r>
      <w:r w:rsidRPr="00B24088">
        <w:t>which include many obligate anaerobes (Fig 4A)</w:t>
      </w:r>
      <w:r>
        <w:t xml:space="preserve">. We also observed a stronger </w:t>
      </w:r>
      <w:r w:rsidRPr="00B24088">
        <w:t xml:space="preserve">decline in pathways commonly associated with obligate </w:t>
      </w:r>
      <w:r>
        <w:t>anaerobes</w:t>
      </w:r>
      <w:r w:rsidRPr="00B24088">
        <w:t xml:space="preserve"> including complex carb fermentation </w:t>
      </w:r>
      <w:r w:rsidRPr="00487066">
        <w:rPr>
          <w:rStyle w:val="Strong"/>
          <w:rFonts w:eastAsiaTheme="majorEastAsia"/>
          <w:b w:val="0"/>
          <w:bCs w:val="0"/>
        </w:rPr>
        <w:fldChar w:fldCharType="begin"/>
      </w:r>
      <w:r w:rsidR="00DD12D1">
        <w:rPr>
          <w:rStyle w:val="Strong"/>
          <w:rFonts w:eastAsiaTheme="majorEastAsia"/>
        </w:rPr>
        <w:instrText xml:space="preserve"> ADDIN ZOTERO_ITEM CSL_CITATION {"citationID":"tuESI0A9","properties":{"formattedCitation":"({\\i{}38})","plainCitation":"(38)","noteIndex":0},"citationItems":[{"id":3409,"uris":["http://zotero.org/users/13901503/items/73VRZX5M"],"itemData":{"id":3409,"type":"article-journal","abstract":"Bacteria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,Petra"},{"family":"Forano","given":"Evelyne","non-dropping-particle":"and"}],"issued":{"date-parts":[["2012",7,14]]}}}],"schema":"https://github.com/citation-style-language/schema/raw/master/csl-citation.json"} </w:instrText>
      </w:r>
      <w:r w:rsidRPr="00487066">
        <w:rPr>
          <w:rStyle w:val="Strong"/>
          <w:rFonts w:eastAsiaTheme="majorEastAsia"/>
          <w:b w:val="0"/>
          <w:bCs w:val="0"/>
        </w:rPr>
        <w:fldChar w:fldCharType="separate"/>
      </w:r>
      <w:r w:rsidR="00DD12D1" w:rsidRPr="00DD12D1">
        <w:t>(</w:t>
      </w:r>
      <w:r w:rsidR="00DD12D1" w:rsidRPr="00DD12D1">
        <w:rPr>
          <w:i/>
          <w:iCs/>
        </w:rPr>
        <w:t>38</w:t>
      </w:r>
      <w:r w:rsidR="00DD12D1" w:rsidRPr="00DD12D1">
        <w:t>)</w:t>
      </w:r>
      <w:r w:rsidRPr="00487066">
        <w:rPr>
          <w:rStyle w:val="Strong"/>
          <w:rFonts w:eastAsiaTheme="majorEastAsia"/>
          <w:b w:val="0"/>
          <w:bCs w:val="0"/>
        </w:rPr>
        <w:fldChar w:fldCharType="end"/>
      </w:r>
      <w:r>
        <w:rPr>
          <w:b/>
          <w:bCs/>
        </w:rPr>
        <w:t xml:space="preserve"> </w:t>
      </w:r>
      <w:r w:rsidRPr="00B24088">
        <w:t xml:space="preserve">and Gram-positive cell wall biosynthesis characteristic of obligates from the Firmicutes </w:t>
      </w:r>
      <w:r w:rsidRPr="00D4726B">
        <w:rPr>
          <w:rStyle w:val="Strong"/>
          <w:rFonts w:eastAsiaTheme="majorEastAsia"/>
          <w:b w:val="0"/>
          <w:bCs w:val="0"/>
        </w:rPr>
        <w:t>phylum</w:t>
      </w:r>
      <w:r>
        <w:rPr>
          <w:rStyle w:val="Strong"/>
          <w:rFonts w:eastAsiaTheme="majorEastAsia"/>
        </w:rPr>
        <w:t xml:space="preserve"> </w:t>
      </w:r>
      <w:r>
        <w:rPr>
          <w:rStyle w:val="Strong"/>
          <w:rFonts w:eastAsiaTheme="majorEastAsia"/>
          <w:b w:val="0"/>
          <w:bCs w:val="0"/>
        </w:rPr>
        <w:fldChar w:fldCharType="begin"/>
      </w:r>
      <w:r w:rsidR="00FE18CB">
        <w:rPr>
          <w:rStyle w:val="Strong"/>
          <w:rFonts w:eastAsiaTheme="majorEastAsia"/>
        </w:rPr>
        <w:instrText xml:space="preserve"> ADDIN ZOTERO_ITEM CSL_CITATION {"citationID":"M9J7IkJO","properties":{"formattedCitation":"({\\i{}89})","plainCitation":"(89)","noteIndex":0},"citationItems":[{"id":3707,"uris":["http://zotero.org/users/13901503/items/DINXISI6"],"itemData":{"id":3707,"type":"article-journal","abstract":"The microorganisms that inhabit the human gastrointestinal tract comprise a complex ecosystem with functions that significantly contribute to our systemic metabolism and have an impact on health and disease. In line with its importance, the human gastrointestinal microbiota has been extensively studied. Despite the fact that a significant part of the intestinal microorganisms has not yet been cultured, presently over 1000 different microbial species that can reside in the human gastrointestinal tract have been identified. This review provides a systematic overview and detailed references of the total of 1057 intestinal species of Eukarya (92), Archaea (8) and Bacteria (957), based on the phylogenetic framework of their small subunit ribosomal RNA gene sequences. Moreover, it unifies knowledge about the prevalence, abundance, stability, physiology, genetics and the association with human health of these gastrointestinal microorganisms, which is currently scattered over a vast amount of literature published in the last 150 years. This detailed physiological and genetic information is expected to be instrumental in advancing our knowledge of the gastrointestinal microbiota. Moreover, it opens avenues for future comparative and functional metagenomic and other high-throughput approaches that need a systematic and physiological basis to have an impact.","container-title":"FEMS Microbiology Reviews","DOI":"10.1111/1574-6976.12075","ISSN":"0168-6445","issue":"5","journalAbbreviation":"FEMS Microbiology Reviews","page":"996-1047","source":"Silverchair","title":"The first 1000 cultured species of the human gastrointestinal microbiota","volume":"38","author":[{"family":"Rajilić-Stojanović","given":"Mirjana"},{"family":"Vos","given":"Willem M.","non-dropping-particle":"de"}],"issued":{"date-parts":[["2014",9,1]]}}}],"schema":"https://github.com/citation-style-language/schema/raw/master/csl-citation.json"} </w:instrText>
      </w:r>
      <w:r>
        <w:rPr>
          <w:rStyle w:val="Strong"/>
          <w:rFonts w:eastAsiaTheme="majorEastAsia"/>
          <w:b w:val="0"/>
          <w:bCs w:val="0"/>
        </w:rPr>
        <w:fldChar w:fldCharType="separate"/>
      </w:r>
      <w:r w:rsidR="00FE18CB" w:rsidRPr="00FE18CB">
        <w:t>(</w:t>
      </w:r>
      <w:r w:rsidR="00FE18CB" w:rsidRPr="00FE18CB">
        <w:rPr>
          <w:i/>
          <w:iCs/>
        </w:rPr>
        <w:t>89</w:t>
      </w:r>
      <w:r w:rsidR="00FE18CB" w:rsidRPr="00FE18CB">
        <w:t>)</w:t>
      </w:r>
      <w:r>
        <w:rPr>
          <w:rStyle w:val="Strong"/>
          <w:rFonts w:eastAsiaTheme="majorEastAsia"/>
          <w:b w:val="0"/>
          <w:bCs w:val="0"/>
        </w:rPr>
        <w:fldChar w:fldCharType="end"/>
      </w:r>
      <w:r>
        <w:rPr>
          <w:rStyle w:val="Strong"/>
          <w:rFonts w:eastAsiaTheme="majorEastAsia"/>
        </w:rPr>
        <w:t>(</w:t>
      </w:r>
      <w:r w:rsidRPr="00B24088">
        <w:t>Fig 5</w:t>
      </w:r>
      <w:r>
        <w:t>A</w:t>
      </w:r>
      <w:r w:rsidRPr="00B24088">
        <w:t>).</w:t>
      </w:r>
      <w:r>
        <w:t xml:space="preserve"> Therefore, the combination of high temperatures and increased macrophage activity appears to contribute to the loss of obligate anaerobes, likely because immune activation exacerbates the redox imbalance initiated by high temperatures.</w:t>
      </w:r>
    </w:p>
    <w:p w14:paraId="4C814F31" w14:textId="5F11DF86" w:rsidR="00D4726B" w:rsidRDefault="00D4726B" w:rsidP="00D4726B">
      <w:pPr>
        <w:ind w:firstLine="720"/>
      </w:pPr>
      <w:r>
        <w:t xml:space="preserve">In contrast, facultative anaerobes may be more resilient to these conditions. For example, </w:t>
      </w:r>
      <w:proofErr w:type="spellStart"/>
      <w:r w:rsidRPr="00D4726B">
        <w:rPr>
          <w:rStyle w:val="Strong"/>
          <w:rFonts w:eastAsiaTheme="majorEastAsia"/>
          <w:b w:val="0"/>
          <w:bCs w:val="0"/>
          <w:i/>
          <w:iCs/>
        </w:rPr>
        <w:t>Helicobacteraceae</w:t>
      </w:r>
      <w:proofErr w:type="spellEnd"/>
      <w:r w:rsidRPr="00455FE7">
        <w:t xml:space="preserve"> </w:t>
      </w:r>
      <w:r>
        <w:t xml:space="preserve">exhibits a stronger increase in abundance when neopterin is high (Fig 4B), </w:t>
      </w:r>
      <w:r>
        <w:lastRenderedPageBreak/>
        <w:t>suggesting they are better able to tolerate redox imbalance, and may exploit niches vacated by the loss of obligates. Similarly, several pathways commonly associated with facultative anaerobes exhibit a stronger increase at high neopterin levels and may help these taxa actively respond to changes in the gut environment (Fig 5D). For example, the glyoxylate cycle and Rubisco shunt both increase under high neopterin, which likely supports energy conservation</w:t>
      </w:r>
      <w:r w:rsidRPr="009647C8">
        <w:t xml:space="preserve"> </w:t>
      </w:r>
      <w:r>
        <w:t xml:space="preserve">under oxygen and energy-limited conditions </w:t>
      </w:r>
      <w:r>
        <w:fldChar w:fldCharType="begin"/>
      </w:r>
      <w:r w:rsidR="00FE18CB">
        <w:instrText xml:space="preserve"> ADDIN ZOTERO_ITEM CSL_CITATION {"citationID":"PvilTIb8","properties":{"formattedCitation":"({\\i{}90}, {\\i{}91})","plainCitation":"(90, 91)","noteIndex":0},"citationItems":[{"id":3666,"uris":["http://zotero.org/users/13901503/items/787C6UND"],"itemData":{"id":3666,"type":"article-journal","abstract":"&lt;p&gt;The glyoxylate shunt (GS) is a two-step metabolic pathway (isocitrate lyase, &lt;i&gt;aceA&lt;/i&gt;; and malate synthase, &lt;i&gt;glcB&lt;/i&gt;) that serves as an alternative to the tricarboxylic acid cycle. The GS bypasses the carbon dioxide-producing steps of the tricarboxylic acid cycle and is essential for acetate and fatty acid metabolism in bacteria. GS can be up-regulated under conditions of oxidative stress, antibiotic stress, and host infection, which implies that it plays important but poorly explored roles in stress defense and pathogenesis. In many bacterial species, including &lt;i&gt;Pseudomonas aeruginosa&lt;/i&gt;, &lt;i&gt;aceA&lt;/i&gt; and &lt;i&gt;glcB&lt;/i&gt; are not in an operon, unlike in &lt;i&gt;Escherichia coli&lt;/i&gt;. In &lt;i&gt;P. aeruginosa&lt;/i&gt;, we explored relationships between GS genes and growth, transcription profiles, and biofilm formation. Contrary to our expectations, deletion of &lt;i&gt;aceA&lt;/i&gt; in &lt;i&gt;P. aeruginosa&lt;/i&gt; improved cell growth under conditions of oxidative and antibiotic stress. Transcriptome data suggested that &lt;i&gt;aceA&lt;/i&gt; mutants underwent a metabolic shift toward aerobic denitrification; this was supported by additional evidence, including up-regulation of denitrification-related genes, decreased oxygen consumption without lowering ATP yield, increased production of denitrification intermediates (NO and N&lt;sub&gt;2&lt;/sub&gt;O), and increased cyanide resistance. The &lt;i&gt;aceA&lt;/i&gt; mutants also produced a thicker exopolysaccharide layer; that is, a phenotype consistent with aerobic denitrification. A bioinformatic survey across known bacterial genomes showed that only microorganisms capable of aerobic metabolism possess the glyoxylate shunt. This trend is consistent with the hypothesis that the GS plays a previously unrecognized role in allowing bacteria to tolerate oxidative stress.&lt;/p&gt;","container-title":"Journal of Biological Chemistry","DOI":"10.1074/jbc.M115.708149","ISSN":"0021-9258, 1083-351X","issue":"22","journalAbbreviation":"Journal of Biological Chemistry","language":"English","note":"publisher: Elsevier","page":"11928-11938","source":"www-jbc-org.proxy.lib.umich.edu","title":"Role of Glyoxylate Shunt in Oxidative Stress Response","volume":"291","author":[{"family":"Ahn","given":"Sungeun"},{"family":"Jung","given":"Jaejoon"},{"family":"Jang","given":"In-Ae"},{"family":"Madsen","given":"Eugene L."},{"family":"Park","given":"Woojun"}],"issued":{"date-parts":[["2016",5,27]]}}},{"id":3661,"uris":["http://zotero.org/users/13901503/items/7EH7QSRX"],"itemData":{"id":3661,"type":"article-journal","abstract":"Rubisco is the predominant enzymatic mechanism in the biosphere by which autotrophic bacteria, algae, and terrestrial plants fix CO2 into organic biomass via the Calvin–Benson–Basham reductive pentose phosphate pathway. Rubisco is not a perfect catalyst, suffering from low turnover rates, a low affinity for its CO2 substrate, and a competitive inhibition by O2 as an alternative substrate. As a consequence of changing environmental conditions over the past 3.5 billion years, with decreasing CO2 and increasing O2 in the atmosphere, Rubisco has evolved into multiple enzymatic forms with a range of kinetic properties, as well as co-evolving with CO2-concentrating mechanisms to cope with the different environmental contexts in which it must operate. The most dramatic evidence of this is the occurrence of multiple forms of Rubisco within autotrophic proteobacteria, where Forms II, IC, IBc, IAc, and IAq can be found either singly or in multiple combinations within a particular bacterial genome. Over the past few years there has been increasing availability of genomic sequence data for bacteria and this has allowed us to gain more extensive insights into the functional significance of this diversification. This paper is focused on summarizing what is known about the diversity of Rubisco forms, their kinetic properties, development of bacterial CO2-concentrating mechanisms, and correlations with metabolic flexibility and inorganic carbon environments in which proteobacteria perform various types of obligate and facultative chemo- and photoautotrophic CO2 fixation.","container-title":"Journal of Experimental Botany","DOI":"10.1093/jxb/erm297","ISSN":"0022-0957","issue":"7","journalAbbreviation":"Journal of Experimental Botany","page":"1525-1541","source":"Silverchair","title":"Multiple Rubisco forms in proteobacteria: their functional significance in relation to CO2 acquisition by the CBB cycle","title-short":"Multiple Rubisco forms in proteobacteria","volume":"59","author":[{"family":"Badger","given":"Murray Ronald"},{"family":"Bek","given":"Emily Jane"}],"issued":{"date-parts":[["2008",5,1]]}}}],"schema":"https://github.com/citation-style-language/schema/raw/master/csl-citation.json"} </w:instrText>
      </w:r>
      <w:r>
        <w:fldChar w:fldCharType="separate"/>
      </w:r>
      <w:r w:rsidR="00FE18CB" w:rsidRPr="00FE18CB">
        <w:t>(</w:t>
      </w:r>
      <w:r w:rsidR="00FE18CB" w:rsidRPr="00FE18CB">
        <w:rPr>
          <w:i/>
          <w:iCs/>
        </w:rPr>
        <w:t>90</w:t>
      </w:r>
      <w:r w:rsidR="00FE18CB" w:rsidRPr="00FE18CB">
        <w:t xml:space="preserve">, </w:t>
      </w:r>
      <w:r w:rsidR="00FE18CB" w:rsidRPr="00FE18CB">
        <w:rPr>
          <w:i/>
          <w:iCs/>
        </w:rPr>
        <w:t>91</w:t>
      </w:r>
      <w:r w:rsidR="00FE18CB" w:rsidRPr="00FE18CB">
        <w:t>)</w:t>
      </w:r>
      <w:r>
        <w:fldChar w:fldCharType="end"/>
      </w:r>
      <w:r>
        <w:t xml:space="preserve">. In addition, redox maintenance pathways such as ubiquinone biosynthesis also increase which helps facultative anaerobes neutralize ROS </w:t>
      </w:r>
      <w:r>
        <w:fldChar w:fldCharType="begin"/>
      </w:r>
      <w:r w:rsidR="00FE18CB">
        <w:instrText xml:space="preserve"> ADDIN ZOTERO_ITEM CSL_CITATION {"citationID":"Fk5o5734","properties":{"formattedCitation":"({\\i{}92})","plainCitation":"(92)","noteIndex":0},"citationItems":[{"id":3665,"uris":["http://zotero.org/users/13901503/items/NVUGIX64"],"itemData":{"id":3665,"type":"article-journal","container-title":"Microbiology","DOI":"10.1099/mic.0.2007/006098-0","ISSN":"1350-0872, 1465-2080","issue":"6","language":"en","page":"1974-1980","source":"DOI.org (Crossref)","title":"Changes in the redox state and composition of the quinone pool of Escherichia coli during aerobic batch-culture growth","volume":"153","author":[{"family":"Bekker","given":"M"},{"family":"Kramer","given":"G"},{"family":"Hartog","given":"A. F"},{"family":"Wagner","given":"M. J"},{"family":"De Koster","given":"C. G"},{"family":"Hellingwerf","given":"K. J"},{"family":"Teixeira De Mattos","given":"M. J"}],"issued":{"date-parts":[["2007",6,1]]}}}],"schema":"https://github.com/citation-style-language/schema/raw/master/csl-citation.json"} </w:instrText>
      </w:r>
      <w:r>
        <w:fldChar w:fldCharType="separate"/>
      </w:r>
      <w:r w:rsidR="00FE18CB" w:rsidRPr="00FE18CB">
        <w:t>(</w:t>
      </w:r>
      <w:r w:rsidR="00FE18CB" w:rsidRPr="00FE18CB">
        <w:rPr>
          <w:i/>
          <w:iCs/>
        </w:rPr>
        <w:t>92</w:t>
      </w:r>
      <w:r w:rsidR="00FE18CB" w:rsidRPr="00FE18CB">
        <w:t>)</w:t>
      </w:r>
      <w:r>
        <w:fldChar w:fldCharType="end"/>
      </w:r>
      <w:r>
        <w:t>.</w:t>
      </w:r>
      <w:r w:rsidRPr="009647C8">
        <w:t xml:space="preserve"> </w:t>
      </w:r>
      <w:r>
        <w:t xml:space="preserve">Synthesis of enterobacterial common antigen (ECA) also increases, which is characteristic of </w:t>
      </w:r>
      <w:r w:rsidRPr="00E344E1">
        <w:rPr>
          <w:i/>
          <w:iCs/>
        </w:rPr>
        <w:t>Enterobacteriaceae</w:t>
      </w:r>
      <w:r>
        <w:t xml:space="preserve"> </w:t>
      </w:r>
      <w:r>
        <w:fldChar w:fldCharType="begin"/>
      </w:r>
      <w:r w:rsidR="00FE18CB">
        <w:instrText xml:space="preserve"> ADDIN ZOTERO_ITEM CSL_CITATION {"citationID":"run2xhG6","properties":{"formattedCitation":"({\\i{}93})","plainCitation":"(93)","noteIndex":0},"citationItems":[{"id":3712,"uris":["http://zotero.org/users/13901503/items/S8VNSY7N"],"itemData":{"id":3712,"type":"article-journal","abstract":"Enterobacterial common antigen (ECA) is a family-specific surface antigen shared by all members of the Enterobacteriaceae and is restricted to this family. It is found in freshly isolated wild-type strains as well as in laboratory strains like Escherichia coli K-12. The family specificity of ECA can be used for taxonomic and diagnostic purposes. ECA is located in the outer leaflet of the outer membrane. It is a glycophospholipid built up by an aminosugar heteropolymer linked to an l-glycerophosphatidyl residue. In a few rough mutants, in addition, the sugar chain can be bound to the complete lipopolysaccharide (LPS) core. Recently, for Shigella sonnei a lipid-free cyclic form of ECA was reported. The genetical determination of ECA is closely related to that of lipopolysaccharide. For biosynthesis of ECA and LPS partly the same sugar precursors and the same carrier lipid is used.","container-title":"FEMS Microbiology Reviews","DOI":"10.1111/j.1574-6968.1988.tb02743.x","ISSN":"0168-6445","issue":"3","journalAbbreviation":"FEMS Microbiology Reviews","page":"195-222","source":"Silverchair","title":"ECA, the enterobacterial common antigen*","volume":"4","author":[{"family":"Kuhn","given":"Hella-Monika"},{"family":"Meier-Dieter","given":"Ursula"},{"family":"Mayer","given":"Hubert"}],"issued":{"date-parts":[["1988",9,1]]}}}],"schema":"https://github.com/citation-style-language/schema/raw/master/csl-citation.json"} </w:instrText>
      </w:r>
      <w:r>
        <w:fldChar w:fldCharType="separate"/>
      </w:r>
      <w:r w:rsidR="00FE18CB" w:rsidRPr="00FE18CB">
        <w:t>(</w:t>
      </w:r>
      <w:r w:rsidR="00FE18CB" w:rsidRPr="00FE18CB">
        <w:rPr>
          <w:i/>
          <w:iCs/>
        </w:rPr>
        <w:t>93</w:t>
      </w:r>
      <w:r w:rsidR="00FE18CB" w:rsidRPr="00FE18CB">
        <w:t>)</w:t>
      </w:r>
      <w:r>
        <w:fldChar w:fldCharType="end"/>
      </w:r>
      <w:r>
        <w:t>.</w:t>
      </w:r>
      <w:r w:rsidRPr="00516686">
        <w:t xml:space="preserve"> </w:t>
      </w:r>
      <w:r>
        <w:t xml:space="preserve">Further, the shift towards facultative taxa at high temperatures likely contributes to increased immune activation and further disrupts gut-immune homeostasis. For example, lipid A synthesis, which is characteristic of many facultative taxa, increases at higher neopterin and forms pathogen-associated molecular patterns (PAMPs) that are recognized by Toll-like receptors (TLRs) and can initiate pro-inflammatory signaling </w:t>
      </w:r>
      <w:r>
        <w:fldChar w:fldCharType="begin"/>
      </w:r>
      <w:r w:rsidR="00FE18CB">
        <w:instrText xml:space="preserve"> ADDIN ZOTERO_ITEM CSL_CITATION {"citationID":"EGWGOe9I","properties":{"formattedCitation":"({\\i{}94})","plainCitation":"(94)","noteIndex":0},"citationItems":[{"id":3710,"uris":["http://zotero.org/users/13901503/items/7XBTXUWV"],"itemData":{"id":3710,"type":"article-journal","abstract":"Bacterial lipopolysaccharides (LPS) typically consist of a hydrophobic domain known as lipid A (or endotoxin), a nonrepeating “core” oligosaccharide, and a distal polysaccharide (or O-antigen). Recent genomic data have facilitated study of LPS assembly in diverse Gram-negative bacteria, many of which are human or plant pathogens, and have established the importance of lateral gene transfer in generating structural diversity of O-antigens. Many enzymes of lipid A biosynthesis like LpxC have been validated as targets for development of new antibiotics. Key genes for lipid A biosynthesis have unexpectedly also been found in higher plants, indicating that eukaryotic lipid A-like molecules may exist. Most significant has been the identification of the plasma membrane protein TLR4 as the lipid A signaling receptor of animal cells. TLR4 belongs to a family of innate immunity receptors that possess a large extracellular domain of leucine-rich repeats, a single trans-membrane segment, and a smaller cytoplasmic signaling region that engages the adaptor protein MyD88. The expanding knowledge of TLR4 specificity and its downstream signaling pathways should provide new opportunities for blocking inflammation associated with infection.","container-title":"Annual Review of Biochemistry","DOI":"10.1146/annurev.biochem.71.110601.135414","ISSN":"0066-4154","issue":"1","journalAbbreviation":"Annual Review of Biochemistry","language":"eng","note":"publisher: Annual Reviews Inc.","page":"635","source":"EBSCOhost","title":"Lipopolysaccharide endotoxins","volume":"71","author":[{"family":"Raetz","given":"Christian R. H."},{"family":"Whitfield","given":"Chris"}],"issued":{"date-parts":[["2002",7,1]]}}}],"schema":"https://github.com/citation-style-language/schema/raw/master/csl-citation.json"} </w:instrText>
      </w:r>
      <w:r>
        <w:fldChar w:fldCharType="separate"/>
      </w:r>
      <w:r w:rsidR="00FE18CB" w:rsidRPr="00FE18CB">
        <w:t>(</w:t>
      </w:r>
      <w:r w:rsidR="00FE18CB" w:rsidRPr="00FE18CB">
        <w:rPr>
          <w:i/>
          <w:iCs/>
        </w:rPr>
        <w:t>94</w:t>
      </w:r>
      <w:r w:rsidR="00FE18CB" w:rsidRPr="00FE18CB">
        <w:t>)</w:t>
      </w:r>
      <w:r>
        <w:fldChar w:fldCharType="end"/>
      </w:r>
      <w:r>
        <w:t xml:space="preserve">(Fig 5D). </w:t>
      </w:r>
      <w:proofErr w:type="spellStart"/>
      <w:r>
        <w:rPr>
          <w:rStyle w:val="Emphasis"/>
          <w:rFonts w:eastAsiaTheme="majorEastAsia"/>
        </w:rPr>
        <w:t>Helicobacteraceae</w:t>
      </w:r>
      <w:proofErr w:type="spellEnd"/>
      <w:r>
        <w:rPr>
          <w:rStyle w:val="Emphasis"/>
          <w:rFonts w:eastAsiaTheme="majorEastAsia"/>
        </w:rPr>
        <w:t xml:space="preserve"> </w:t>
      </w:r>
      <w:r w:rsidRPr="00F4439B">
        <w:rPr>
          <w:rStyle w:val="Emphasis"/>
          <w:rFonts w:eastAsiaTheme="majorEastAsia"/>
          <w:i w:val="0"/>
          <w:iCs w:val="0"/>
        </w:rPr>
        <w:t>is also associated with</w:t>
      </w:r>
      <w:r>
        <w:rPr>
          <w:rStyle w:val="Emphasis"/>
          <w:rFonts w:eastAsiaTheme="majorEastAsia"/>
        </w:rPr>
        <w:t xml:space="preserve"> </w:t>
      </w:r>
      <w:r>
        <w:t xml:space="preserve">inflammatory diseases and may promote macrophage activation by damaging the gut epithelium and disrupting the mucosal barrier </w:t>
      </w:r>
      <w:r>
        <w:fldChar w:fldCharType="begin"/>
      </w:r>
      <w:r w:rsidR="00FE18CB">
        <w:instrText xml:space="preserve"> ADDIN ZOTERO_ITEM CSL_CITATION {"citationID":"cZJ2yfWg","properties":{"formattedCitation":"({\\i{}115})","plainCitation":"(115)","noteIndex":0},"citationItems":[{"id":3644,"uris":["http://zotero.org/users/13901503/items/GZ2VQ6TK"],"itemData":{"id":3644,"type":"article-journal","abstract":"Abstract: Helicobacter pylori (H. pylori) has been considered as an important pathogen of gastroduodenal inflammation and gastric carcinogenesis. However, the pathogenic mechanisms including H. pylori-induced apoptosis and subsequent molecular mechanisms have not been clarified yet. The present study examined the role of Bcl-2 and its relation to NF-κB in H. pylori-induced apoptosis in human gastric epithelial AGS cells. AGS cells were cultured in the presence of H. pylori, at a bacterium/cell ratio of 300:1, for the determination of apoptosis, NF-κB activation with IkBa degradation, and Bcl-2 level. AGS cells were transfected with a control vector (pCMV cells) or a full-length human Bcl-2 expression vector (Bcl-2 cells). H. pylori-induced apoptosis and NF-κB activation were compared in the wild-type cells and the transfected cells. As a result, H. pylori increased apoptotic cells with chromatin condensation and reduced Bcl-2 levels, which were accompanied with NF-κB activation. H. pylori induced sixfold increase in the number of apoptotic cells in wild-type cells and pCMV cells. H. pylori-induced increment of apoptotic cells were relatively lower in Bcl-2 cells than pCMV cells. H. pylori-induced NF-κB activation and IkBa degradation were not different in the wild-type cells, pCMV cells, and Bcl-2 cells. In conclusion, the reduced gastric Bcl-2 level may be the main pathogenic mechanism of H. pylori-induced apoptosis in gastric epithelial cells.","container-title":"Annals of the New York Academy of Sciences","DOI":"10.1196/annals.1299.106","ISSN":"1749-6632","issue":"1","language":"en","note":"_eprint: https://onlinelibrary.wiley.com/doi/pdf/10.1196/annals.1299.106","page":"568-572","source":"Wiley Online Library","title":"NF-κB and Bcl-2 in Helicobacter pylori-Induced Apoptosis in Gastric Epithelial Cells","volume":"1010","author":[{"family":"Chu","given":"Sang Hui"},{"family":"Lim","given":"Joo Weon"},{"family":"Kim","given":"Kyung Hwan"},{"family":"Kim","given":"Hyeyoung"}],"issued":{"date-parts":[["2003"]]}}}],"schema":"https://github.com/citation-style-language/schema/raw/master/csl-citation.json"} </w:instrText>
      </w:r>
      <w:r>
        <w:fldChar w:fldCharType="separate"/>
      </w:r>
      <w:r w:rsidR="00FE18CB" w:rsidRPr="00FE18CB">
        <w:t>(</w:t>
      </w:r>
      <w:r w:rsidR="00FE18CB" w:rsidRPr="00FE18CB">
        <w:rPr>
          <w:i/>
          <w:iCs/>
        </w:rPr>
        <w:t>115</w:t>
      </w:r>
      <w:r w:rsidR="00FE18CB" w:rsidRPr="00FE18CB">
        <w:t>)</w:t>
      </w:r>
      <w:r>
        <w:fldChar w:fldCharType="end"/>
      </w:r>
      <w:r>
        <w:t>. These shifts coupled with the loss of anti-inflammatory support from obligate anaerobes could lead to sustained immune activation and increase the risk of chronic inflammation at high temperatures.</w:t>
      </w:r>
      <w:r w:rsidRPr="00410923">
        <w:t xml:space="preserve"> </w:t>
      </w:r>
    </w:p>
    <w:p w14:paraId="17C7E5FE" w14:textId="4A8045EA" w:rsidR="00D4726B" w:rsidRDefault="00D4726B" w:rsidP="00D4726B">
      <w:pPr>
        <w:ind w:firstLine="720"/>
      </w:pPr>
      <w:r w:rsidRPr="00973225">
        <w:t xml:space="preserve">Taken together, these findings provide robust support for a </w:t>
      </w:r>
      <w:bookmarkStart w:id="1" w:name="_Hlk200366020"/>
      <w:r w:rsidRPr="00973225">
        <w:t xml:space="preserve">heat-induced physiological cascade that affects microbiome composition and disrupts </w:t>
      </w:r>
      <w:r>
        <w:t>microbiome-</w:t>
      </w:r>
      <w:r w:rsidRPr="00973225">
        <w:t xml:space="preserve">immune homeostasis </w:t>
      </w:r>
      <w:bookmarkEnd w:id="1"/>
      <w:r w:rsidRPr="00973225">
        <w:t>(Fig. 3F). The interaction effect reveal</w:t>
      </w:r>
      <w:r>
        <w:t>s</w:t>
      </w:r>
      <w:r w:rsidRPr="00973225">
        <w:t xml:space="preserve"> three key patterns: (1) heat-driven loss of obligate anaerobes may increase macrophage activation by reducing microbial anti-inflammatory signaling; (2) elevated immune activation exacerbates the decline of obligate taxa and promotes a shift toward facultative taxa; and (3) the expansion of facultative taxa may, in turn, heighten immune activation. While we cannot demonstrate directionality among these relationships, the results highlight how each component can reinforce the others, creating a feedback loop during periods of heat stress</w:t>
      </w:r>
      <w:r>
        <w:t xml:space="preserve"> (Fig 3F)</w:t>
      </w:r>
      <w:r w:rsidRPr="00973225">
        <w:t xml:space="preserve">. </w:t>
      </w:r>
      <w:r>
        <w:t xml:space="preserve">There are also indications that the gut microbiome may mount compensatory responses to counteract these effects in an attempt to restore homeostasis. For example, we observe increased abundance of two known short-chain fatty acid (SCFA) producers, </w:t>
      </w:r>
      <w:proofErr w:type="spellStart"/>
      <w:r>
        <w:rPr>
          <w:rStyle w:val="Emphasis"/>
          <w:rFonts w:eastAsiaTheme="majorEastAsia"/>
        </w:rPr>
        <w:t>Phascolarctobacterium</w:t>
      </w:r>
      <w:proofErr w:type="spellEnd"/>
      <w:r>
        <w:t xml:space="preserve"> </w:t>
      </w:r>
      <w:r>
        <w:fldChar w:fldCharType="begin"/>
      </w:r>
      <w:r w:rsidR="00FE18CB">
        <w:instrText xml:space="preserve"> ADDIN ZOTERO_ITEM CSL_CITATION {"citationID":"ubaxrLzX","properties":{"formattedCitation":"({\\i{}87})","plainCitation":"(87)","noteIndex":0},"citationItems":[{"id":2168,"uris":["http://zotero.org/users/13901503/items/8KEM2KE5"],"itemData":{"id":2168,"type":"article-journal","abstract":"Phascolarctobacterium can produce short‑chain fatty acids, including acetate and propionate, and can be associated with the metabolic state and mood of the host. The present study investigated the colonization characteristics of Phascolarctobacterium faecium in healthy individuals &lt;1-80 years old in Southern China. A total of 150 fresh fecal samples were collected, and bacterial DNA was isolated from these samples for quantitative polymerase chain reaction analysis. Phascolarctobacterium faecium demonstrated a high colonization rate and abundant colonization in the human gastrointestinal tract. The colonization rate varied between 43.33‑93.33%, and the abundance of Phascolarctobacterium faecium ranged between 3.22‑5.76 log cells g‑1 (&lt;1 years old) and 3.06‑9.33 log cells g‑1 (&gt;1 year old). The permillage of Phascolarctobacterium faecium in total bacteria ranged between 0.004‑1.479. There was presence of Phascolarctobacterium faecium‑like bacteria in younger individuals with a gradual increase in the number of bacteria maintained at a high level with increasing ages (between 1 and 60 years old), but with a decrease in elderly individuals (&gt;60 years old). The results of the present study demonstrated that Phascolarctobacterium faecium is abundantly colonized in the human gastrointestinal tract.","container-title":"Experimental and Therapeutic Medicine","DOI":"10.3892/etm.2017.4878","ISSN":"1792-0981, 1792-1015","issue":"4","language":"en","page":"3122-3126","source":"DOI.org (Crossref)","title":"Phascolarctobacterium faecium abundant colonization in human gastrointestinal tract","volume":"14","author":[{"family":"Wu","given":"Feifan"},{"family":"Guo","given":"Xianfeng"},{"family":"Zhang","given":"Jiachun"},{"family":"Zhang","given":"Min"},{"family":"Ou","given":"Zihao"},{"family":"Peng","given":"Yongzheng"}],"issued":{"date-parts":[["2017",10]]}}}],"schema":"https://github.com/citation-style-language/schema/raw/master/csl-citation.json"} </w:instrText>
      </w:r>
      <w:r>
        <w:fldChar w:fldCharType="separate"/>
      </w:r>
      <w:r w:rsidR="00FE18CB" w:rsidRPr="00FE18CB">
        <w:t>(</w:t>
      </w:r>
      <w:r w:rsidR="00FE18CB" w:rsidRPr="00FE18CB">
        <w:rPr>
          <w:i/>
          <w:iCs/>
        </w:rPr>
        <w:t>87</w:t>
      </w:r>
      <w:r w:rsidR="00FE18CB" w:rsidRPr="00FE18CB">
        <w:t>)</w:t>
      </w:r>
      <w:r>
        <w:fldChar w:fldCharType="end"/>
      </w:r>
      <w:r>
        <w:t xml:space="preserve"> and </w:t>
      </w:r>
      <w:r w:rsidRPr="006841BE">
        <w:rPr>
          <w:rStyle w:val="Emphasis"/>
          <w:rFonts w:eastAsiaTheme="majorEastAsia"/>
        </w:rPr>
        <w:t xml:space="preserve">Eubacterium </w:t>
      </w:r>
      <w:r w:rsidRPr="006841BE">
        <w:rPr>
          <w:rStyle w:val="Emphasis"/>
          <w:rFonts w:eastAsiaTheme="majorEastAsia"/>
          <w:i w:val="0"/>
          <w:iCs w:val="0"/>
        </w:rPr>
        <w:fldChar w:fldCharType="begin"/>
      </w:r>
      <w:r w:rsidR="00FE18CB">
        <w:rPr>
          <w:rStyle w:val="Emphasis"/>
          <w:rFonts w:eastAsiaTheme="majorEastAsia"/>
        </w:rPr>
        <w:instrText xml:space="preserve"> ADDIN ZOTERO_ITEM CSL_CITATION {"citationID":"ppO23vVe","properties":{"formattedCitation":"({\\i{}86})","plainCitation":"(86)","noteIndex":0},"citationItems":[{"id":3715,"uris":["http://zotero.org/users/13901503/items/6SAKEANZ"],"itemData":{"id":3715,"type":"article-journal","abstract":"Summary The human gut microbiota ferments dietary non-digestible carbohydrates into short-chain fatty acids (SCFA). These microbial products are utilized by the host and propionate and butyrate in particular exert a range of health-promoting functions. Here an overview of the metabolic pathways utilized by gut microbes to produce these two SCFA from dietary carbohydrates and from amino acids resulting from protein breakdown is provided. This overview emphasizes the important role played by cross-feeding of intermediary metabolites (in particular lactate, succinate and 1,2-propanediol) between different gut bacteria. The ecophysiology, including growth requirements and responses to environmental factors, of major propionate and butyrate producing bacteria are discussed in relation to dietary modulation of these metabolites. A detailed understanding of SCFA metabolism by the gut microbiota is necessary to underpin effective strategies to optimize SCFA supply to the host.","container-title":"Environmental Microbiology","DOI":"10.1111/1462-2920.13589","ISSN":"1462-2912","issue":"1","note":"publisher: John Wiley &amp; Sons, Ltd","page":"29-41","source":"enviromicro-journals-onlinelibrary-wiley-com.proxy.lib.umich.edu (Atypon)","title":"Formation of propionate and butyrate by the human colonic microbiota","volume":"19","author":[{"family":"Louis","given":"Petra"},{"family":"Flint","given":"Harry J."}],"issued":{"date-parts":[["2017",1]]}}}],"schema":"https://github.com/citation-style-language/schema/raw/master/csl-citation.json"} </w:instrText>
      </w:r>
      <w:r w:rsidRPr="006841BE">
        <w:rPr>
          <w:rStyle w:val="Emphasis"/>
          <w:rFonts w:eastAsiaTheme="majorEastAsia"/>
          <w:i w:val="0"/>
          <w:iCs w:val="0"/>
        </w:rPr>
        <w:fldChar w:fldCharType="separate"/>
      </w:r>
      <w:r w:rsidR="00FE18CB" w:rsidRPr="00FE18CB">
        <w:t>(</w:t>
      </w:r>
      <w:r w:rsidR="00FE18CB" w:rsidRPr="00FE18CB">
        <w:rPr>
          <w:i/>
          <w:iCs/>
        </w:rPr>
        <w:t>86</w:t>
      </w:r>
      <w:r w:rsidR="00FE18CB" w:rsidRPr="00FE18CB">
        <w:t>)</w:t>
      </w:r>
      <w:r w:rsidRPr="006841BE">
        <w:rPr>
          <w:rStyle w:val="Emphasis"/>
          <w:rFonts w:eastAsiaTheme="majorEastAsia"/>
          <w:i w:val="0"/>
          <w:iCs w:val="0"/>
        </w:rPr>
        <w:fldChar w:fldCharType="end"/>
      </w:r>
      <w:r>
        <w:t xml:space="preserve">, at high neopterin levels, possibly reflecting an attempt to promote anti-inflammatory signaling (Fig 4 B &amp; C). In addition, we see an increase in several redox maintenance pathways, including the synthesis of B vitamins </w:t>
      </w:r>
      <w:r>
        <w:fldChar w:fldCharType="begin"/>
      </w:r>
      <w:r w:rsidR="009237D2">
        <w:instrText xml:space="preserve"> ADDIN ZOTERO_ITEM CSL_CITATION {"citationID":"4doJRT7w","properties":{"formattedCitation":"({\\i{}66}, {\\i{}67})","plainCitation":"(66, 67)","noteIndex":0},"citationItems":[{"id":3227,"uris":["http://zotero.org/users/13901503/items/9DQLWAKU"],"itemData":{"id":3227,"type":"article-journal","abstract":"Vitamin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fldChar w:fldCharType="separate"/>
      </w:r>
      <w:r w:rsidR="009237D2" w:rsidRPr="009237D2">
        <w:t>(</w:t>
      </w:r>
      <w:r w:rsidR="009237D2" w:rsidRPr="009237D2">
        <w:rPr>
          <w:i/>
          <w:iCs/>
        </w:rPr>
        <w:t>66</w:t>
      </w:r>
      <w:r w:rsidR="009237D2" w:rsidRPr="009237D2">
        <w:t xml:space="preserve">, </w:t>
      </w:r>
      <w:r w:rsidR="009237D2" w:rsidRPr="009237D2">
        <w:rPr>
          <w:i/>
          <w:iCs/>
        </w:rPr>
        <w:t>67</w:t>
      </w:r>
      <w:r w:rsidR="009237D2" w:rsidRPr="009237D2">
        <w:t>)</w:t>
      </w:r>
      <w:r>
        <w:fldChar w:fldCharType="end"/>
      </w:r>
      <w:r>
        <w:t xml:space="preserve">, </w:t>
      </w:r>
      <w:proofErr w:type="spellStart"/>
      <w:r>
        <w:t>menaquinol</w:t>
      </w:r>
      <w:proofErr w:type="spellEnd"/>
      <w:r>
        <w:t xml:space="preserve"> </w:t>
      </w:r>
      <w:r>
        <w:fldChar w:fldCharType="begin"/>
      </w:r>
      <w:r w:rsidR="009237D2">
        <w:instrText xml:space="preserve"> ADDIN ZOTERO_ITEM CSL_CITATION {"citationID":"fo3HobCR","properties":{"formattedCitation":"({\\i{}68})","plainCitation":"(68)","noteIndex":0},"citationItems":[{"id":3237,"uris":["http://zotero.org/users/13901503/items/VLNZSILJ"],"itemData":{"id":3237,"type":"article-journal","abstract":"In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fldChar w:fldCharType="separate"/>
      </w:r>
      <w:r w:rsidR="009237D2" w:rsidRPr="009237D2">
        <w:t>(</w:t>
      </w:r>
      <w:r w:rsidR="009237D2" w:rsidRPr="009237D2">
        <w:rPr>
          <w:i/>
          <w:iCs/>
        </w:rPr>
        <w:t>68</w:t>
      </w:r>
      <w:r w:rsidR="009237D2" w:rsidRPr="009237D2">
        <w:t>)</w:t>
      </w:r>
      <w:r>
        <w:fldChar w:fldCharType="end"/>
      </w:r>
      <w:r>
        <w:t xml:space="preserve">, and NADPH </w:t>
      </w:r>
      <w:r>
        <w:fldChar w:fldCharType="begin"/>
      </w:r>
      <w:r w:rsidR="00FE18CB">
        <w:instrText xml:space="preserve"> ADDIN ZOTERO_ITEM CSL_CITATION {"citationID":"lcfhCYZs","properties":{"formattedCitation":"({\\i{}71})","plainCitation":"(71)","noteIndex":0},"citationItems":[{"id":3239,"uris":["http://zotero.org/users/13901503/items/F8CEHMIS"],"itemData":{"id":3239,"type":"article-journal","abstract":"Accumulating evidence has suggested that NAD (including NAD؉ and NADH) and NADP (including NADP؉ and NADPH) could belong to the fundamental common mediators of various biological processes, including energy metabolism, mitochondrial functions, calcium homeostasis, antioxidation/generation of oxidative stress, gene expression, immunological functions, aging, and cell death: First, it is established that NAD mediates energy metabolism and mitochondrial functions; second, NADPH is a key component in cellular antioxidation systems; and NADH-dependent reactive oxygen species (ROS) generation from mitochondria and NADPH oxidase-dependent ROS generation are two critical mechanisms of ROS generation; third, cyclic ADP-ribose and several other molecules that are generated from NAD and NADP could mediate calcium homeostasis; fourth, NAD and NADP modulate multiple key factors in cell death, such as mitochondrial permeability transition, energy state, poly(ADP-ribose) polymerase-1, and apoptosis-inducing factor; and fifth, NAD and NADP profoundly affect aging-influencing factors such as oxidative stress and mitochondrial activities, and NADdependent sirtuins also mediate the aging process. Moreover, many recent studies have suggested novel paradigms of NAD and NADP metabolism. Future investigation into the metabolism and biological functions of NAD and NADP may expose fundamental properties of life, and suggest new strategies for treating diseases and slowing the aging process. Antioxid. Redox Signal. 10, 179–206.","container-title":"Antioxidants &amp; Redox Signaling","DOI":"10.1089/ars.2007.1672","ISSN":"1523-0864, 1557-7716","issue":"2","journalAbbreviation":"Antioxidants &amp; Redox Signaling","language":"en","page":"179-206","source":"DOI.org (Crossref)","title":"NAD&lt;sup&gt;+&lt;/sup&gt; /NADH and NADP&lt;sup&gt;+&lt;/sup&gt; /NADPH in Cellular Functions and Cell Death: Regulation and Biological Consequences","title-short":"NAD&lt;sup&gt;+&lt;/sup&gt; /NADH and NADP&lt;sup&gt;+&lt;/sup&gt; /NADPH in Cellular Functions and Cell Death","volume":"10","author":[{"family":"Ying","given":"Weihai"}],"issued":{"date-parts":[["2008",2]]}}}],"schema":"https://github.com/citation-style-language/schema/raw/master/csl-citation.json"} </w:instrText>
      </w:r>
      <w:r>
        <w:fldChar w:fldCharType="separate"/>
      </w:r>
      <w:r w:rsidR="00FE18CB" w:rsidRPr="00FE18CB">
        <w:t>(</w:t>
      </w:r>
      <w:r w:rsidR="00FE18CB" w:rsidRPr="00FE18CB">
        <w:rPr>
          <w:i/>
          <w:iCs/>
        </w:rPr>
        <w:t>71</w:t>
      </w:r>
      <w:r w:rsidR="00FE18CB" w:rsidRPr="00FE18CB">
        <w:t>)</w:t>
      </w:r>
      <w:r>
        <w:fldChar w:fldCharType="end"/>
      </w:r>
      <w:r>
        <w:t xml:space="preserve">, which may represent microbial efforts to restore redox balance (Fig 5 D &amp; E). </w:t>
      </w:r>
    </w:p>
    <w:p w14:paraId="030998E0" w14:textId="6ACEF6EB" w:rsidR="002C24BA" w:rsidRDefault="00D4726B" w:rsidP="00D4726B">
      <w:pPr>
        <w:ind w:firstLine="720"/>
      </w:pPr>
      <w:r w:rsidRPr="00973225">
        <w:t>These results provide compelling evidence that capuchins are already experiencing episodes of heat stress that may impact long-term health and fitness by increasing the risk of chronic inflammatory disease.</w:t>
      </w:r>
      <w:r>
        <w:t xml:space="preserve"> </w:t>
      </w:r>
      <w:r w:rsidRPr="00973225">
        <w:t xml:space="preserve">Future work should incorporate additional immune biomarkers that directly assess inflammation as neopterin primarily reflects macrophage activation and represents only one of the many mechanisms linking immunity and the gut microbiome. Further research is necessary to determine the duration and intensity of heat exposure required to elicit these microbiome–immune effects, and whether they could have consequences for host health and fitness. </w:t>
      </w:r>
      <w:r>
        <w:t>C</w:t>
      </w:r>
      <w:r w:rsidRPr="00973225">
        <w:t>omparative studies in other wild species, particularly those with narrower thermal tolerances, are also important to assess whether these patterns are specific to capuchins or represent broader responses among endotherms to rising temperatures.</w:t>
      </w:r>
    </w:p>
    <w:p w14:paraId="1A3F4A26" w14:textId="77777777" w:rsidR="00A84791" w:rsidRDefault="00A84791" w:rsidP="00D4726B">
      <w:pPr>
        <w:ind w:firstLine="720"/>
      </w:pPr>
    </w:p>
    <w:p w14:paraId="4542C15F" w14:textId="77777777" w:rsidR="00A84791" w:rsidRDefault="00A84791" w:rsidP="00A84791">
      <w:r>
        <w:t xml:space="preserve">Conclusion: </w:t>
      </w:r>
    </w:p>
    <w:p w14:paraId="71FF08B2" w14:textId="416AEDF5" w:rsidR="008C38E8" w:rsidRDefault="00A84791" w:rsidP="00A84791">
      <w:r>
        <w:lastRenderedPageBreak/>
        <w:t xml:space="preserve">Our results highlight the pivotal role of temperature in shaping the gut microbiome and its relationship with host immunity in a wild primate species. Although some microbial responses may buffer against short-term heat exposure, the observed taxonomic and metabolic shifts are unlikely to be sustainable over time and may compromise essential microbiome functions. The decline in obligate </w:t>
      </w:r>
      <w:r w:rsidR="008C38E8">
        <w:t>anaerobes</w:t>
      </w:r>
      <w:r>
        <w:t xml:space="preserve"> and shifts in metabolic pathways, alongside their association with neopterin, suggest that capuchins are experiencing periods of heat stress that may disrupt microbiome–immune homeostasis.</w:t>
      </w:r>
      <w:r w:rsidRPr="00CF2FB2">
        <w:t xml:space="preserve"> </w:t>
      </w:r>
      <w:r>
        <w:t xml:space="preserve">If prolonged, these shifts could reduce host tolerance toward gut microbes and increase the risk of chronic gut inflammation. Our findings </w:t>
      </w:r>
      <w:r w:rsidR="008C38E8">
        <w:t xml:space="preserve">provide some of the earliest evidence </w:t>
      </w:r>
      <w:r w:rsidR="00023842">
        <w:t>of</w:t>
      </w:r>
      <w:r w:rsidR="008C38E8">
        <w:t xml:space="preserve"> heat stress reflected in the gut microbiome of wild endotherms, offering crucial insight into how rising temperatures may disrupt host-microbiome relationships and threaten </w:t>
      </w:r>
      <w:r w:rsidR="00023842">
        <w:t>species resilience</w:t>
      </w:r>
      <w:r w:rsidR="008C38E8">
        <w:t xml:space="preserve"> under climate change.</w:t>
      </w:r>
    </w:p>
    <w:p w14:paraId="4A5D6A5F" w14:textId="77777777" w:rsidR="00D82060" w:rsidRDefault="00D82060" w:rsidP="00A84791"/>
    <w:p w14:paraId="1A0DE7F9" w14:textId="77777777" w:rsidR="00D82060" w:rsidRPr="00FD15B2" w:rsidRDefault="00D82060" w:rsidP="00D82060">
      <w:r w:rsidRPr="00FD15B2">
        <w:t xml:space="preserve">Methods: </w:t>
      </w:r>
    </w:p>
    <w:p w14:paraId="2288EA37" w14:textId="77777777" w:rsidR="00D82060" w:rsidRDefault="00D82060" w:rsidP="00D82060">
      <w:pPr>
        <w:rPr>
          <w:u w:val="single"/>
        </w:rPr>
      </w:pPr>
      <w:r w:rsidRPr="00487A6E">
        <w:rPr>
          <w:u w:val="single"/>
        </w:rPr>
        <w:t xml:space="preserve">Site information and </w:t>
      </w:r>
      <w:r>
        <w:rPr>
          <w:u w:val="single"/>
        </w:rPr>
        <w:t>data</w:t>
      </w:r>
      <w:r w:rsidRPr="00487A6E">
        <w:rPr>
          <w:u w:val="single"/>
        </w:rPr>
        <w:t xml:space="preserve"> collection</w:t>
      </w:r>
    </w:p>
    <w:p w14:paraId="798E00A4" w14:textId="1DCB8528" w:rsidR="00D82060" w:rsidRDefault="00D82060" w:rsidP="00D82060">
      <w:r>
        <w:t xml:space="preserve">We collected data from a wild population of </w:t>
      </w:r>
      <w:r w:rsidRPr="00487A6E">
        <w:rPr>
          <w:i/>
          <w:iCs/>
        </w:rPr>
        <w:t>C. imitator</w:t>
      </w:r>
      <w:r>
        <w:t xml:space="preserve"> living in the </w:t>
      </w:r>
      <w:proofErr w:type="spellStart"/>
      <w:r>
        <w:t>Taboga</w:t>
      </w:r>
      <w:proofErr w:type="spellEnd"/>
      <w:r>
        <w:t xml:space="preserve"> Forest reserve in </w:t>
      </w:r>
      <w:r w:rsidRPr="00EB2753">
        <w:t>Guanacaste</w:t>
      </w:r>
      <w:r>
        <w:t xml:space="preserve">, </w:t>
      </w:r>
      <w:r w:rsidRPr="00EB2753">
        <w:t>Northwestern Costa Rica</w:t>
      </w:r>
      <w:r>
        <w:t xml:space="preserve">. </w:t>
      </w:r>
      <w:r w:rsidRPr="00EB2753">
        <w:t xml:space="preserve">The </w:t>
      </w:r>
      <w:proofErr w:type="spellStart"/>
      <w:r w:rsidRPr="00EB2753">
        <w:t>Taboga</w:t>
      </w:r>
      <w:proofErr w:type="spellEnd"/>
      <w:r w:rsidRPr="00EB2753">
        <w:t xml:space="preserve"> Forest Reserve is a 516-ha tropical dry forest</w:t>
      </w:r>
      <w:r>
        <w:t xml:space="preserve"> fragment and forms an </w:t>
      </w:r>
      <w:r w:rsidRPr="00EB2753">
        <w:t xml:space="preserve">important piece of a fragmented biological corridor connecting the </w:t>
      </w:r>
      <w:proofErr w:type="spellStart"/>
      <w:r w:rsidRPr="00EB2753">
        <w:t>Tempisque</w:t>
      </w:r>
      <w:proofErr w:type="spellEnd"/>
      <w:r w:rsidRPr="00EB2753">
        <w:t xml:space="preserve"> River Basin to the Guanacaste Mountains</w:t>
      </w:r>
      <w:r>
        <w:t xml:space="preserve"> </w:t>
      </w:r>
      <w:r>
        <w:fldChar w:fldCharType="begin"/>
      </w:r>
      <w:r w:rsidR="00FE18CB">
        <w:instrText xml:space="preserve"> ADDIN ZOTERO_ITEM CSL_CITATION {"citationID":"LCB9ZKPz","properties":{"formattedCitation":"({\\i{}116})","plainCitation":"(116)","noteIndex":0},"citationItems":[{"id":559,"uris":["http://zotero.org/users/13901503/items/Z3E2X5D7"],"itemData":{"id":559,"type":"article-journal","abstract":"Across the globe, primates are threatened by human activities. This is especially true for species found in tropical dry forests, which remain largely unprotected. Our ability to predict primate abundance in the face of human activity depends on different species' sensitivities as well as on the characteristics of the forest itself. We studied plant and primate distribution and abundance in the Taboga Forest, a 516-ha tropical dry forest surrounded by agricultural fields in northwestern Costa Rica. We found that the density of white-faced capuchins (Cebus capucinus) at Taboga is 2–6 times higher than reported for other long-term white-faced capuchin sites. Using plant transects, we also found relatively high species richness, diversity, and equitability compared with other tropical dry forests. Edge transects (i.e., within 100 m from the forest boundary) differed from interior transects in two ways: (a) tree species associated with dry forest succession were well-established in the edge and (b) canopy cover in the edge was maintained year-round, while the interior forest was deciduous. Sighting rates for capuchins were higher near water sources but did not vary between the edge and interior forest. For comparison, we also found the same to be true for the only other primate in the Taboga Forest, mantled howler monkeys (Alouatta palliata). Year-round access to water might explain why some primate species can flourish even alongside anthropogenic disturbance. Forest fragments like Taboga may support high densities of some species because they provide a mosaic of habitats and key resources that buffer adverse ecological conditions.","container-title":"American Journal of Primatology","DOI":"10.1002/ajp.23096","ISSN":"1098-2345","issue":"2","language":"en","license":"© 2020 Wiley Periodicals, Inc.","note":"_eprint: https://onlinelibrary.wiley.com/doi/pdf/10.1002/ajp.23096","page":"e23096","source":"Wiley Online Library","title":"High density of white-faced capuchins (Cebus capucinus) and habitat quality in the Taboga Forest of Costa Rica","volume":"82","author":[{"family":"Tinsley Johnson","given":"Elizabeth"},{"family":"Benítez","given":"Marcela E."},{"family":"Fuentes","given":"Alexander"},{"family":"McLean","given":"Celia R."},{"family":"Norford","given":"Ariek B."},{"family":"Ordoñez","given":"Juan Carlos"},{"family":"Beehner","given":"Jacinta C."},{"family":"Bergman","given":"Thore J."}],"issued":{"date-parts":[["2020"]]}}}],"schema":"https://github.com/citation-style-language/schema/raw/master/csl-citation.json"} </w:instrText>
      </w:r>
      <w:r>
        <w:fldChar w:fldCharType="separate"/>
      </w:r>
      <w:r w:rsidR="00FE18CB" w:rsidRPr="00FE18CB">
        <w:t>(</w:t>
      </w:r>
      <w:r w:rsidR="00FE18CB" w:rsidRPr="00FE18CB">
        <w:rPr>
          <w:i/>
          <w:iCs/>
        </w:rPr>
        <w:t>116</w:t>
      </w:r>
      <w:r w:rsidR="00FE18CB" w:rsidRPr="00FE18CB">
        <w:t>)</w:t>
      </w:r>
      <w:r>
        <w:fldChar w:fldCharType="end"/>
      </w:r>
      <w:r>
        <w:t xml:space="preserve">. The Capuchinos de </w:t>
      </w:r>
      <w:proofErr w:type="spellStart"/>
      <w:r>
        <w:t>Taboga</w:t>
      </w:r>
      <w:proofErr w:type="spellEnd"/>
      <w:r>
        <w:t xml:space="preserve"> Research project has collected daily behavioral and endocrine data on the three groups of white-faced capuchins since 2018. All individuals are individually identified and habituated to human presence. Individual age is calculated by birth date for individuals younger than 7 years of age; </w:t>
      </w:r>
      <w:r w:rsidRPr="00196F3A">
        <w:t xml:space="preserve">for individuals older than 7 years, age was estimated based on body condition by </w:t>
      </w:r>
      <w:r>
        <w:t>a field team member</w:t>
      </w:r>
      <w:r w:rsidRPr="00196F3A">
        <w:t xml:space="preserve"> (J.C.O.) with more than two decades of experience observing wild white-faced capuchins.</w:t>
      </w:r>
      <w:r w:rsidRPr="0003332A">
        <w:t xml:space="preserve"> </w:t>
      </w:r>
      <w:r>
        <w:t>A team of two or more trained field assistants collected data between 5:00 AM and 6:30 PM including detailed observations of feeding and foraging behavior using scan sampling. Scans occurred every 30 minutes for 10 minutes, where feeding and foraging observations of individually identified monkeys were recorded. Individuals were recorded multiple times in one scan if they were observed engaging with different food items. Plant food items were identified on the family or genus level.</w:t>
      </w:r>
    </w:p>
    <w:p w14:paraId="57BB8A6A" w14:textId="1CC7F4CF" w:rsidR="00D82060" w:rsidRPr="00AB188E" w:rsidRDefault="00D82060" w:rsidP="00D82060">
      <w:pPr>
        <w:ind w:firstLine="720"/>
        <w:rPr>
          <w:bCs/>
        </w:rPr>
      </w:pPr>
      <w:r>
        <w:t xml:space="preserve">Between September 2022 and July 2023, we </w:t>
      </w:r>
      <w:r w:rsidRPr="00196F3A">
        <w:t>opportunistically</w:t>
      </w:r>
      <w:r>
        <w:t xml:space="preserve"> collected fecal and urine samples</w:t>
      </w:r>
      <w:r w:rsidRPr="00522540">
        <w:t xml:space="preserve"> </w:t>
      </w:r>
      <w:r>
        <w:t xml:space="preserve">in conjunction with behavioral data. All samples were collected </w:t>
      </w:r>
      <w:r w:rsidRPr="00196F3A">
        <w:t xml:space="preserve">from </w:t>
      </w:r>
      <w:r>
        <w:t xml:space="preserve">identified </w:t>
      </w:r>
      <w:r w:rsidRPr="00196F3A">
        <w:t xml:space="preserve">individuals </w:t>
      </w:r>
      <w:r>
        <w:t>who</w:t>
      </w:r>
      <w:r w:rsidRPr="00196F3A">
        <w:t xml:space="preserve"> appeared healthy upon visual inspection</w:t>
      </w:r>
      <w:r>
        <w:t xml:space="preserve">. We placed fecal samples into 4 mL of 98% ethanol immediately after defecation </w:t>
      </w:r>
      <w:r>
        <w:fldChar w:fldCharType="begin"/>
      </w:r>
      <w:r w:rsidR="00DD12D1">
        <w:instrText xml:space="preserve"> ADDIN ZOTERO_ITEM CSL_CITATION {"citationID":"WcH6RPHL","properties":{"formattedCitation":"({\\i{}53})","plainCitation":"(53)","noteIndex":0},"citationItems":[{"id":13,"uris":["http://zotero.org/users/13901503/items/PSP5FMHG"],"itemData":{"id":13,"type":"article-journal","abstract":"The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Ecology","note":"publisher: Nature Publishing Group","page":"1344-1353","source":"www.nature.com","title":"Habitat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R."}],"issued":{"date-parts":[["2013",7]]}}}],"schema":"https://github.com/citation-style-language/schema/raw/master/csl-citation.json"} </w:instrText>
      </w:r>
      <w:r>
        <w:fldChar w:fldCharType="separate"/>
      </w:r>
      <w:r w:rsidR="00DD12D1" w:rsidRPr="00DD12D1">
        <w:t>(</w:t>
      </w:r>
      <w:r w:rsidR="00DD12D1" w:rsidRPr="00DD12D1">
        <w:rPr>
          <w:i/>
          <w:iCs/>
        </w:rPr>
        <w:t>53</w:t>
      </w:r>
      <w:r w:rsidR="00DD12D1" w:rsidRPr="00DD12D1">
        <w:t>)</w:t>
      </w:r>
      <w:r>
        <w:fldChar w:fldCharType="end"/>
      </w:r>
      <w:r>
        <w:t xml:space="preserve">. To avoid contamination, we wore gloves and only collected feces that had not contacted the soil. We discarded feces contaminated with urine to prevent contamination from the urogenital microbiome </w:t>
      </w:r>
      <w:r>
        <w:rPr>
          <w:bCs/>
        </w:rPr>
        <w:fldChar w:fldCharType="begin"/>
      </w:r>
      <w:r w:rsidR="00FE18CB">
        <w:rPr>
          <w:bCs/>
        </w:rPr>
        <w:instrText xml:space="preserve"> ADDIN ZOTERO_ITEM CSL_CITATION {"citationID":"AqOs0Bp6","properties":{"formattedCitation":"({\\i{}117})","plainCitation":"(117)","noteIndex":0},"citationItems":[{"id":1721,"uris":["http://zotero.org/users/13901503/items/EFIJNSWE"],"itemData":{"id":1721,"type":"article-journal","abstract":"Metagenomic analyses have indicated that the female bladder harbors an indigenous microbiota. However, there are few cultured reference strains with sequenced genomes available for functional and experimental analyses. Here we isolate and genome-sequence 149 bacterial strains from catheterized urine of 77 women. This culture collection spans 78 species, representing approximately two thirds of the bacterial diversity within the sampled bladders, including Proteobacteria, Actinobacteria, and Firmicutes. Detailed genomic and functional comparison of the bladder microbiota to the gastrointestinal and vaginal microbiotas demonstrates similar vaginal and bladder microbiota, with functional capacities that are distinct from those observed in the gastrointestinal microbiota. Whole-genome phylogenetic analysis of bacterial strains isolated from the vagina and bladder in the same women identifies highly similar Escherichia coli, Streptococcus anginosus, Lactobacillus iners, and Lactobacillus crispatus, suggesting an interlinked female urogenital microbiota that is not only limited to pathogens but is also characteristic of health-associated commensals.","container-title":"Nature Communications","DOI":"10.1038/s41467-018-03968-5","ISSN":"2041-1723","issue":"1","journalAbbreviation":"Nat Commun","language":"en","license":"2018 The Author(s)","note":"publisher: Nature Publishing Group","page":"1557","source":"www-nature-com.proxy.lib.umich.edu","title":"Culturing of female bladder bacteria reveals an interconnected urogenital microbiota","volume":"9","author":[{"family":"Thomas-White","given":"Krystal"},{"family":"Forster","given":"Samuel C."},{"family":"Kumar","given":"Nitin"},{"family":"Van Kuiken","given":"Michelle"},{"family":"Putonti","given":"Catherine"},{"family":"Stares","given":"Mark D."},{"family":"Hilt","given":"Evann E."},{"family":"Price","given":"Travis K."},{"family":"Wolfe","given":"Alan J."},{"family":"Lawley","given":"Trevor D."}],"issued":{"date-parts":[["2018",4,19]]}}}],"schema":"https://github.com/citation-style-language/schema/raw/master/csl-citation.json"} </w:instrText>
      </w:r>
      <w:r>
        <w:rPr>
          <w:bCs/>
        </w:rPr>
        <w:fldChar w:fldCharType="separate"/>
      </w:r>
      <w:r w:rsidR="00FE18CB" w:rsidRPr="00FE18CB">
        <w:t>(</w:t>
      </w:r>
      <w:r w:rsidR="00FE18CB" w:rsidRPr="00FE18CB">
        <w:rPr>
          <w:i/>
          <w:iCs/>
        </w:rPr>
        <w:t>117</w:t>
      </w:r>
      <w:r w:rsidR="00FE18CB" w:rsidRPr="00FE18CB">
        <w:t>)</w:t>
      </w:r>
      <w:r>
        <w:rPr>
          <w:bCs/>
        </w:rPr>
        <w:fldChar w:fldCharType="end"/>
      </w:r>
      <w:r>
        <w:rPr>
          <w:bCs/>
        </w:rPr>
        <w:t xml:space="preserve">. </w:t>
      </w:r>
      <w:r>
        <w:t xml:space="preserve">We collected urine samples using a clean catch method </w:t>
      </w:r>
      <w:r>
        <w:rPr>
          <w:bCs/>
        </w:rPr>
        <w:fldChar w:fldCharType="begin"/>
      </w:r>
      <w:r w:rsidR="00FE18CB">
        <w:rPr>
          <w:bCs/>
        </w:rPr>
        <w:instrText xml:space="preserve"> ADDIN ZOTERO_ITEM CSL_CITATION {"citationID":"OT0mvtJ3","properties":{"formattedCitation":"({\\i{}118})","plainCitation":"(118)","noteIndex":0},"citationItems":[{"id":564,"uris":["http://zotero.org/users/13901503/items/C7T2JIHZ"],"itemData":{"id":564,"type":"article-journal","abstract":"Objectives The physical condition of females depends on access to resources, which vary over space and time. Assessing variation in physical condition can help identify factors affecting reproductive success, but noninvasive measurement is difficult in wild animals. Creatinine concentration relative to the specific gravity (i.e., density) of urine has promise for noninvasively quantifying the relative muscle mass (RMM) of wild primates. We verified the relationship between these urinary parameters for wild white-faced capuchin monkeys, and assessed temporal changes in the RMM of females across groups and between periods of high and low resource abundance. Materials and Methods We collected urine from 25 adult females in three groups across varying seasons at Sector Santa Rosa, Costa Rica. We measured the specific gravity and creatinine concentration of 692 samples and the effect of specific gravity on creatinine concentration. We used the residuals of this relationship to measure effects of group and season using mixed-effects models. Results Specific gravity significantly predicted creatinine concentration. Season, group membership and the interaction between these variables were significant predictors of residual creatinine variation. Specifically, RMM was higher during months with high fruit energy density, lower in one social group, and less variable among females in the smallest group. Discussion Our findings suggest that specific gravity and creatinine may be used as urinary parameters to make inferences about the RMM of capuchins. Using this technique, we infer that females experienced changes in muscle mass according to variation in resource energy availability and social group variation.","container-title":"American Journal of Physical Anthropology","DOI":"10.1002/ajpa.23239","ISSN":"1096-8644","issue":"4","language":"en","license":"© 2017 Wiley Periodicals, Inc.","note":"_eprint: https://onlinelibrary.wiley.com/doi/pdf/10.1002/ajpa.23239","page":"707-715","source":"Wiley Online Library","title":"Using urinary parameters to estimate seasonal variation in the physical condition of female white-faced capuchin monkeys (Cebus capucinus imitator)","volume":"163","author":[{"family":"Bergstrom","given":"Mackenzie L."},{"family":"Emery Thompson","given":"Melissa"},{"family":"Melin","given":"Amanda D."},{"family":"Fedigan","given":"Linda M."}],"issued":{"date-parts":[["2017"]]}}}],"schema":"https://github.com/citation-style-language/schema/raw/master/csl-citation.json"} </w:instrText>
      </w:r>
      <w:r>
        <w:rPr>
          <w:bCs/>
        </w:rPr>
        <w:fldChar w:fldCharType="separate"/>
      </w:r>
      <w:r w:rsidR="00FE18CB" w:rsidRPr="00FE18CB">
        <w:t>(</w:t>
      </w:r>
      <w:r w:rsidR="00FE18CB" w:rsidRPr="00FE18CB">
        <w:rPr>
          <w:i/>
          <w:iCs/>
        </w:rPr>
        <w:t>118</w:t>
      </w:r>
      <w:r w:rsidR="00FE18CB" w:rsidRPr="00FE18CB">
        <w:t>)</w:t>
      </w:r>
      <w:r>
        <w:rPr>
          <w:bCs/>
        </w:rPr>
        <w:fldChar w:fldCharType="end"/>
      </w:r>
      <w:r w:rsidRPr="00AB188E">
        <w:rPr>
          <w:bCs/>
        </w:rPr>
        <w:t xml:space="preserve"> </w:t>
      </w:r>
      <w:r w:rsidRPr="001771F9">
        <w:rPr>
          <w:bCs/>
        </w:rPr>
        <w:t>to avoid rainfall and fecal contamination</w:t>
      </w:r>
      <w:r>
        <w:rPr>
          <w:bCs/>
        </w:rPr>
        <w:t>.</w:t>
      </w:r>
      <w:r w:rsidRPr="00AB188E">
        <w:t xml:space="preserve"> </w:t>
      </w:r>
      <w:r>
        <w:t xml:space="preserve">We also collected urine from leaves or the ground if it appeared free of soil or fecal contamination. We immediately stored fecal and urine samples in a portable cooler and transferred them to a –20°F freezer at the end of each field day. We kept fecal samples under refrigeration until shipment to </w:t>
      </w:r>
      <w:r w:rsidRPr="00196F3A">
        <w:t xml:space="preserve">the </w:t>
      </w:r>
      <w:r w:rsidRPr="00196F3A">
        <w:rPr>
          <w:bCs/>
        </w:rPr>
        <w:t>Amato Microbiome Lab at Northwestern University in Evanston IL for DNA extraction and sequencing.</w:t>
      </w:r>
      <w:r w:rsidRPr="00AB188E">
        <w:rPr>
          <w:bCs/>
        </w:rPr>
        <w:t xml:space="preserve"> </w:t>
      </w:r>
      <w:r>
        <w:rPr>
          <w:bCs/>
        </w:rPr>
        <w:t xml:space="preserve">Urine samples remained in the freezer until we conducted assay analysis onsite in the Capuchinos de </w:t>
      </w:r>
      <w:proofErr w:type="spellStart"/>
      <w:r>
        <w:rPr>
          <w:bCs/>
        </w:rPr>
        <w:t>Taboga</w:t>
      </w:r>
      <w:proofErr w:type="spellEnd"/>
      <w:r>
        <w:rPr>
          <w:bCs/>
        </w:rPr>
        <w:t xml:space="preserve"> field laboratory </w:t>
      </w:r>
      <w:r>
        <w:rPr>
          <w:bCs/>
        </w:rPr>
        <w:fldChar w:fldCharType="begin"/>
      </w:r>
      <w:r w:rsidR="00FE18CB">
        <w:rPr>
          <w:bCs/>
        </w:rPr>
        <w:instrText xml:space="preserve"> ADDIN ZOTERO_ITEM CSL_CITATION {"citationID":"9aAKfPlg","properties":{"formattedCitation":"({\\i{}119})","plainCitation":"(119)","noteIndex":0},"citationItems":[{"id":1716,"uris":["http://zotero.org/users/13901503/items/KXGKM98Y"],"itemData":{"id":1716,"type":"article-journal","abstract":"Hormone laboratories located “on-site” where field studies are being conducted have a number of advantages. On-site laboratories allow hormone analyses to proceed in near-real-time, minimize logistics of sample permits/shipping, contribute to in-country capacity-building, and (our focus here) facilitate cross-site collaboration through shared methods and a shared laboratory. Here we provide proof-of-concept that an on-site hormone laboratory (the Taboga Field Laboratory, located in the Taboga Forest Reserve, Costa Rica) can successfully run endocrine analyses in a remote location. Using fecal samples from wild white-faced capuchins (Cebus imitator) from three Costa Rican forests, we validate the extraction and analysis of four steroid hormones (glucocorticoids, testosterone, estradiol, progesterone) across six assays (DetectX® and ISWE, all from Arbor Assays). Additionally, as the first collaboration across three long-term, wild capuchin field sites (Lomas Barbudal, Santa Rosa, Taboga) involving local Costa Rican collaborators, this laboratory can serve as a future hub for collaborative exchange.","container-title":"General and Comparative Endocrinology","DOI":"10.1016/j.ygcen.2022.114109","ISSN":"0016-6480","journalAbbreviation":"General and Comparative Endocrinology","page":"114109","source":"ScienceDirect","title":"Using an on-site laboratory for fecal steroid analysis in wild white-faced capuchins","volume":"329","author":[{"family":"Beehner","given":"Jacinta C."},{"family":"Alfaro","given":"José"},{"family":"Allen","given":"Cloe"},{"family":"Benítez","given":"Marcela E."},{"family":"Bergman","given":"Thore J."},{"family":"Buehler","given":"Margaret S."},{"family":"Carrera","given":"Sofia C."},{"family":"Chester","given":"Emily M."},{"family":"Deschner","given":"Tobias"},{"family":"Fuentes","given":"Alexander"},{"family":"Gault","given":"Colleen M."},{"family":"Godoy","given":"Irene"},{"family":"Jack","given":"Katharine M."},{"family":"Kim","given":"Justin D."},{"family":"Kolinski","given":"Lev"},{"family":"Kulick","given":"Nelle K."},{"family":"Losch","given":"Teera"},{"family":"Ordoñez","given":"Juan Carlos"},{"family":"Perry","given":"Susan E."},{"family":"Pinto","given":"Fernando"},{"family":"Reilly","given":"Olivia T."},{"family":"Johnson","given":"Elizabeth Tinsley"},{"family":"Wasserman","given":"Michael D."}],"issued":{"date-parts":[["2022",12,1]]}}}],"schema":"https://github.com/citation-style-language/schema/raw/master/csl-citation.json"} </w:instrText>
      </w:r>
      <w:r>
        <w:rPr>
          <w:bCs/>
        </w:rPr>
        <w:fldChar w:fldCharType="separate"/>
      </w:r>
      <w:r w:rsidR="00FE18CB" w:rsidRPr="00FE18CB">
        <w:t>(</w:t>
      </w:r>
      <w:r w:rsidR="00FE18CB" w:rsidRPr="00FE18CB">
        <w:rPr>
          <w:i/>
          <w:iCs/>
        </w:rPr>
        <w:t>119</w:t>
      </w:r>
      <w:r w:rsidR="00FE18CB" w:rsidRPr="00FE18CB">
        <w:t>)</w:t>
      </w:r>
      <w:r>
        <w:rPr>
          <w:bCs/>
        </w:rPr>
        <w:fldChar w:fldCharType="end"/>
      </w:r>
      <w:r>
        <w:rPr>
          <w:bCs/>
        </w:rPr>
        <w:t xml:space="preserve">. </w:t>
      </w:r>
    </w:p>
    <w:p w14:paraId="50B9E17E" w14:textId="073A1D0B" w:rsidR="00D82060" w:rsidRDefault="00D82060" w:rsidP="00D82060">
      <w:pPr>
        <w:ind w:firstLine="720"/>
      </w:pPr>
      <w:r>
        <w:t xml:space="preserve">Temperature observations for this analysis came from the </w:t>
      </w:r>
      <w:r w:rsidRPr="00714EDC">
        <w:rPr>
          <w:rStyle w:val="Emphasis"/>
        </w:rPr>
        <w:t>Palo Verde</w:t>
      </w:r>
      <w:r>
        <w:t xml:space="preserve"> meteorological station, located at the </w:t>
      </w:r>
      <w:r w:rsidRPr="00714EDC">
        <w:rPr>
          <w:rStyle w:val="Emphasis"/>
        </w:rPr>
        <w:t>Organization for Tropical Studies (OTS) Palo Verde</w:t>
      </w:r>
      <w:r>
        <w:t xml:space="preserve"> research station (10.345°N, 85.339°E), approximately 20.81 km southwest of </w:t>
      </w:r>
      <w:r w:rsidRPr="0041510E">
        <w:t>the</w:t>
      </w:r>
      <w:r w:rsidRPr="000A6861">
        <w:rPr>
          <w:i/>
          <w:iCs/>
        </w:rPr>
        <w:t xml:space="preserve"> </w:t>
      </w:r>
      <w:proofErr w:type="spellStart"/>
      <w:r w:rsidRPr="00714EDC">
        <w:rPr>
          <w:rStyle w:val="Emphasis"/>
        </w:rPr>
        <w:t>Taboga</w:t>
      </w:r>
      <w:proofErr w:type="spellEnd"/>
      <w:r w:rsidRPr="00714EDC">
        <w:rPr>
          <w:rStyle w:val="Emphasis"/>
        </w:rPr>
        <w:t xml:space="preserve"> Forest Reserve</w:t>
      </w:r>
      <w:r>
        <w:t xml:space="preserve">. Like </w:t>
      </w:r>
      <w:proofErr w:type="spellStart"/>
      <w:r w:rsidRPr="00714EDC">
        <w:rPr>
          <w:rStyle w:val="Emphasis"/>
        </w:rPr>
        <w:t>Taboga</w:t>
      </w:r>
      <w:proofErr w:type="spellEnd"/>
      <w:r w:rsidRPr="00714EDC">
        <w:rPr>
          <w:i/>
          <w:iCs/>
        </w:rPr>
        <w:t xml:space="preserve">, </w:t>
      </w:r>
      <w:r w:rsidRPr="00714EDC">
        <w:rPr>
          <w:rStyle w:val="Emphasis"/>
        </w:rPr>
        <w:t>Palo Verde</w:t>
      </w:r>
      <w:r>
        <w:t xml:space="preserve"> is one of Central America’s last remaining tropical dry forest fragments </w:t>
      </w:r>
      <w:r>
        <w:lastRenderedPageBreak/>
        <w:fldChar w:fldCharType="begin"/>
      </w:r>
      <w:r w:rsidR="00FE18CB">
        <w:instrText xml:space="preserve"> ADDIN ZOTERO_ITEM CSL_CITATION {"citationID":"hpeAEVbe","properties":{"formattedCitation":"({\\i{}120})","plainCitation":"(120)","noteIndex":0},"citationItems":[{"id":590,"uris":["http://zotero.org/users/13901503/items/V8828FH9"],"itemData":{"id":590,"type":"article-journal","container-title":"Revista de Biología Tropical","ISSN":"0034-7744","issue":"3-4","language":"en","note":"publisher: http://creativecommons.org/licenses/by/3.0","page":"1021-1034","source":"SciELO","title":"Changes in composition and structure of a tropical dry forest following intermittent Cattle grazing","volume":"50","author":[{"family":"Stern","given":"Margaret"},{"family":"Quesada","given":"Mauricio"},{"family":"Stoner","given":"Kathryn E."}],"issued":{"date-parts":[["2002",12]]}}}],"schema":"https://github.com/citation-style-language/schema/raw/master/csl-citation.json"} </w:instrText>
      </w:r>
      <w:r>
        <w:fldChar w:fldCharType="separate"/>
      </w:r>
      <w:r w:rsidR="00FE18CB" w:rsidRPr="00FE18CB">
        <w:t>(</w:t>
      </w:r>
      <w:r w:rsidR="00FE18CB" w:rsidRPr="00FE18CB">
        <w:rPr>
          <w:i/>
          <w:iCs/>
        </w:rPr>
        <w:t>120</w:t>
      </w:r>
      <w:r w:rsidR="00FE18CB" w:rsidRPr="00FE18CB">
        <w:t>)</w:t>
      </w:r>
      <w:r>
        <w:fldChar w:fldCharType="end"/>
      </w:r>
      <w:r>
        <w:t>.</w:t>
      </w:r>
      <w:r w:rsidRPr="003929CF">
        <w:rPr>
          <w:rStyle w:val="Emphasis"/>
        </w:rPr>
        <w:t xml:space="preserve"> </w:t>
      </w:r>
      <w:r w:rsidRPr="00714EDC">
        <w:rPr>
          <w:rStyle w:val="Emphasis"/>
        </w:rPr>
        <w:t>Palo Verde</w:t>
      </w:r>
      <w:r>
        <w:t xml:space="preserve"> temperature data have been used in previous studies of the </w:t>
      </w:r>
      <w:proofErr w:type="spellStart"/>
      <w:r w:rsidRPr="00714EDC">
        <w:rPr>
          <w:rStyle w:val="Emphasis"/>
        </w:rPr>
        <w:t>Taboga</w:t>
      </w:r>
      <w:proofErr w:type="spellEnd"/>
      <w:r w:rsidRPr="00714EDC">
        <w:rPr>
          <w:i/>
          <w:iCs/>
        </w:rPr>
        <w:t xml:space="preserve"> </w:t>
      </w:r>
      <w:r w:rsidRPr="000A6861">
        <w:t>white</w:t>
      </w:r>
      <w:r>
        <w:t xml:space="preserve">-faced capuchin population </w:t>
      </w:r>
      <w:r w:rsidR="00DD12D1">
        <w:t>(</w:t>
      </w:r>
      <w:r w:rsidR="00DD12D1">
        <w:rPr>
          <w:i/>
          <w:iCs/>
        </w:rPr>
        <w:t>116</w:t>
      </w:r>
      <w:r w:rsidR="00DD12D1">
        <w:t>)</w:t>
      </w:r>
      <w:r>
        <w:fldChar w:fldCharType="begin"/>
      </w:r>
      <w:r w:rsidR="00DD12D1">
        <w:instrText xml:space="preserve"> ADDIN ZOTERO_ITEM CSL_CITATION {"citationID":"bU2rPvGm","properties":{"formattedCitation":"({\\i{}8})","plainCitation":"(8)","noteIndex":0},"citationItems":[{"id":1689,"uris":["http://zotero.org/users/13901503/items/2TJCS3UQ"],"itemData":{"id":1689,"type":"article-journal","abstract":"Rising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00DD12D1" w:rsidRPr="00DD12D1">
        <w:t>(</w:t>
      </w:r>
      <w:r w:rsidR="00DD12D1" w:rsidRPr="00DD12D1">
        <w:rPr>
          <w:i/>
          <w:iCs/>
        </w:rPr>
        <w:t>8</w:t>
      </w:r>
      <w:r w:rsidR="00DD12D1" w:rsidRPr="00DD12D1">
        <w:t>)</w:t>
      </w:r>
      <w:r>
        <w:fldChar w:fldCharType="end"/>
      </w:r>
      <w:r>
        <w:t xml:space="preserve">, given the habitat similarity and close proximity to </w:t>
      </w:r>
      <w:proofErr w:type="spellStart"/>
      <w:r>
        <w:t>Taboga</w:t>
      </w:r>
      <w:proofErr w:type="spellEnd"/>
      <w:r>
        <w:t>. The station records maximum and minimum air temperature every 15 minutes.</w:t>
      </w:r>
    </w:p>
    <w:p w14:paraId="64BF4D86" w14:textId="77777777" w:rsidR="00D82060" w:rsidRDefault="00D82060" w:rsidP="00A84791"/>
    <w:p w14:paraId="3438E191" w14:textId="77777777" w:rsidR="00D82060" w:rsidRDefault="00D82060" w:rsidP="00D82060">
      <w:pPr>
        <w:rPr>
          <w:u w:val="single"/>
        </w:rPr>
      </w:pPr>
      <w:r w:rsidRPr="00487A6E">
        <w:rPr>
          <w:u w:val="single"/>
        </w:rPr>
        <w:t>Neopterin analysis</w:t>
      </w:r>
    </w:p>
    <w:p w14:paraId="05324C0D" w14:textId="5E05DF70" w:rsidR="00D82060" w:rsidRDefault="00D82060" w:rsidP="00D82060">
      <w:pPr>
        <w:ind w:firstLine="720"/>
      </w:pPr>
      <w:r>
        <w:t xml:space="preserve">We measured the neopterin concentration of the urine samples using a </w:t>
      </w:r>
      <w:r w:rsidRPr="00F90FF8">
        <w:t>commercially available competitive exclusion neopterin enzyme</w:t>
      </w:r>
      <w:r>
        <w:t>-</w:t>
      </w:r>
      <w:r w:rsidRPr="00F90FF8">
        <w:t xml:space="preserve">linked immunosorbent assay (Neopterin ELISA, Ref. RE59321, IBL International GMBH, Hamburg, Germany) in the Capuchinos de </w:t>
      </w:r>
      <w:proofErr w:type="spellStart"/>
      <w:r w:rsidRPr="00F90FF8">
        <w:t>Taboga</w:t>
      </w:r>
      <w:proofErr w:type="spellEnd"/>
      <w:r w:rsidRPr="00F90FF8">
        <w:t xml:space="preserve"> field laboratory.</w:t>
      </w:r>
      <w:r>
        <w:t xml:space="preserve"> The assay has been validated for use in the </w:t>
      </w:r>
      <w:proofErr w:type="spellStart"/>
      <w:r>
        <w:t>Taboga</w:t>
      </w:r>
      <w:proofErr w:type="spellEnd"/>
      <w:r>
        <w:t xml:space="preserve"> capuchin population </w:t>
      </w:r>
      <w:r>
        <w:fldChar w:fldCharType="begin"/>
      </w:r>
      <w:r w:rsidR="00FE18CB">
        <w:instrText xml:space="preserve"> ADDIN ZOTERO_ITEM CSL_CITATION {"citationID":"cjbmKZII","properties":{"formattedCitation":"({\\i{}121})","plainCitation":"(121)","noteIndex":0},"citationItems":[{"id":267,"uris":["http://zotero.org/users/13901503/items/PQLSPHRJ"],"itemData":{"id":267,"type":"article-journal","abstract":"Non-invasive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E."}],"accessed":{"date-parts":[["2024",4,1]]},"issued":{"date-parts":[["2022",7,13]]}}}],"schema":"https://github.com/citation-style-language/schema/raw/master/csl-citation.json"} </w:instrText>
      </w:r>
      <w:r>
        <w:fldChar w:fldCharType="separate"/>
      </w:r>
      <w:r w:rsidR="00FE18CB" w:rsidRPr="00FE18CB">
        <w:t>(</w:t>
      </w:r>
      <w:r w:rsidR="00FE18CB" w:rsidRPr="00FE18CB">
        <w:rPr>
          <w:i/>
          <w:iCs/>
        </w:rPr>
        <w:t>121</w:t>
      </w:r>
      <w:r w:rsidR="00FE18CB" w:rsidRPr="00FE18CB">
        <w:t>)</w:t>
      </w:r>
      <w:r>
        <w:fldChar w:fldCharType="end"/>
      </w:r>
      <w:r>
        <w:t xml:space="preserve">. We used specific gravity to control for sample water volume and diluted samples using </w:t>
      </w:r>
      <w:r w:rsidRPr="00F90FF8">
        <w:t>manufacturer assay buffer</w:t>
      </w:r>
      <w:r>
        <w:t xml:space="preserve">. We ran the assays using </w:t>
      </w:r>
      <w:r w:rsidRPr="00F90FF8">
        <w:t>manufacturer protocol</w:t>
      </w:r>
      <w:r>
        <w:t xml:space="preserve">, see </w:t>
      </w:r>
      <w:r>
        <w:fldChar w:fldCharType="begin"/>
      </w:r>
      <w:r w:rsidR="00FE18CB">
        <w:instrText xml:space="preserve"> ADDIN ZOTERO_ITEM CSL_CITATION {"citationID":"mwRM5DGT","properties":{"formattedCitation":"({\\i{}8}, {\\i{}121})","plainCitation":"(8, 121)","noteIndex":0},"citationItems":[{"id":267,"uris":["http://zotero.org/users/13901503/items/PQLSPHRJ"],"itemData":{"id":267,"type":"article-journal","abstract":"Non-invasive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00FE18CB" w:rsidRPr="00FE18CB">
        <w:t>(</w:t>
      </w:r>
      <w:r w:rsidR="00FE18CB" w:rsidRPr="00FE18CB">
        <w:rPr>
          <w:i/>
          <w:iCs/>
        </w:rPr>
        <w:t>8</w:t>
      </w:r>
      <w:r w:rsidR="00FE18CB" w:rsidRPr="00FE18CB">
        <w:t xml:space="preserve">, </w:t>
      </w:r>
      <w:r w:rsidR="00FE18CB" w:rsidRPr="00FE18CB">
        <w:rPr>
          <w:i/>
          <w:iCs/>
        </w:rPr>
        <w:t>121</w:t>
      </w:r>
      <w:r w:rsidR="00FE18CB" w:rsidRPr="00FE18CB">
        <w:t>)</w:t>
      </w:r>
      <w:r>
        <w:fldChar w:fldCharType="end"/>
      </w:r>
      <w:r>
        <w:t xml:space="preserve"> for details. </w:t>
      </w:r>
    </w:p>
    <w:p w14:paraId="242ED89E" w14:textId="77777777" w:rsidR="00D82060" w:rsidRDefault="00D82060" w:rsidP="00A84791"/>
    <w:p w14:paraId="0A389B0B" w14:textId="77777777" w:rsidR="00D82060" w:rsidRDefault="00D82060" w:rsidP="00D82060">
      <w:pPr>
        <w:rPr>
          <w:u w:val="single"/>
        </w:rPr>
      </w:pPr>
      <w:r>
        <w:rPr>
          <w:u w:val="single"/>
        </w:rPr>
        <w:t xml:space="preserve">Sample processing for </w:t>
      </w:r>
      <w:r w:rsidRPr="0097690E">
        <w:rPr>
          <w:u w:val="single"/>
        </w:rPr>
        <w:t>16S rRNA</w:t>
      </w:r>
      <w:r>
        <w:rPr>
          <w:u w:val="single"/>
        </w:rPr>
        <w:t xml:space="preserve"> amplicon</w:t>
      </w:r>
      <w:r w:rsidRPr="0097690E">
        <w:rPr>
          <w:u w:val="single"/>
        </w:rPr>
        <w:t xml:space="preserve"> </w:t>
      </w:r>
      <w:r>
        <w:rPr>
          <w:u w:val="single"/>
        </w:rPr>
        <w:t xml:space="preserve">and shotgun metagenomic </w:t>
      </w:r>
      <w:r w:rsidRPr="0097690E">
        <w:rPr>
          <w:u w:val="single"/>
        </w:rPr>
        <w:t>sequencing</w:t>
      </w:r>
    </w:p>
    <w:p w14:paraId="38A0ABEB" w14:textId="77777777" w:rsidR="00D82060" w:rsidRDefault="00D82060" w:rsidP="00D82060">
      <w:pPr>
        <w:rPr>
          <w:i/>
          <w:iCs/>
        </w:rPr>
      </w:pPr>
      <w:r w:rsidRPr="00147548">
        <w:rPr>
          <w:i/>
          <w:iCs/>
        </w:rPr>
        <w:t>DNA extraction</w:t>
      </w:r>
    </w:p>
    <w:p w14:paraId="06F035AF" w14:textId="5CE90011" w:rsidR="00D82060" w:rsidRPr="00147548" w:rsidRDefault="00D82060" w:rsidP="00D82060">
      <w:r>
        <w:t xml:space="preserve">We conducted all lab work at the </w:t>
      </w:r>
      <w:r w:rsidRPr="00196F3A">
        <w:rPr>
          <w:bCs/>
        </w:rPr>
        <w:t>Amato Microbiome Lab at Northwestern University</w:t>
      </w:r>
      <w:r>
        <w:rPr>
          <w:bCs/>
        </w:rPr>
        <w:t>,</w:t>
      </w:r>
      <w:r w:rsidRPr="00196F3A">
        <w:rPr>
          <w:bCs/>
        </w:rPr>
        <w:t xml:space="preserve"> Evanston IL</w:t>
      </w:r>
      <w:r>
        <w:rPr>
          <w:bCs/>
        </w:rPr>
        <w:t xml:space="preserve">. We extracted DNA from fecal samples using the </w:t>
      </w:r>
      <w:proofErr w:type="spellStart"/>
      <w:r>
        <w:t>DNeasy</w:t>
      </w:r>
      <w:proofErr w:type="spellEnd"/>
      <w:r>
        <w:t xml:space="preserve"> </w:t>
      </w:r>
      <w:proofErr w:type="spellStart"/>
      <w:r>
        <w:t>PowerLyzer</w:t>
      </w:r>
      <w:proofErr w:type="spellEnd"/>
      <w:r>
        <w:t xml:space="preserve"> </w:t>
      </w:r>
      <w:proofErr w:type="spellStart"/>
      <w:r>
        <w:t>PowerSoil</w:t>
      </w:r>
      <w:proofErr w:type="spellEnd"/>
      <w:r>
        <w:t xml:space="preserve"> Kit (Qiagen, Germantown, MD, USA), with minor modifications to manufacturer protocol. Specifically, we incubated samples at 65°C for 10 minutes after adding the C1 and </w:t>
      </w:r>
      <w:proofErr w:type="spellStart"/>
      <w:r>
        <w:t>PowerBead</w:t>
      </w:r>
      <w:proofErr w:type="spellEnd"/>
      <w:r>
        <w:t xml:space="preserve"> solutions, refrigerated the C2 and C3 incubation steps, and prewarmed the C6 solution before the final elution. These modifications align with other protocols designed for fecal samples containing high levels of plant fiber </w:t>
      </w:r>
      <w:r>
        <w:fldChar w:fldCharType="begin"/>
      </w:r>
      <w:r w:rsidR="00FE18CB">
        <w:instrText xml:space="preserve"> ADDIN ZOTERO_ITEM CSL_CITATION {"citationID":"GSwb9QQA","properties":{"formattedCitation":"({\\i{}122}\\uc0\\u8211{}{\\i{}124})","plainCitation":"(122–124)","noteIndex":0},"citationItems":[{"id":34,"uris":["http://zotero.org/users/13901503/items/QZVE8E7B"],"itemData":{"id":34,"type":"article-journal","abstract":"Understanding the mechanisms by which organisms respond to environmental change is critical to conservation biology. Recent research indicates that the gut microbiome may mediate mammalian responses to the environment and can be used as a biomarker to understand host ecological strategies. Here, we explore the relationship between the gut microbiome, host dietary niche, and potential resilience to habitat alteration using two closely related, sympatric non-human primate species: the tufted gray langur (Semnopithecus priam) and the purple-faced langur (Semnopithecus vetulus). The gray langur is suspected to be a habitat generalist less perturbed by anthropogenic disturbance, while the purple-faced langur is suspected to be a specialist more sensitive to disturbance. To test these characterizations, we assessed the gut microbiome using 16S rRNA gene amplicon sequencing of fecal samples collected from Kaludiyapokuna Forest Reserve, Sri Lanka (gray langur n = 50 samples, purple-faced langur n = 7 samples). Our results demonstrate that despite strong gut microbial similarities, gray langurs had a more diverse gut microbiome that harbored Prevotella and Akkermansia, taxa involved in starch degradation, while the purple-faced langur gut microbiome harbored Roseburia, Clostridium, and Ruminococcus, taxa involved in processing plant structural carbohydrates. Compared to related species in other locations, both Sri Lankan langurs harbored more pathogenic bacteria. These differences suggest that gray langurs have more generalist diets, making them more resilient to anthropogenic change, but also indicate that they are not impervious to human encroachment. Our findings suggest that microbiome analyses are an important tool for langur ecology and conservation, and should be integrated into ongoing studies.","container-title":"Biotropica","DOI":"10.1111/btp.12805","ISSN":"1744-7429","issue":"5","language":"en","license":"© 2020 The Association for Tropical Biology and Conservation","note":"_eprint: https://onlinelibrary.wiley.com/doi/pdf/10.1111/btp.12805","page":"981-990","source":"Wiley Online Library","title":"Gut microbiome, diet, and conservation of endangered langurs in Sri Lanka","volume":"52","author":[{"family":"Amato","given":"Katherine R."},{"family":"Kuthyar","given":"Sahana"},{"family":"Ekanayake-Weber","given":"Marcy"},{"family":"Salmi","given":"Roberta"},{"family":"Snyder-Mackler","given":"Noah"},{"family":"Wijayathunga","given":"Lasanthi"},{"family":"Vandercone","given":"Rajnish"},{"family":"Lu","given":"Amy"}],"issued":{"date-parts":[["2020"]]}}},{"id":1646,"uris":["http://zotero.org/users/13901503/items/MBVK2BP9"],"itemData":{"id":1646,"type":"article-journal","abstract":"The genus Saguinus represents a successful radiation of over 20 species of small-bodied New World monkeys. Studies of the tamarin diet indicate that insects and small vertebrates account for </w:instrText>
      </w:r>
      <w:r w:rsidR="00FE18CB">
        <w:rPr>
          <w:rFonts w:ascii="Cambria Math" w:hAnsi="Cambria Math" w:cs="Cambria Math"/>
        </w:rPr>
        <w:instrText>∼</w:instrText>
      </w:r>
      <w:r w:rsidR="00FE18CB">
        <w:instrText xml:space="preserve">16–45% of total feeding and foraging time, and represent an important source of lipids, protein, and metabolizable energy. Although tamarins are reported to commonly consume large-bodied insects such as grasshoppers and walking sticks (Orthoptera), little is known concerning the degree to which smaller or less easily identifiable arthropod prey comprises an important component of their diet. To better understand tamarin arthropod feeding behavior, fecal samples from 20 wild Bolivian saddleback tamarins (members of five groups) were collected over a 3 week period in June 2012, and analyzed for the presence of arthropod DNA. DNA was extracted using a Qiagen stool extraction kit, and universal insect primers were created and used to amplify a </w:instrText>
      </w:r>
      <w:r w:rsidR="00FE18CB">
        <w:rPr>
          <w:rFonts w:ascii="Cambria Math" w:hAnsi="Cambria Math" w:cs="Cambria Math"/>
        </w:rPr>
        <w:instrText>∼</w:instrText>
      </w:r>
      <w:r w:rsidR="00FE18CB">
        <w:instrText xml:space="preserve">280 bp section of the COI mitochondrial gene. Amplicons were sequenced on the Roche 454 sequencing platform using high-throughput sequencing techniques. An analysis of these samples indicated the presence of 43 taxa of arthropods including 10 orders, 15 families, and 12 identified genera. Many of these taxa had not been previously identified in the tamarin diet. These results highlight molecular analysis of fecal DNA as an important research tool for identifying anthropod feeding patterns in primates, and reveal broad diversity in the taxa, foraging microhabitats, and size of arthropods consumed by tamarin monkeys. Am J Phys Anthropol 156:474–481, 2015. © 2014 Wiley Periodicals, Inc.","container-title":"American Journal of Physical Anthropology","DOI":"10.1002/ajpa.22654","ISSN":"1096-8644","issue":"3","language":"en","note":"_eprint: https://onlinelibrary.wiley.com/doi/pdf/10.1002/ajpa.22654","page":"474-481","source":"Wiley Online Library","title":"High-throughput sequencing of fecal DNA to identify insects consumed by wild Weddell's saddleback tamarins (aguinus weddelli, Cebidae, Primates) in Bolivia","volume":"156","author":[{"family":"Mallott","given":"E.k."},{"family":"Malhi","given":"R.s."},{"family":"Garber","given":"P.a."}],"issued":{"date-parts":[["2015"]]}}},{"id":1639,"uris":["http://zotero.org/users/13901503/items/S4PKLDJ4"],"itemData":{"id":1639,"type":"article-journal","abstract":"Descriptions of primate diets are generally based on either direct observation of foraging behavior, morphological classification of food remains from feces, or analysis of the stomach contents of deceased individuals. Some diet items (e.g. insect prey), however, are difficult to identify visually, and observation conditions often do not permit adequate quantitative sampling of feeding behavior. Moreover, the taxonomically informative morphology of some food species (e.g. swallowed seeds, insect exoskeletons) may be destroyed by the digestive process. Because of these limitations, we used a metagenomic approach to conduct a preliminary, “proof of concept” study of interspecific variation in the insect component of the diets of six sympatric NewWorld monkeys known, based on observational field studies, to differ markedly in their feeding ecology. We used generalized arthropod polymerase chain reaction (PCR) primers and cloning to sequence mitochondrial DNA (mtDNA) sequences of the arthropod cytochrome b (CYT B) gene from fecal samples of wild woolly, titi, saki, capuchin, squirrel, and spider monkeys collected from a single sampling site in western Amazonia where these genera occur sympatrically. We then assigned preliminary taxonomic identifications to the sequences by basic local alignment search tool (BLAST) comparison to arthropod CYT Bsequences present in GenBank. This study is the first to use molecular techniques to identify insect prey in primate diets. The results suggest that a metagenomic approach may prove valuable in augmenting and corroborating observational data and increasing the resolution of primate diet studies, although the lack of comparative reference sequences for many South American insects limits the approach at present. As such reference data become available for more animal and plant taxa, this approach also holds promise for studying additional components of primate diets. Am. J. Primatol. 74:622–631, 2012. © 2012 Wiley Periodicals, Inc.","container-title":"American Journal of Primatology","DOI":"10.1002/ajp.22014","ISSN":"1098-2345","issue":"7","language":"en","license":"© 2012 Wiley Periodicals, Inc.","note":"_eprint: https://onlinelibrary.wiley.com/doi/pdf/10.1002/ajp.22014","page":"622-631","source":"Wiley Online Library","title":"A Metagenomic Study of Primate Insect Diet Diversity","volume":"74","author":[{"family":"Pickett","given":"Sarah B."},{"family":"Bergey","given":"Christina M."},{"family":"Di Fiore","given":"Anthony"}],"issued":{"date-parts":[["2012"]]}}}],"schema":"https://github.com/citation-style-language/schema/raw/master/csl-citation.json"} </w:instrText>
      </w:r>
      <w:r>
        <w:fldChar w:fldCharType="separate"/>
      </w:r>
      <w:r w:rsidR="00FE18CB" w:rsidRPr="00FE18CB">
        <w:t>(</w:t>
      </w:r>
      <w:r w:rsidR="00FE18CB" w:rsidRPr="00FE18CB">
        <w:rPr>
          <w:i/>
          <w:iCs/>
        </w:rPr>
        <w:t>122</w:t>
      </w:r>
      <w:r w:rsidR="00FE18CB" w:rsidRPr="00FE18CB">
        <w:t>–</w:t>
      </w:r>
      <w:r w:rsidR="00FE18CB" w:rsidRPr="00FE18CB">
        <w:rPr>
          <w:i/>
          <w:iCs/>
        </w:rPr>
        <w:t>124</w:t>
      </w:r>
      <w:r w:rsidR="00FE18CB" w:rsidRPr="00FE18CB">
        <w:t>)</w:t>
      </w:r>
      <w:r>
        <w:fldChar w:fldCharType="end"/>
      </w:r>
      <w:r>
        <w:t>.</w:t>
      </w:r>
    </w:p>
    <w:p w14:paraId="48482FD9" w14:textId="77777777" w:rsidR="00D82060" w:rsidRPr="00FD15B2" w:rsidRDefault="00D82060" w:rsidP="00D82060"/>
    <w:p w14:paraId="1460774B" w14:textId="77777777" w:rsidR="00D82060" w:rsidRDefault="00D82060" w:rsidP="00D82060">
      <w:pPr>
        <w:rPr>
          <w:i/>
          <w:iCs/>
        </w:rPr>
      </w:pPr>
      <w:r w:rsidRPr="00147548">
        <w:rPr>
          <w:i/>
          <w:iCs/>
        </w:rPr>
        <w:t xml:space="preserve">16s rRNA amplicon </w:t>
      </w:r>
      <w:r>
        <w:rPr>
          <w:i/>
          <w:iCs/>
        </w:rPr>
        <w:t>sequencing and data processing</w:t>
      </w:r>
    </w:p>
    <w:p w14:paraId="53CD3B75" w14:textId="2CB67640" w:rsidR="00D82060" w:rsidRDefault="00D82060" w:rsidP="00D82060">
      <w:r>
        <w:t xml:space="preserve">We used </w:t>
      </w:r>
      <w:r w:rsidRPr="006E7CF5">
        <w:t>16s rRNA</w:t>
      </w:r>
      <w:r>
        <w:t xml:space="preserve"> amplicon sequencing to describe the gut microbiome taxonomic composition. We amplified the hypervariable V4-V5 region of the 16s rRNA gene using the 515F/926R primers from the Earth Microbiome Project </w:t>
      </w:r>
      <w:r w:rsidRPr="009C594A">
        <w:t>(</w:t>
      </w:r>
      <w:hyperlink r:id="rId5" w:history="1">
        <w:r w:rsidRPr="00383820">
          <w:rPr>
            <w:rStyle w:val="Hyperlink"/>
          </w:rPr>
          <w:t>www.earthmicrobiome.org</w:t>
        </w:r>
      </w:hyperlink>
      <w:r w:rsidRPr="009C594A">
        <w:t>)</w:t>
      </w:r>
      <w:r>
        <w:t xml:space="preserve"> and a dual-indexing approach </w:t>
      </w:r>
      <w:r>
        <w:fldChar w:fldCharType="begin"/>
      </w:r>
      <w:r w:rsidR="00FE18CB">
        <w:instrText xml:space="preserve"> ADDIN ZOTERO_ITEM CSL_CITATION {"citationID":"AIswTiIH","properties":{"formattedCitation":"({\\i{}125})","plainCitation":"(125)","noteIndex":0},"citationItems":[{"id":1652,"uris":["http://zotero.org/users/13901503/items/HTTZHT5K"],"itemData":{"id":1652,"type":"article-journal","abstract":"Sources of error and bias in PCR amplification of microbial samples for 16S rRNA gene sequencing are systematically evaluated, and best-practice recommendations for reliable amplification are made.","container-title":"Nature Biotechnology","DOI":"10.1038/nbt.3601","ISSN":"1546-1696","issue":"9","journalAbbreviation":"Nat Biotechnol","language":"en","license":"2016 Springer Nature America, Inc.","note":"publisher: Nature Publishing Group","page":"942-949","source":"www-nature-com.proxy.lib.umich.edu","title":"Systematic improvement of amplicon marker gene methods for increased accuracy in microbiome studies","volume":"34","author":[{"family":"Gohl","given":"Daryl M."},{"family":"Vangay","given":"Pajau"},{"family":"Garbe","given":"John"},{"family":"MacLean","given":"Allison"},{"family":"Hauge","given":"Adam"},{"family":"Becker","given":"Aaron"},{"family":"Gould","given":"Trevor J."},{"family":"Clayton","given":"Jonathan B."},{"family":"Johnson","given":"Timothy J."},{"family":"Hunter","given":"Ryan"},{"family":"Knights","given":"Dan"},{"family":"Beckman","given":"Kenneth B."}],"issued":{"date-parts":[["2016",9]]}}}],"schema":"https://github.com/citation-style-language/schema/raw/master/csl-citation.json"} </w:instrText>
      </w:r>
      <w:r>
        <w:fldChar w:fldCharType="separate"/>
      </w:r>
      <w:r w:rsidR="00FE18CB" w:rsidRPr="00FE18CB">
        <w:t>(</w:t>
      </w:r>
      <w:r w:rsidR="00FE18CB" w:rsidRPr="00FE18CB">
        <w:rPr>
          <w:i/>
          <w:iCs/>
        </w:rPr>
        <w:t>125</w:t>
      </w:r>
      <w:r w:rsidR="00FE18CB" w:rsidRPr="00FE18CB">
        <w:t>)</w:t>
      </w:r>
      <w:r>
        <w:fldChar w:fldCharType="end"/>
      </w:r>
      <w:r>
        <w:t xml:space="preserve">; see previously described protocol for details </w:t>
      </w:r>
      <w:r>
        <w:fldChar w:fldCharType="begin"/>
      </w:r>
      <w:r w:rsidR="00FE18CB">
        <w:instrText xml:space="preserve"> ADDIN ZOTERO_ITEM CSL_CITATION {"citationID":"ZrmMCAjM","properties":{"formattedCitation":"({\\i{}126})","plainCitation":"(126)","noteIndex":0},"citationItems":[{"id":676,"uris":["http://zotero.org/users/13901503/items/JGY397VL"],"itemData":{"id":676,"type":"article-journal","abstract":"Changes in reproductive status influence energy and nutrient requirements in female primates. The gut microbiota may buffer changes in energy demands, with shifts in community composition increasing the energy production potential of the gut during pregnancy and lactation. In this study, we examine changes in the gut microbiome of wild, female white-faced capuchins (Cebus capucinus) across different reproductive states. Fecal samples (n = 39) were collected from five adult females over the course of a year. Gut microbial community composition was assessed using 16S rRNA gene sequences, and PICRUSt was used to make metagenomic functional predictions. We found a significant relationship between reproductive state and both the structure and predicted function of the gut microbiome, neither of which were associated with host diet. For example, the relative abundance of Firmicutes was significantly lower in lactating females compared with cycling females; the relative abundance of Actinobacteria was significantly higher in pregnant females compared with lactating females, and there was a trend toward higher relative abundances of Proteobacteria in pregnant females compared with cycling females. The results of this study suggest that, in addition to behavioral and dietary adaptions, the gut microbiota may play a role in allowing female primates to meet their changing energetic needs during reproduction. Further studies of the “microbial reproductive ecology” of primates will help advance our understanding of gut microbial contributions to primate energetics.","container-title":"American Journal of Primatology","DOI":"10.1002/ajp.22896","ISSN":"1098-2345","issue":"8","language":"en","license":"© 2018 Wiley Periodicals, Inc.","note":"_eprint: https://onlinelibrary.wiley.com/doi/pdf/10.1002/ajp.22896","page":"e22896","source":"Wiley Online Library","title":"The microbial reproductive ecology of white-faced capuchins (Cebus capucinus)","volume":"80","author":[{"family":"Mallott","given":"Elizabeth K."},{"family":"Amato","given":"Katherine R."}],"issued":{"date-parts":[["2018"]]}}}],"schema":"https://github.com/citation-style-language/schema/raw/master/csl-citation.json"} </w:instrText>
      </w:r>
      <w:r>
        <w:fldChar w:fldCharType="separate"/>
      </w:r>
      <w:r w:rsidR="00FE18CB" w:rsidRPr="00FE18CB">
        <w:t>(</w:t>
      </w:r>
      <w:r w:rsidR="00FE18CB" w:rsidRPr="00FE18CB">
        <w:rPr>
          <w:i/>
          <w:iCs/>
        </w:rPr>
        <w:t>126</w:t>
      </w:r>
      <w:r w:rsidR="00FE18CB" w:rsidRPr="00FE18CB">
        <w:t>)</w:t>
      </w:r>
      <w:r>
        <w:fldChar w:fldCharType="end"/>
      </w:r>
      <w:r>
        <w:t>.</w:t>
      </w:r>
      <w:r w:rsidRPr="00F13A1B">
        <w:t xml:space="preserve"> </w:t>
      </w:r>
      <w:r>
        <w:t xml:space="preserve">We used negative controls to monitor contamination during the DNA extraction and PCR amplification. We purified and normalized PCR products using </w:t>
      </w:r>
      <w:proofErr w:type="spellStart"/>
      <w:r>
        <w:t>SequalPrep</w:t>
      </w:r>
      <w:proofErr w:type="spellEnd"/>
      <w:r>
        <w:t xml:space="preserve"> Normalization and sequenced them on the Illumina </w:t>
      </w:r>
      <w:proofErr w:type="spellStart"/>
      <w:r>
        <w:t>MiSeq</w:t>
      </w:r>
      <w:proofErr w:type="spellEnd"/>
      <w:r>
        <w:t xml:space="preserve"> V4 platform at the Rush Genomics and Microbiome Core Facility. </w:t>
      </w:r>
    </w:p>
    <w:p w14:paraId="036ECEB9" w14:textId="4B43F210" w:rsidR="00D82060" w:rsidRDefault="00D82060" w:rsidP="00D82060">
      <w:pPr>
        <w:ind w:firstLine="720"/>
      </w:pPr>
      <w:r>
        <w:t xml:space="preserve">We analyzed the resulting data using the Quantitative Insights into Microbial Ecology (QIIME2) platform </w:t>
      </w:r>
      <w:r>
        <w:fldChar w:fldCharType="begin"/>
      </w:r>
      <w:r w:rsidR="00FE18CB">
        <w:instrText xml:space="preserve"> ADDIN ZOTERO_ITEM CSL_CITATION {"citationID":"Bjv8Vjr7","properties":{"formattedCitation":"({\\i{}127})","plainCitation":"(127)","noteIndex":0},"citationItems":[{"id":1655,"uris":["http://zotero.org/users/13901503/items/GQC5IVSJ"],"itemData":{"id":1655,"type":"article-journal","container-title":"Nature Methods","DOI":"10.1038/nmeth.f.303","ISSN":"1548-7091, 1548-7105","issue":"5","journalAbbreviation":"Nat Methods","language":"en","license":"http://www.springer.com/tdm","page":"335-336","source":"DOI.org (Crossref)","title":"QIIME allows analysis of high-throughput community sequencing data","volume":"7","author":[{"family":"Caporaso","given":"J Gregory"},{"family":"Kuczynski","given":"Justin"},{"family":"Stombaugh","given":"Jesse"},{"family":"Bittinger","given":"Kyle"},{"family":"Bushman","given":"Frederic D"},{"family":"Costello","given":"Elizabeth K"},{"family":"Fierer","given":"Noah"},{"family":"Peña","given":"Antonio Gonzalez"},{"family":"Goodrich","given":"Julia K"},{"family":"Gordon","given":"Jeffrey I"},{"family":"Huttley","given":"Gavin A"},{"family":"Kelley","given":"Scott T"},{"family":"Knights","given":"Dan"},{"family":"Koenig","given":"Jeremy E"},{"family":"Ley","given":"Ruth E"},{"family":"Lozupone","given":"Catherine A"},{"family":"McDonald","given":"Daniel"},{"family":"Muegge","given":"Brian D"},{"family":"Pirrung","given":"Meg"},{"family":"Reeder","given":"Jens"},{"family":"Sevinsky","given":"Joel R"},{"family":"Turnbaugh","given":"Peter J"},{"family":"Walters","given":"William A"},{"family":"Widmann","given":"Jeremy"},{"family":"Yatsunenko","given":"Tanya"},{"family":"Zaneveld","given":"Jesse"},{"family":"Knight","given":"Rob"}],"issued":{"date-parts":[["2010",5]]}}}],"schema":"https://github.com/citation-style-language/schema/raw/master/csl-citation.json"} </w:instrText>
      </w:r>
      <w:r>
        <w:fldChar w:fldCharType="separate"/>
      </w:r>
      <w:r w:rsidR="00FE18CB" w:rsidRPr="00FE18CB">
        <w:t>(</w:t>
      </w:r>
      <w:r w:rsidR="00FE18CB" w:rsidRPr="00FE18CB">
        <w:rPr>
          <w:i/>
          <w:iCs/>
        </w:rPr>
        <w:t>127</w:t>
      </w:r>
      <w:r w:rsidR="00FE18CB" w:rsidRPr="00FE18CB">
        <w:t>)</w:t>
      </w:r>
      <w:r>
        <w:fldChar w:fldCharType="end"/>
      </w:r>
      <w:r>
        <w:t>, v2023.9.</w:t>
      </w:r>
      <w:r w:rsidRPr="006E1EB1">
        <w:t xml:space="preserve"> </w:t>
      </w:r>
      <w:r>
        <w:t xml:space="preserve">Pair-end sequences from 900 samples yielded </w:t>
      </w:r>
      <w:r w:rsidRPr="005D24FC">
        <w:t>28</w:t>
      </w:r>
      <w:r>
        <w:t>,</w:t>
      </w:r>
      <w:r w:rsidRPr="005D24FC">
        <w:t>869</w:t>
      </w:r>
      <w:r>
        <w:t>,</w:t>
      </w:r>
      <w:r w:rsidRPr="005D24FC">
        <w:t>202</w:t>
      </w:r>
      <w:r>
        <w:t xml:space="preserve"> raw sequence reads (average </w:t>
      </w:r>
      <w:r w:rsidRPr="005D24FC">
        <w:t>32</w:t>
      </w:r>
      <w:r>
        <w:t>,</w:t>
      </w:r>
      <w:r w:rsidRPr="005D24FC">
        <w:t>07</w:t>
      </w:r>
      <w:r>
        <w:t xml:space="preserve">7 per sample, range of 7 to </w:t>
      </w:r>
      <w:r w:rsidRPr="005D24FC">
        <w:t>64851</w:t>
      </w:r>
      <w:r>
        <w:t xml:space="preserve"> reads). We trimmed forward and reverse reads</w:t>
      </w:r>
      <w:r w:rsidRPr="006E1EB1">
        <w:t xml:space="preserve"> </w:t>
      </w:r>
      <w:r>
        <w:t xml:space="preserve">to 216 bases and 206 bases, respectively, to remove low-quality base pairs using a minimum Phred score of 33. We quality-filtered and denoised sequences using the </w:t>
      </w:r>
      <w:r w:rsidRPr="004C1AF1">
        <w:t>Divisive Amplicon Denoising Algorithm 2</w:t>
      </w:r>
      <w:r>
        <w:t xml:space="preserve"> (DADA2)</w:t>
      </w:r>
      <w:r>
        <w:fldChar w:fldCharType="begin"/>
      </w:r>
      <w:r w:rsidR="00FE18CB">
        <w:instrText xml:space="preserve"> ADDIN ZOTERO_ITEM CSL_CITATION {"citationID":"CHiMHSnG","properties":{"formattedCitation":"({\\i{}128})","plainCitation":"(128)","noteIndex":0},"citationItems":[{"id":1656,"uris":["http://zotero.org/users/13901503/items/5QIKX6JW"],"itemData":{"id":1656,"type":"article-journal","abstract":"DADA2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Inc.","note":"publisher: Nature Publishing Group","page":"581-583","source":"www-nature-com.proxy.lib.umich.edu","title":"DADA2: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fldChar w:fldCharType="separate"/>
      </w:r>
      <w:r w:rsidR="00FE18CB" w:rsidRPr="00FE18CB">
        <w:t>(</w:t>
      </w:r>
      <w:r w:rsidR="00FE18CB" w:rsidRPr="00FE18CB">
        <w:rPr>
          <w:i/>
          <w:iCs/>
        </w:rPr>
        <w:t>128</w:t>
      </w:r>
      <w:r w:rsidR="00FE18CB" w:rsidRPr="00FE18CB">
        <w:t>)</w:t>
      </w:r>
      <w:r>
        <w:fldChar w:fldCharType="end"/>
      </w:r>
      <w:r>
        <w:t xml:space="preserve"> via the q2-dada2 pipeline, which infers Amplicon Sequence Variants (ASVs) by identifying exact sequences. We assigned taxonomy to ASV’s using the q2-feature classifier </w:t>
      </w:r>
      <w:r>
        <w:fldChar w:fldCharType="begin"/>
      </w:r>
      <w:r w:rsidR="00FE18CB">
        <w:instrText xml:space="preserve"> ADDIN ZOTERO_ITEM CSL_CITATION {"citationID":"Nz6FGjkT","properties":{"formattedCitation":"({\\i{}129})","plainCitation":"(129)","noteIndex":0},"citationItems":[{"id":1662,"uris":["http://zotero.org/users/13901503/items/U2MLAXCJ"],"itemData":{"id":1662,"type":"article-journal","abstract":"Taxonomic classification of marker-gene sequences is an important step in microbiome analysis.","container-title":"Microbiome","DOI":"10.1186/s40168-018-0470-z","ISSN":"2049-2618","issue":"1","journalAbbreviation":"Microbiome","page":"90","source":"BioMed Central","title":"Optimizing taxonomic classification of marker-gene amplicon sequences with QIIME 2’s q2-feature-classifier plugin","volume":"6","author":[{"family":"Bokulich","given":"Nicholas A."},{"family":"Kaehler","given":"Benjamin D."},{"family":"Rideout","given":"Jai Ram"},{"family":"Dillon","given":"Matthew"},{"family":"Bolyen","given":"Evan"},{"family":"Knight","given":"Rob"},{"family":"Huttley","given":"Gavin A."},{"family":"Gregory Caporaso","given":"J."}],"issued":{"date-parts":[["2018",5,17]]}}}],"schema":"https://github.com/citation-style-language/schema/raw/master/csl-citation.json"} </w:instrText>
      </w:r>
      <w:r>
        <w:fldChar w:fldCharType="separate"/>
      </w:r>
      <w:r w:rsidR="00FE18CB" w:rsidRPr="00FE18CB">
        <w:t>(</w:t>
      </w:r>
      <w:r w:rsidR="00FE18CB" w:rsidRPr="00FE18CB">
        <w:rPr>
          <w:i/>
          <w:iCs/>
        </w:rPr>
        <w:t>129</w:t>
      </w:r>
      <w:r w:rsidR="00FE18CB" w:rsidRPr="00FE18CB">
        <w:t>)</w:t>
      </w:r>
      <w:r>
        <w:fldChar w:fldCharType="end"/>
      </w:r>
      <w:r>
        <w:t xml:space="preserve"> against version 2022.10 of the Greengenes2 database </w:t>
      </w:r>
      <w:r>
        <w:fldChar w:fldCharType="begin"/>
      </w:r>
      <w:r w:rsidR="00FE18CB">
        <w:instrText xml:space="preserve"> ADDIN ZOTERO_ITEM CSL_CITATION {"citationID":"txLAM5mf","properties":{"formattedCitation":"({\\i{}130}, {\\i{}131})","plainCitation":"(130, 131)","noteIndex":0},"citationItems":[{"id":1658,"uris":["http://zotero.org/users/13901503/items/I2KJAM89"],"itemData":{"id":1658,"type":"article-journal","abstract":"Reference phylogenies are crucial for providing a taxonomic framework for interpretation of marker gene and metagenomic surveys, which continue to reveal novel species at a remarkable rate. Greengenes is a dedicated full-length 16S rRNA gene database that provides users with a curated taxonomy based on de novo tree inference. We developed a ‘taxonomy to tree’ approach for transferring group names from an existing taxonomy to a tree topology, and used it to apply the Greengenes, National Center for Biotechnology Information (NCBI) and cyanoDB (Cyanobacteria only) taxonomies to a de novo tree comprising 408 315 sequences. We also incorporated explicit rank information provided by the NCBI taxonomy to group names (by prefixing rank designations) for better user orientation and classification consistency. The resulting merged taxonomy improved the classification of 75% of the sequences by one or more ranks relative to the original NCBI taxonomy with the most pronounced improvements occurring in under-classified environmental sequences. We also assessed candidate phyla (divisions) currently defined by NCBI and present recommendations for consolidation of 34 redundantly named groups. All intermediate results from the pipeline, which includes tree inference, jackknifing and transfer of a donor taxonomy to a recipient tree (tax2tree) are available for download. The improved Greengenes taxonomy should provide important infrastructure for a wide range of megasequencing projects studying ecosystems on scales ranging from our own bodies (the Human Microbiome Project) to the entire planet (the Earth Microbiome Project). The implementation of the software can be obtained from http://sourceforge.net/projects/tax2tree/.","container-title":"The ISME Journal","DOI":"10.1038/ismej.2011.139","ISSN":"1751-7370","issue":"3","journalAbbreviation":"ISME J","language":"en","license":"2012 The Author(s)","note":"publisher: Nature Publishing Group","page":"610-618","source":"www-nature-com.proxy.lib.umich.edu","title":"An improved Greengenes taxonomy with explicit ranks for ecological and evolutionary analyses of bacteria and archaea","volume":"6","author":[{"family":"McDonald","given":"Daniel"},{"family":"Price","given":"Morgan N."},{"family":"Goodrich","given":"Julia"},{"family":"Nawrocki","given":"Eric P."},{"family":"DeSantis","given":"Todd Z."},{"family":"Probst","given":"Alexander"},{"family":"Andersen","given":"Gary L."},{"family":"Knight","given":"Rob"},{"family":"Hugenholtz","given":"Philip"}],"issued":{"date-parts":[["2012",3]]}}},{"id":1660,"uris":["http://zotero.org/users/13901503/items/G9YGXKGA"],"itemData":{"id":1660,"type":"article-journal","abstract":"Studies using 16S rRNA and shotgun metagenomics typically yield different results, usually attributed to PCR amplification biases. We introduce Greengenes2, a reference tree that unifies genomic and 16S rRNA databases in a consistent, integrated resource. By inserting sequences into a whole-genome phylogeny, we show that 16S rRNA and shotgun metagenomic data generated from the same samples agree in principal coordinates space, taxonomy and phenotype effect size when analyzed with the same tree.","container-title":"Nature Biotechnology","DOI":"10.1038/s41587-023-01845-1","ISSN":"1546-1696","issue":"5","journalAbbreviation":"Nat Biotechnol","language":"en","license":"2023 The Author(s)","note":"publisher: Nature Publishing Group","page":"715-718","source":"www-nature-com.proxy.lib.umich.edu","title":"Greengenes2 unifies microbial data in a single reference tree","volume":"42","author":[{"family":"McDonald","given":"Daniel"},{"family":"Jiang","given":"Yueyu"},{"family":"Balaban","given":"Metin"},{"family":"Cantrell","given":"Kalen"},{"family":"Zhu","given":"Qiyun"},{"family":"Gonzalez","given":"Antonio"},{"family":"Morton","given":"James T."},{"family":"Nicolaou","given":"Giorgia"},{"family":"Parks","given":"Donovan H."},{"family":"Karst","given":"Søren M."},{"family":"Albertsen","given":"Mads"},{"family":"Hugenholtz","given":"Philip"},{"family":"DeSantis","given":"Todd"},{"family":"Song","given":"Se Jin"},{"family":"Bartko","given":"Andrew"},{"family":"Havulinna","given":"Aki S."},{"family":"Jousilahti","given":"Pekka"},{"family":"Cheng","given":"Susan"},{"family":"Inouye","given":"Michael"},{"family":"Niiranen","given":"Teemu"},{"family":"Jain","given":"Mohit"},{"family":"Salomaa","given":"Veikko"},{"family":"Lahti","given":"Leo"},{"family":"Mirarab","given":"Siavash"},{"family":"Knight","given":"Rob"}],"issued":{"date-parts":[["2024",5]]}}}],"schema":"https://github.com/citation-style-language/schema/raw/master/csl-citation.json"} </w:instrText>
      </w:r>
      <w:r>
        <w:fldChar w:fldCharType="separate"/>
      </w:r>
      <w:r w:rsidR="00FE18CB" w:rsidRPr="00FE18CB">
        <w:t>(</w:t>
      </w:r>
      <w:r w:rsidR="00FE18CB" w:rsidRPr="00FE18CB">
        <w:rPr>
          <w:i/>
          <w:iCs/>
        </w:rPr>
        <w:t>130</w:t>
      </w:r>
      <w:r w:rsidR="00FE18CB" w:rsidRPr="00FE18CB">
        <w:t xml:space="preserve">, </w:t>
      </w:r>
      <w:r w:rsidR="00FE18CB" w:rsidRPr="00FE18CB">
        <w:rPr>
          <w:i/>
          <w:iCs/>
        </w:rPr>
        <w:t>131</w:t>
      </w:r>
      <w:r w:rsidR="00FE18CB" w:rsidRPr="00FE18CB">
        <w:t>)</w:t>
      </w:r>
      <w:r>
        <w:fldChar w:fldCharType="end"/>
      </w:r>
      <w:r>
        <w:t xml:space="preserve"> by </w:t>
      </w:r>
      <w:r w:rsidRPr="008959D6">
        <w:t>applying the classify-</w:t>
      </w:r>
      <w:proofErr w:type="spellStart"/>
      <w:r w:rsidRPr="008959D6">
        <w:t>sklearn</w:t>
      </w:r>
      <w:proofErr w:type="spellEnd"/>
      <w:r w:rsidRPr="008959D6">
        <w:t xml:space="preserve"> model.</w:t>
      </w:r>
      <w:r w:rsidRPr="006E1EB1">
        <w:t xml:space="preserve"> </w:t>
      </w:r>
      <w:r>
        <w:t>We removed sequences assigned to chloroplasts and mitochondria using the q2-taxa-filter-table to retain only microbial sequences for downstream analysis. All negative controls contained fewer than 507 reads per sample (average of 29), and we excluded them after visually confirming that their taxonomic composition did not indicate contamination. We also excluded one fecal sample that contained fewer than 1,000 reads to avoid bias from low-coverage data. After filtering, we retained 797 samples, which contained an average of 16,898 reads (range: 4,944–38,941).</w:t>
      </w:r>
    </w:p>
    <w:p w14:paraId="4CFD532B" w14:textId="550B8959" w:rsidR="00D82060" w:rsidRDefault="00D82060" w:rsidP="00D82060">
      <w:pPr>
        <w:ind w:firstLine="720"/>
      </w:pPr>
      <w:r>
        <w:lastRenderedPageBreak/>
        <w:t xml:space="preserve">We imported the ASV count and taxonomy files generated by QIIME2 into R using the {qiime2R} package </w:t>
      </w:r>
      <w:r>
        <w:fldChar w:fldCharType="begin"/>
      </w:r>
      <w:r w:rsidR="00FE18CB">
        <w:instrText xml:space="preserve"> ADDIN ZOTERO_ITEM CSL_CITATION {"citationID":"CBIQl7kI","properties":{"formattedCitation":"({\\i{}132})","plainCitation":"(132)","noteIndex":0},"citationItems":[{"id":1665,"uris":["http://zotero.org/users/13901503/items/4N2UFVCD"],"itemData":{"id":1665,"type":"article-journal","container-title":"R Package version 0.99","title":"qiime2R: importing QIIME2 artifacts and associated data into R sessions","author":[{"family":"Bisanz","given":"JE"}],"issued":{"date-parts":[["2018"]]}}}],"schema":"https://github.com/citation-style-language/schema/raw/master/csl-citation.json"} </w:instrText>
      </w:r>
      <w:r>
        <w:fldChar w:fldCharType="separate"/>
      </w:r>
      <w:r w:rsidR="00FE18CB" w:rsidRPr="00FE18CB">
        <w:t>(</w:t>
      </w:r>
      <w:r w:rsidR="00FE18CB" w:rsidRPr="00FE18CB">
        <w:rPr>
          <w:i/>
          <w:iCs/>
        </w:rPr>
        <w:t>132</w:t>
      </w:r>
      <w:r w:rsidR="00FE18CB" w:rsidRPr="00FE18CB">
        <w:t>)</w:t>
      </w:r>
      <w:r>
        <w:fldChar w:fldCharType="end"/>
      </w:r>
      <w:r>
        <w:t xml:space="preserve"> and saved them as a </w:t>
      </w:r>
      <w:proofErr w:type="spellStart"/>
      <w:r w:rsidRPr="00EB2FDE">
        <w:rPr>
          <w:i/>
          <w:iCs/>
        </w:rPr>
        <w:t>phyloseq</w:t>
      </w:r>
      <w:proofErr w:type="spellEnd"/>
      <w:r>
        <w:t xml:space="preserve"> object using the {</w:t>
      </w:r>
      <w:proofErr w:type="spellStart"/>
      <w:r>
        <w:t>phyloseq</w:t>
      </w:r>
      <w:proofErr w:type="spellEnd"/>
      <w:r>
        <w:t xml:space="preserve">} package </w:t>
      </w:r>
      <w:r>
        <w:fldChar w:fldCharType="begin"/>
      </w:r>
      <w:r w:rsidR="00FE18CB">
        <w:instrText xml:space="preserve"> ADDIN ZOTERO_ITEM CSL_CITATION {"citationID":"rEqfVqQV","properties":{"formattedCitation":"({\\i{}133})","plainCitation":"(133)","noteIndex":0},"citationItems":[{"id":1667,"uris":["http://zotero.org/users/13901503/items/RR6DYA9S"],"itemData":{"id":1667,"type":"article-journal","container-title":"PLoS ONE","DOI":"10.1371/journal.pone.0061217","ISSN":"1932-6203","issue":"4","journalAbbreviation":"PLoS ONE","language":"en","page":"e61217","source":"DOI.org (Crossref)","title":"phyloseq: An R Package for Reproducible Interactive Analysis and Graphics of Microbiome Census Data","title-short":"phyloseq","volume":"8","author":[{"family":"McMurdie","given":"Paul J."},{"family":"Holmes","given":"Susan"}],"editor":[{"family":"Watson","given":"Michael"}],"issued":{"date-parts":[["2013",4,22]]}}}],"schema":"https://github.com/citation-style-language/schema/raw/master/csl-citation.json"} </w:instrText>
      </w:r>
      <w:r>
        <w:fldChar w:fldCharType="separate"/>
      </w:r>
      <w:r w:rsidR="00FE18CB" w:rsidRPr="00FE18CB">
        <w:t>(</w:t>
      </w:r>
      <w:r w:rsidR="00FE18CB" w:rsidRPr="00FE18CB">
        <w:rPr>
          <w:i/>
          <w:iCs/>
        </w:rPr>
        <w:t>133</w:t>
      </w:r>
      <w:r w:rsidR="00FE18CB" w:rsidRPr="00FE18CB">
        <w:t>)</w:t>
      </w:r>
      <w:r>
        <w:fldChar w:fldCharType="end"/>
      </w:r>
      <w:r>
        <w:t xml:space="preserve">. Most ASV’s were found at </w:t>
      </w:r>
      <w:r w:rsidRPr="00590F44">
        <w:t>low frequencies (</w:t>
      </w:r>
      <w:r>
        <w:t>Fig 4S</w:t>
      </w:r>
      <w:r w:rsidRPr="00590F44">
        <w:t>);</w:t>
      </w:r>
      <w:r>
        <w:t xml:space="preserve"> out of </w:t>
      </w:r>
      <w:r w:rsidRPr="00FB7CB1">
        <w:t>11</w:t>
      </w:r>
      <w:r>
        <w:t>,</w:t>
      </w:r>
      <w:r w:rsidRPr="00FB7CB1">
        <w:t>91</w:t>
      </w:r>
      <w:r>
        <w:t xml:space="preserve">6 total ASV’s, 89% were only found in one sample, and 16% were not assigned to a phylum. To avoid analyzing taxa that are artifacts of the sequencing process </w:t>
      </w:r>
      <w:r>
        <w:fldChar w:fldCharType="begin"/>
      </w:r>
      <w:r w:rsidR="00FE18CB">
        <w:instrText xml:space="preserve"> ADDIN ZOTERO_ITEM CSL_CITATION {"citationID":"L2wCm92o","properties":{"formattedCitation":"({\\i{}134})","plainCitation":"(134)","noteIndex":0},"citationItems":[{"id":1672,"uris":["http://zotero.org/users/13901503/items/F4HJCW9M"],"itemData":{"id":1672,"type":"article-journal","abstract":"&lt;p&gt;&lt;bold&gt;Background:&lt;/bold&gt; The accuracy of microbial community detection in 16S rRNA marker-gene and metagenomic studies suffers from contamination and sequencing errors that lead to either falsely identifying microbial taxa that were not in the sample or misclassifying the taxa of DNA fragment reads. Removing contaminants and filtering rare features are two common approaches to deal with this problem. While contaminant detection methods use auxiliary sequencing process information to identify known contaminants, filtering methods remove taxa that are present in a small number of samples and have small counts in the samples where they are observed. The latter approach reduces the extreme sparsity of microbiome data and has been shown to correctly remove contaminant taxa in cultured “mock” datasets, where the true taxa compositions are known. Although filtering is frequently used, careful evaluation of its effect on the data analysis and scientific conclusions remains unreported. Here, we assess the effect of filtering on the alpha and beta diversity estimation as well as its impact on identifying taxa that discriminate between disease states.&lt;/p&gt;&lt;p&gt;&lt;bold&gt;Results:&lt;/bold&gt; The effect of filtering on microbiome data analysis is illustrated on four datasets: two mock quality control datasets where the same cultured samples with known microbial composition are processed at different labs and two disease study datasets. Results show that in microbiome quality control datasets, filtering reduces the magnitude of differences in alpha diversity and alleviates technical variability between labs while preserving the between samples similarity (beta diversity). In the disease study datasets, DESeq2 and linear discriminant analysis Effect Size (LEfSe) methods were used to identify taxa that are differentially abundant across groups of samples, and random forest models were used to rank features with the largest contribution toward disease classification. Results reveal that filtering retains significant taxa and preserves the model classification ability measured by the area under the receiver operating characteristic curve (AUC). The comparison between the filtering and the contaminant removal method shows that they have complementary effects and are advised to be used in conjunction.&lt;/p&gt;&lt;p&gt;&lt;bold&gt;Conclusions:&lt;/bold&gt; Filtering reduces the complexity of microbiome data while preserving their integrity in downstream analysis. This leads to mitigation of the classification methods' sensitivity and reduction of technical variability, allowing researchers to generate more reproducible and comparable results in microbiome data analysis.&lt;/p&gt;","container-title":"Frontiers in Microbiology","DOI":"10.3389/fmicb.2020.607325","ISSN":"1664-302X","journalAbbreviation":"Front. Microbiol.","language":"English","note":"publisher: Frontiers","source":"Frontiers","title":"Effects of Rare Microbiome Taxa Filtering on Statistical Analysis","URL":"https://www.frontiersin.org/journals/microbiology/articles/10.3389/fmicb.2020.607325/full","volume":"11","author":[{"family":"Cao","given":"Quy"},{"family":"Sun","given":"Xinxin"},{"family":"Rajesh","given":"Karun"},{"family":"Chalasani","given":"Naga"},{"family":"Gelow","given":"Kayla"},{"family":"Katz","given":"Barry"},{"family":"Shah","given":"Vijay H."},{"family":"Sanyal","given":"Arun J."},{"family":"Smirnova","given":"Ekaterina"}],"accessed":{"date-parts":[["2025",1,29]]},"issued":{"date-parts":[["2021",1,12]]}}}],"schema":"https://github.com/citation-style-language/schema/raw/master/csl-citation.json"} </w:instrText>
      </w:r>
      <w:r>
        <w:fldChar w:fldCharType="separate"/>
      </w:r>
      <w:r w:rsidR="00FE18CB" w:rsidRPr="00FE18CB">
        <w:t>(</w:t>
      </w:r>
      <w:r w:rsidR="00FE18CB" w:rsidRPr="00FE18CB">
        <w:rPr>
          <w:i/>
          <w:iCs/>
        </w:rPr>
        <w:t>134</w:t>
      </w:r>
      <w:r w:rsidR="00FE18CB" w:rsidRPr="00FE18CB">
        <w:t>)</w:t>
      </w:r>
      <w:r>
        <w:fldChar w:fldCharType="end"/>
      </w:r>
      <w:r>
        <w:t xml:space="preserve">, we removed ASV’s found in less than 0.5% of total samples. After filtering, we removed 102 additional ASV’s that were not assigned at the phylum level, resulting in </w:t>
      </w:r>
      <w:r w:rsidRPr="00830DDA">
        <w:t>1159</w:t>
      </w:r>
      <w:r>
        <w:t xml:space="preserve"> total remaining ASV’s. Most of the remaining ASV’s could be assigned to class (100%), order (95%) and family (93%) levels but assignment decreased substantially at the genus (60%) level.</w:t>
      </w:r>
    </w:p>
    <w:p w14:paraId="2D6C68CC" w14:textId="77777777" w:rsidR="00D82060" w:rsidRPr="00147548" w:rsidRDefault="00D82060" w:rsidP="00D82060">
      <w:pPr>
        <w:rPr>
          <w:i/>
          <w:iCs/>
        </w:rPr>
      </w:pPr>
    </w:p>
    <w:p w14:paraId="32FD1B39" w14:textId="77777777" w:rsidR="00D82060" w:rsidRDefault="00D82060" w:rsidP="00D82060">
      <w:pPr>
        <w:rPr>
          <w:i/>
          <w:iCs/>
        </w:rPr>
      </w:pPr>
      <w:r>
        <w:rPr>
          <w:i/>
          <w:iCs/>
        </w:rPr>
        <w:t>Shotgun metagenomic</w:t>
      </w:r>
      <w:r w:rsidRPr="00147548">
        <w:rPr>
          <w:i/>
          <w:iCs/>
        </w:rPr>
        <w:t xml:space="preserve"> </w:t>
      </w:r>
      <w:r>
        <w:rPr>
          <w:i/>
          <w:iCs/>
        </w:rPr>
        <w:t>sequencing and data processing</w:t>
      </w:r>
    </w:p>
    <w:p w14:paraId="330A2DA1" w14:textId="77777777" w:rsidR="00D82060" w:rsidRDefault="00D82060" w:rsidP="00D82060">
      <w:r>
        <w:t xml:space="preserve">We used metagenomic sequencing to characterize the functional capacity of the gut microbiome in a subset of 95 samples with sufficient DNA concentration for library preparation. We prepared sequencing libraries using the </w:t>
      </w:r>
      <w:proofErr w:type="spellStart"/>
      <w:r w:rsidRPr="006E7CF5">
        <w:t>NEBNext</w:t>
      </w:r>
      <w:proofErr w:type="spellEnd"/>
      <w:r w:rsidRPr="006E7CF5">
        <w:t xml:space="preserve"> Ultra™ II FS DNA PCR-free Library Prep Kit for Illumina</w:t>
      </w:r>
      <w:r>
        <w:t xml:space="preserve"> (New England Biolabs, Ipswich, MA, USA). We followed the manufacturer protocol for low inputs (50ng to 99ng) and selected library inserts around 350bp. We pooled the libraries and sequenced them on the Illumina </w:t>
      </w:r>
      <w:proofErr w:type="spellStart"/>
      <w:r>
        <w:t>NovaSeq</w:t>
      </w:r>
      <w:proofErr w:type="spellEnd"/>
      <w:r>
        <w:t xml:space="preserve"> platform at the Rush Genomics and Microbiome Core Facility. Pair-end sequences from 95 samples yielded </w:t>
      </w:r>
      <w:r w:rsidRPr="003761CD">
        <w:t>2</w:t>
      </w:r>
      <w:r>
        <w:t>,</w:t>
      </w:r>
      <w:r w:rsidRPr="003761CD">
        <w:t>902</w:t>
      </w:r>
      <w:r>
        <w:t>,</w:t>
      </w:r>
      <w:r w:rsidRPr="003761CD">
        <w:t>714</w:t>
      </w:r>
      <w:r>
        <w:t>,</w:t>
      </w:r>
      <w:r w:rsidRPr="003761CD">
        <w:t>548</w:t>
      </w:r>
      <w:r>
        <w:t xml:space="preserve"> raw sequence reads (average </w:t>
      </w:r>
      <w:r w:rsidRPr="003761CD">
        <w:t>15</w:t>
      </w:r>
      <w:r>
        <w:t>,</w:t>
      </w:r>
      <w:r w:rsidRPr="003761CD">
        <w:t>277</w:t>
      </w:r>
      <w:r>
        <w:t>,</w:t>
      </w:r>
      <w:r w:rsidRPr="003761CD">
        <w:t>44</w:t>
      </w:r>
      <w:r>
        <w:t xml:space="preserve">5 per sample, range of </w:t>
      </w:r>
      <w:r w:rsidRPr="003761CD">
        <w:t>531</w:t>
      </w:r>
      <w:r>
        <w:t>,</w:t>
      </w:r>
      <w:r w:rsidRPr="003761CD">
        <w:t>829</w:t>
      </w:r>
      <w:r>
        <w:t xml:space="preserve"> to </w:t>
      </w:r>
      <w:r w:rsidRPr="00975DCE">
        <w:t>25</w:t>
      </w:r>
      <w:r>
        <w:t>,</w:t>
      </w:r>
      <w:r w:rsidRPr="00975DCE">
        <w:t>348</w:t>
      </w:r>
      <w:r>
        <w:t>,</w:t>
      </w:r>
      <w:r w:rsidRPr="00975DCE">
        <w:t>795</w:t>
      </w:r>
      <w:r>
        <w:t xml:space="preserve"> reads).</w:t>
      </w:r>
    </w:p>
    <w:p w14:paraId="28853DC0" w14:textId="048E66A0" w:rsidR="00D82060" w:rsidRDefault="00D82060" w:rsidP="00D82060">
      <w:r>
        <w:tab/>
        <w:t xml:space="preserve">We quality-filtered the raw metagenomic sequences using </w:t>
      </w:r>
      <w:proofErr w:type="spellStart"/>
      <w:r>
        <w:t>KneadData</w:t>
      </w:r>
      <w:proofErr w:type="spellEnd"/>
      <w:r>
        <w:t xml:space="preserve"> (</w:t>
      </w:r>
      <w:r w:rsidRPr="003D15B6">
        <w:t>v0.12.0</w:t>
      </w:r>
      <w:r>
        <w:t xml:space="preserve">) which uses </w:t>
      </w:r>
      <w:proofErr w:type="spellStart"/>
      <w:r>
        <w:t>Trimmomatic</w:t>
      </w:r>
      <w:proofErr w:type="spellEnd"/>
      <w:r>
        <w:t xml:space="preserve"> to remove adaptors, low-quality reads, and overrepresented or repetitive sequences, and Bowtie2 to remove host-derived sequences </w:t>
      </w:r>
      <w:r>
        <w:fldChar w:fldCharType="begin"/>
      </w:r>
      <w:r w:rsidR="00FE18CB">
        <w:instrText xml:space="preserve"> ADDIN ZOTERO_ITEM CSL_CITATION {"citationID":"1Zg0y02O","properties":{"formattedCitation":"({\\i{}135})","plainCitation":"(135)","noteIndex":0},"citationItems":[{"id":968,"uris":["http://zotero.org/users/13901503/items/9YGIV4WL"],"itemData":{"id":968,"type":"article-journal","abstract":"Culture-independent analyses of microbial communities have progressed dramatically in the last decade, particularly due to advances in methods for biological profiling via shotgun metagenomics. Opportunities for improvement continue to accelerate, with greater access to multi-omics, microbial reference genomes, and strain-level diversity. To leverage these, we present bioBakery 3, a set of integrated, improved methods for taxonomic, strain-level, functional, and phylogenetic profiling of metagenomes newly developed to build on the largest set of reference sequences now available. Compared to current alternatives, MetaPhlAn 3 increases the accuracy of taxonomic profiling, and HUMAnN 3 improves that of functional potential and activity. These methods detected novel disease-microbiome links in applications to CRC (1262 metagenomes) and IBD (1635 metagenomes and 817 metatranscriptomes). Strain-level profiling of an additional 4077 metagenomes with StrainPhlAn 3 and PanPhlAn 3 unraveled the phylogenetic and functional structure of the common gut microbe Ruminococcus bromii, previously described by only 15 isolate genomes. With open-source implementations and cloud-deployable reproducible workflows, the bioBakery 3 platform can help researchers deepen the resolution, scale, and accuracy of multi-omic profiling for microbial community studies.","container-title":"eLife","DOI":"10.7554/eLife.65088","ISSN":"2050-084X","note":"publisher: eLife Sciences Publications, Ltd","page":"e65088","source":"eLife","title":"Integrating taxonomic, functional, and strain-level profiling of diverse microbial communities with bioBakery 3","volume":"10","author":[{"family":"Beghini","given":"Francesco"},{"family":"McIver","given":"Lauren J"},{"family":"Blanco-Míguez","given":"Aitor"},{"family":"Dubois","given":"Leonard"},{"family":"Asnicar","given":"Francesco"},{"family":"Maharjan","given":"Sagun"},{"family":"Mailyan","given":"Ana"},{"family":"Manghi","given":"Paolo"},{"family":"Scholz","given":"Matthias"},{"family":"Thomas","given":"Andrew Maltez"},{"family":"Valles-Colomer","given":"Mireia"},{"family":"Weingart","given":"George"},{"family":"Zhang","given":"Yancong"},{"family":"Zolfo","given":"Moreno"},{"family":"Huttenhower","given":"Curtis"},{"family":"Franzosa","given":"Eric A"},{"family":"Segata","given":"Nicola"}],"editor":[{"family":"Turnbaugh","given":"Peter"},{"family":"Franco","given":"Eduardo"},{"family":"Brown","given":"C Titus"}],"issued":{"date-parts":[["2021",5,4]]}}}],"schema":"https://github.com/citation-style-language/schema/raw/master/csl-citation.json"} </w:instrText>
      </w:r>
      <w:r>
        <w:fldChar w:fldCharType="separate"/>
      </w:r>
      <w:r w:rsidR="00FE18CB" w:rsidRPr="00FE18CB">
        <w:t>(</w:t>
      </w:r>
      <w:r w:rsidR="00FE18CB" w:rsidRPr="00FE18CB">
        <w:rPr>
          <w:i/>
          <w:iCs/>
        </w:rPr>
        <w:t>135</w:t>
      </w:r>
      <w:r w:rsidR="00FE18CB" w:rsidRPr="00FE18CB">
        <w:t>)</w:t>
      </w:r>
      <w:r>
        <w:fldChar w:fldCharType="end"/>
      </w:r>
      <w:r>
        <w:t xml:space="preserve">. We ran </w:t>
      </w:r>
      <w:proofErr w:type="spellStart"/>
      <w:r>
        <w:t>KneadData</w:t>
      </w:r>
      <w:proofErr w:type="spellEnd"/>
      <w:r>
        <w:t xml:space="preserve"> using the standard parameters S</w:t>
      </w:r>
      <w:r w:rsidRPr="00975DCE">
        <w:t>LIDINGWINDOW:4:20</w:t>
      </w:r>
      <w:r>
        <w:t xml:space="preserve"> and</w:t>
      </w:r>
      <w:r w:rsidRPr="00975DCE">
        <w:t xml:space="preserve"> MINLEN:90</w:t>
      </w:r>
      <w:r>
        <w:t xml:space="preserve"> to trim reads when the average quality score dropped below 20 and remove reads shorter than 90bp. To remove host-associated reads we used the GRCh38.p13 human reference genome </w:t>
      </w:r>
      <w:r w:rsidRPr="00FF2CF9">
        <w:t>(</w:t>
      </w:r>
      <w:proofErr w:type="spellStart"/>
      <w:r w:rsidRPr="00FF2CF9">
        <w:t>RefSeq</w:t>
      </w:r>
      <w:proofErr w:type="spellEnd"/>
      <w:r w:rsidRPr="00FF2CF9">
        <w:t xml:space="preserve"> accession: GCF_009914755.1)</w:t>
      </w:r>
      <w:r>
        <w:t xml:space="preserve"> which has been used to filter host genome data in previous capuchin metagenome studies </w:t>
      </w:r>
      <w:r>
        <w:fldChar w:fldCharType="begin"/>
      </w:r>
      <w:r w:rsidR="00DD12D1">
        <w:instrText xml:space="preserve"> ADDIN ZOTERO_ITEM CSL_CITATION {"citationID":"e5PQThsy","properties":{"formattedCitation":"({\\i{}52})","plainCitation":"(52)","noteIndex":0},"citationItems":[{"id":700,"uris":["http://zotero.org/users/13901503/items/HCYVY6PR"],"itemData":{"id":700,"type":"article-journal","abstract":"Research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00DD12D1" w:rsidRPr="00DD12D1">
        <w:t>(</w:t>
      </w:r>
      <w:r w:rsidR="00DD12D1" w:rsidRPr="00DD12D1">
        <w:rPr>
          <w:i/>
          <w:iCs/>
        </w:rPr>
        <w:t>52</w:t>
      </w:r>
      <w:r w:rsidR="00DD12D1" w:rsidRPr="00DD12D1">
        <w:t>)</w:t>
      </w:r>
      <w:r>
        <w:fldChar w:fldCharType="end"/>
      </w:r>
      <w:r>
        <w:t xml:space="preserve">. </w:t>
      </w:r>
      <w:proofErr w:type="spellStart"/>
      <w:r>
        <w:t>KneadData</w:t>
      </w:r>
      <w:proofErr w:type="spellEnd"/>
      <w:r>
        <w:t xml:space="preserve"> yielded </w:t>
      </w:r>
      <w:r w:rsidRPr="003054A4">
        <w:t>931</w:t>
      </w:r>
      <w:r>
        <w:t>,</w:t>
      </w:r>
      <w:r w:rsidRPr="003054A4">
        <w:t>326</w:t>
      </w:r>
      <w:r>
        <w:t>,</w:t>
      </w:r>
      <w:r w:rsidRPr="003054A4">
        <w:t>495</w:t>
      </w:r>
      <w:r>
        <w:t xml:space="preserve"> cleaned reads (average </w:t>
      </w:r>
      <w:r w:rsidRPr="003054A4">
        <w:t>98</w:t>
      </w:r>
      <w:r>
        <w:t>,</w:t>
      </w:r>
      <w:r w:rsidRPr="003054A4">
        <w:t>034</w:t>
      </w:r>
      <w:r>
        <w:t>,</w:t>
      </w:r>
      <w:r w:rsidRPr="003054A4">
        <w:t>3</w:t>
      </w:r>
      <w:r>
        <w:t xml:space="preserve">76 per sample, range of 178,711 to </w:t>
      </w:r>
      <w:r w:rsidRPr="003054A4">
        <w:t>22</w:t>
      </w:r>
      <w:r>
        <w:t>,</w:t>
      </w:r>
      <w:r w:rsidRPr="003054A4">
        <w:t>386</w:t>
      </w:r>
      <w:r>
        <w:t>,</w:t>
      </w:r>
      <w:r w:rsidRPr="003054A4">
        <w:t>906</w:t>
      </w:r>
      <w:r>
        <w:t xml:space="preserve"> reads). We concatenated the forward and reverse reads and used HUMAnN3 (v3.9)</w:t>
      </w:r>
      <w:r w:rsidRPr="009E57A6">
        <w:t xml:space="preserve"> </w:t>
      </w:r>
      <w:r>
        <w:t xml:space="preserve">for functional profiling. Gene families were assigned using the Uniref50 database and regrouped into </w:t>
      </w:r>
      <w:proofErr w:type="spellStart"/>
      <w:r>
        <w:t>MetaCyc</w:t>
      </w:r>
      <w:proofErr w:type="spellEnd"/>
      <w:r>
        <w:t xml:space="preserve"> reactions. The resulting table reported the abundance of each unique metabolic pathway normalized by the number of gene families contributing to that pathway. We imported the pathway abundance table into R and removed the unmapped values, which represent sequences that could not be assigned to any known gene family,</w:t>
      </w:r>
      <w:r w:rsidRPr="00300421">
        <w:t xml:space="preserve"> </w:t>
      </w:r>
      <w:r>
        <w:t>as well as unintegrated values, which correspond to gene families not associated with any known pathway. After filtering, 548 unique metabolic pathways remained. We performed all subsequent analyses using R v4.3.1.</w:t>
      </w:r>
    </w:p>
    <w:p w14:paraId="4BE0CD81" w14:textId="77777777" w:rsidR="00D82060" w:rsidRDefault="00D82060" w:rsidP="00A84791"/>
    <w:p w14:paraId="299F5CF7" w14:textId="77777777" w:rsidR="00D82060" w:rsidRPr="00521E9D" w:rsidRDefault="00D82060" w:rsidP="00D82060">
      <w:pPr>
        <w:rPr>
          <w:u w:val="single"/>
        </w:rPr>
      </w:pPr>
      <w:r>
        <w:rPr>
          <w:u w:val="single"/>
        </w:rPr>
        <w:t>Metadata assembly</w:t>
      </w:r>
    </w:p>
    <w:p w14:paraId="61BE3BC8" w14:textId="42E15482" w:rsidR="00D82060" w:rsidRDefault="00D82060" w:rsidP="00D82060">
      <w:r>
        <w:t xml:space="preserve">We matched each 16s rRNA and shotgun metagenomic sample with the relevant metadata to facilitate subsequent analyses. We paired samples with the average neopterin value from a 7-day window, encompassing three days before, the day of, and three days after sample collection. Our time window provides a general measure of immune performance associated with the microbiome composition, enabling us to assess the relationship between the two. We also averaged the maximum temperature (collected every 15 minutes) 15 days before sample collection. This time frame allowed us to evaluate the relationship between the microbiome and </w:t>
      </w:r>
      <w:r>
        <w:lastRenderedPageBreak/>
        <w:t xml:space="preserve">long-term trends in temperature. This temperature predictor has also been associated with changes in immune performance in this population </w:t>
      </w:r>
      <w:r>
        <w:fldChar w:fldCharType="begin"/>
      </w:r>
      <w:r w:rsidR="00DD12D1">
        <w:instrText xml:space="preserve"> ADDIN ZOTERO_ITEM CSL_CITATION {"citationID":"5XvGEW0Y","properties":{"formattedCitation":"({\\i{}8})","plainCitation":"(8)","noteIndex":0},"citationItems":[{"id":1689,"uris":["http://zotero.org/users/13901503/items/2TJCS3UQ"],"itemData":{"id":1689,"type":"article-journal","abstract":"Rising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00DD12D1" w:rsidRPr="00DD12D1">
        <w:t>(</w:t>
      </w:r>
      <w:r w:rsidR="00DD12D1" w:rsidRPr="00DD12D1">
        <w:rPr>
          <w:i/>
          <w:iCs/>
        </w:rPr>
        <w:t>8</w:t>
      </w:r>
      <w:r w:rsidR="00DD12D1" w:rsidRPr="00DD12D1">
        <w:t>)</w:t>
      </w:r>
      <w:r>
        <w:fldChar w:fldCharType="end"/>
      </w:r>
      <w:r>
        <w:t xml:space="preserve">. </w:t>
      </w:r>
    </w:p>
    <w:p w14:paraId="5A084F81" w14:textId="68EB646D" w:rsidR="00D82060" w:rsidRDefault="00D82060" w:rsidP="00D82060">
      <w:pPr>
        <w:ind w:firstLine="720"/>
      </w:pPr>
      <w:r>
        <w:t xml:space="preserve">We also paired each sample with all diet observations from the same individual within two weeks before sample collection, following time frames used in previous white-faced capuchin gut microbiome studies </w:t>
      </w:r>
      <w:r>
        <w:fldChar w:fldCharType="begin"/>
      </w:r>
      <w:r w:rsidR="00FE18CB">
        <w:instrText xml:space="preserve"> ADDIN ZOTERO_ITEM CSL_CITATION {"citationID":"JR1jMbxd","properties":{"formattedCitation":"({\\i{}52}, {\\i{}136})","plainCitation":"(52, 136)","noteIndex":0},"citationItems":[{"id":1636,"uris":["http://zotero.org/users/13901503/items/5NZP9HX7"],"itemData":{"id":1636,"type":"article-journal","abstract":"Objectives Invertebrate consumption is thought to be an integral part of early hominin diets, and many modern human populations regularly consume insects and other arthropods. This study examines the response of gut microbial community structure and function to changes in diet in wild white-faced capuchins (Cebus capucinus), a primate that incorporates a large proportion of invertebrates in its diet. The goal of the study is to better understand the role of both fruit and invertebrate prey consumption on shaping primate gut microbiomes. Materials and methods Fecal samples (n = 169) and dietary data were collected over 12 months. The V3-V5 region of microbial 16S rRNA genes was amplified and sequenced. The IM-TORNADO pipeline was used to analyze sequences. Results White-faced capuchin gut bacterial communities were characterized primarily by Firmicutes (41.6%) and Proteobacteria (39.2%). There was a significant relationship between the invertebrate diet composition of individual capuchins and their gut microbiome composition. However, there was no relationship between the fruit diet composition of individual capuchins and their gut microbiome composition, even when examining multiple timescales. Discussion The results of our study indicate that there is a stronger relationship between gut microbial community structure and invertebrate diet composition than between gut microbial community structure and fruit consumption. As invertebrates and other animal prey play an important role in the diet of many primates, these results give important insight into the role of faunivory in shaping the evolution of host-microbe interactions in primates.","container-title":"American Journal of Physical Anthropology","DOI":"10.1002/ajpa.23395","ISSN":"1096-8644","issue":"3","language":"en","note":"_eprint: https://onlinelibrary.wiley.com/doi/pdf/10.1002/ajpa.23395","page":"576-588","source":"Wiley Online Library","title":"Influence of fruit and invertebrate consumption on the gut microbiota of wild white-faced capuchins (Cebus capucinus)","volume":"165","author":[{"family":"Mallott","given":"Elizabeth K."},{"family":"Amato","given":"Katherine R."},{"family":"Garber","given":"Paul A."},{"family":"Malhi","given":"Ripan S."}],"issued":{"date-parts":[["2018"]]}}},{"id":700,"uris":["http://zotero.org/users/13901503/items/HCYVY6PR"],"itemData":{"id":700,"type":"article-journal","abstract":"Research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00FE18CB" w:rsidRPr="00FE18CB">
        <w:t>(</w:t>
      </w:r>
      <w:r w:rsidR="00FE18CB" w:rsidRPr="00FE18CB">
        <w:rPr>
          <w:i/>
          <w:iCs/>
        </w:rPr>
        <w:t>52</w:t>
      </w:r>
      <w:r w:rsidR="00FE18CB" w:rsidRPr="00FE18CB">
        <w:t xml:space="preserve">, </w:t>
      </w:r>
      <w:r w:rsidR="00FE18CB" w:rsidRPr="00FE18CB">
        <w:rPr>
          <w:i/>
          <w:iCs/>
        </w:rPr>
        <w:t>136</w:t>
      </w:r>
      <w:r w:rsidR="00FE18CB" w:rsidRPr="00FE18CB">
        <w:t>)</w:t>
      </w:r>
      <w:r>
        <w:fldChar w:fldCharType="end"/>
      </w:r>
      <w:r>
        <w:t xml:space="preserve">. We quantified diet diversity by modeling diet richness (i.e., the total number of unique food items recorded) as a function of the total number of feeding observations. We then used the residuals as a measure of diet diversity, with negative values indicating lower-than-expected diversity and positive values indicating higher-than-expected diversity </w:t>
      </w:r>
      <w:r>
        <w:fldChar w:fldCharType="begin"/>
      </w:r>
      <w:r w:rsidR="00FE18CB">
        <w:instrText xml:space="preserve"> ADDIN ZOTERO_ITEM CSL_CITATION {"citationID":"KgDJiC4b","properties":{"formattedCitation":"({\\i{}137})","plainCitation":"(137)","noteIndex":0},"citationItems":[{"id":1724,"uris":["http://zotero.org/users/13901503/items/VWJDBSPR"],"itemData":{"id":1724,"type":"article-journal","abstract":"The endemic Bornean tufted ground squirrel, Rheithrosciurus macrotis, has attracted great interest among biologists and the public recently. Nevertheless, we lack information about the most basic aspects of its biology. Here we present the first empirical data on the feeding ecology of tufted ground squirrels and use data from 81 sympatric mammalian and avian vertebrates to place it within a broad comparative context. Rheithrosciurus macrotis is a seed predator and shows much more extreme ecological specialisation than any other vertebrate, feeding on a far smaller subset of available plant foods and demonstrating a greater reliance on a single plant species—Canarium decumanum. Our results suggest that R. macrotis plays an important, previously unknown role in the ecology of Bornean lowland forests and highlight how much we have yet to learn about the fauna inhabiting some of the most diverse, and most severely threatened, ecosystems on the planet.","container-title":"Raffles Bulletin of Zoology","DOI":"10.26107/RBZ-2021-0067","ISSN":"0217-2445","language":"en","note":"publisher: Lee Kong Chian Natural History Museum","page":"497506","source":"DOI.org (Datacite)","title":"Extreme ecological specialisation in a rainforest mammal, the Bornean tufted ground squirrel, Rheithrosciurus macrotis Gray, 1857","volume":"69","author":[{"family":"Marshall","given":"Andrew J."},{"family":"Meijaard","given":"Erik"},{"family":"Leighton","given":"Mark"}],"issued":{"date-parts":[["2021"]]}}}],"schema":"https://github.com/citation-style-language/schema/raw/master/csl-citation.json"} </w:instrText>
      </w:r>
      <w:r>
        <w:fldChar w:fldCharType="separate"/>
      </w:r>
      <w:r w:rsidR="00FE18CB" w:rsidRPr="00FE18CB">
        <w:t>(</w:t>
      </w:r>
      <w:r w:rsidR="00FE18CB" w:rsidRPr="00FE18CB">
        <w:rPr>
          <w:i/>
          <w:iCs/>
        </w:rPr>
        <w:t>137</w:t>
      </w:r>
      <w:r w:rsidR="00FE18CB" w:rsidRPr="00FE18CB">
        <w:t>)</w:t>
      </w:r>
      <w:r>
        <w:fldChar w:fldCharType="end"/>
      </w:r>
      <w:r>
        <w:t>. We calculated the percent consumption of each food type by dividing the total number of feeding observations for each food category (animal, flower, fruit, fungi, insect, leaves, nectar, nurse, pith, seeds) by the total number of feeding observations. We then plotted each food type against temperature to identify diet categories that vary with temperature to control for these factors when assessing the direct effect of temperature on the microbiome.</w:t>
      </w:r>
      <w:r w:rsidRPr="00C53131">
        <w:t xml:space="preserve"> </w:t>
      </w:r>
      <w:r>
        <w:t xml:space="preserve">We found that percent fruit consumption has a strong, positive relationship with temperature (Fig 5S) and controlled for this in subsequent analyses. After matching each sample with the appropriate metadata, we were left with 277 16s rRNA samples and 71 shotgun metagenomic samples. </w:t>
      </w:r>
    </w:p>
    <w:p w14:paraId="0570084B" w14:textId="77777777" w:rsidR="00D82060" w:rsidRDefault="00D82060" w:rsidP="00D82060">
      <w:pPr>
        <w:ind w:firstLine="720"/>
      </w:pPr>
    </w:p>
    <w:p w14:paraId="4C8FE268" w14:textId="77777777" w:rsidR="00D82060" w:rsidRDefault="00D82060" w:rsidP="00D82060">
      <w:pPr>
        <w:rPr>
          <w:u w:val="single"/>
        </w:rPr>
      </w:pPr>
      <w:r w:rsidRPr="00D807D7">
        <w:rPr>
          <w:u w:val="single"/>
        </w:rPr>
        <w:t>Community</w:t>
      </w:r>
      <w:r>
        <w:rPr>
          <w:u w:val="single"/>
        </w:rPr>
        <w:t>-level composition a</w:t>
      </w:r>
      <w:r w:rsidRPr="00D807D7">
        <w:rPr>
          <w:u w:val="single"/>
        </w:rPr>
        <w:t>nalysis</w:t>
      </w:r>
    </w:p>
    <w:p w14:paraId="46ED9935" w14:textId="3554B1AC" w:rsidR="00D82060" w:rsidRDefault="00D82060" w:rsidP="00D82060">
      <w:r>
        <w:t xml:space="preserve">To evaluate how gut microbiome taxonomic composition and functional capacity are related to temperature, we generated metrics of community composition including alpha and beta diversity. To measure alpha diversity, we calculated two widely used indices: Shannon’s diversity index (which accounts for both richness and evenness) and observed richness (the total number of ASVs or pathways in a sample) using the </w:t>
      </w:r>
      <w:proofErr w:type="spellStart"/>
      <w:r>
        <w:t>estimate_richness</w:t>
      </w:r>
      <w:proofErr w:type="spellEnd"/>
      <w:r>
        <w:t>() function from the {</w:t>
      </w:r>
      <w:proofErr w:type="spellStart"/>
      <w:r>
        <w:t>phyloseq</w:t>
      </w:r>
      <w:proofErr w:type="spellEnd"/>
      <w:r>
        <w:t>} package. To measure beta diversity (i.e., community dissimilarity between samples), we generated Aitchison distances by computing the Euclidean distance between pairwise samples after performing a centered log-ratio (</w:t>
      </w:r>
      <w:proofErr w:type="spellStart"/>
      <w:r>
        <w:t>clr</w:t>
      </w:r>
      <w:proofErr w:type="spellEnd"/>
      <w:r>
        <w:t xml:space="preserve">) transformation on the raw count data </w:t>
      </w:r>
      <w:r>
        <w:fldChar w:fldCharType="begin"/>
      </w:r>
      <w:r w:rsidR="00FE18CB">
        <w:instrText xml:space="preserve"> ADDIN ZOTERO_ITEM CSL_CITATION {"citationID":"rslhHr6V","properties":{"formattedCitation":"({\\i{}138})","plainCitation":"(138)","noteIndex":0},"citationItems":[{"id":1678,"uris":["http://zotero.org/users/13901503/items/MSZDHDQF"],"itemData":{"id":1678,"type":"article-journal","abstract":"The singular value decomposition and its interpretation as a linear biplot have proved to be a powerful tool for analysing many forms of multivariate data. Here we adapt biplot methodology to the specific case of compositional data consisting of positive vectors each of which is constrained to have unit sum. These relative variation biplots have properties relating to the special features of compositional data: the study of ratios, subcompositions and models of compositional relationships. The methodology is applied to a data set consisting of six-part colour compositions in 22 abstract paintings, showing how the singular value decomposition can achieve an accurate biplot of the colour ratios and how possible models interrelating the colours can be diagnosed.","container-title":"Journal of the Royal Statistical Society Series C: Applied Statistics","DOI":"10.1111/1467-9876.00275","ISSN":"0035-9254","issue":"4","journalAbbreviation":"Journal of the Royal Statistical Society Series C: Applied Statistics","page":"375-392","source":"Silverchair","title":"Biplots of Compositional Data","volume":"51","author":[{"family":"Aitchison","given":"John"},{"family":"Greenacre","given":"Michael"}],"issued":{"date-parts":[["2002",10,1]]}}}],"schema":"https://github.com/citation-style-language/schema/raw/master/csl-citation.json"} </w:instrText>
      </w:r>
      <w:r>
        <w:fldChar w:fldCharType="separate"/>
      </w:r>
      <w:r w:rsidR="00FE18CB" w:rsidRPr="00FE18CB">
        <w:t>(</w:t>
      </w:r>
      <w:r w:rsidR="00FE18CB" w:rsidRPr="00FE18CB">
        <w:rPr>
          <w:i/>
          <w:iCs/>
        </w:rPr>
        <w:t>138</w:t>
      </w:r>
      <w:r w:rsidR="00FE18CB" w:rsidRPr="00FE18CB">
        <w:t>)</w:t>
      </w:r>
      <w:r>
        <w:fldChar w:fldCharType="end"/>
      </w:r>
      <w:r>
        <w:t xml:space="preserve">. We added a pseudo count to all zeros before the </w:t>
      </w:r>
      <w:proofErr w:type="spellStart"/>
      <w:r>
        <w:t>clr</w:t>
      </w:r>
      <w:proofErr w:type="spellEnd"/>
      <w:r>
        <w:t xml:space="preserve"> transformation using the </w:t>
      </w:r>
      <w:proofErr w:type="spellStart"/>
      <w:r w:rsidRPr="001D4E08">
        <w:t>cmultRepl</w:t>
      </w:r>
      <w:proofErr w:type="spellEnd"/>
      <w:r w:rsidRPr="001D4E08">
        <w:t xml:space="preserve">() function </w:t>
      </w:r>
      <w:r>
        <w:t>from the</w:t>
      </w:r>
      <w:r w:rsidRPr="001D4E08">
        <w:t xml:space="preserve"> </w:t>
      </w:r>
      <w:r>
        <w:t>{</w:t>
      </w:r>
      <w:proofErr w:type="spellStart"/>
      <w:r w:rsidRPr="001D4E08">
        <w:t>zCompositions</w:t>
      </w:r>
      <w:proofErr w:type="spellEnd"/>
      <w:r>
        <w:t xml:space="preserve">} package, which uses </w:t>
      </w:r>
      <w:r w:rsidRPr="00510277">
        <w:t>Bayesian-multiplicative replacement</w:t>
      </w:r>
      <w:r>
        <w:t xml:space="preserve"> to </w:t>
      </w:r>
      <w:r w:rsidRPr="00510277">
        <w:t xml:space="preserve">preserve the structure of the data and minimize distortion compared to adding a fixed </w:t>
      </w:r>
      <w:r w:rsidRPr="00FB297C">
        <w:t xml:space="preserve">value </w:t>
      </w:r>
      <w:r w:rsidRPr="00FB297C">
        <w:fldChar w:fldCharType="begin"/>
      </w:r>
      <w:r w:rsidR="00FE18CB">
        <w:instrText xml:space="preserve"> ADDIN ZOTERO_ITEM CSL_CITATION {"citationID":"CcTblRTP","properties":{"formattedCitation":"({\\i{}139})","plainCitation":"(139)","noteIndex":0},"citationItems":[{"id":1676,"uris":["http://zotero.org/users/13901503/items/B9HUBEW5"],"itemData":{"id":1676,"type":"article-journal","abstract":"zCompositions is an R package for the imputation of left-censored data under a compositional approach. It is pertinent when the analyst assumes that the relevant information is contained on the relative variation structure of the data. For instance, in cases where the experimental data are simultaneously measured in amounts related to a same total weight or volume. The approach is used in fields like geochemistry of waters or sedimentary rocks, environmental studies related to air pollution, physicochemical analysis of glass fragments in forensic science, and among many others. In these fields, rounded zeros and nondetects are usually regarded as left-censored data that hamper any subsequent data analysis. The implemented methods consider aspects of relevance for a compositional approach such as scale invariance, subcompositional coherence or preserving the multivariate relative structure of the data. Based on solid statistical frameworks, it comprises the ability to deal with single and varying censoring thresholds, consistent treatment of closed and non-closed data, exploratory tools, multiple imputation, MCMC, robust and non-parametric alternatives, and recent proposals for count data. Key methodological aspects, new contributions, computational implementation and the practical application of the approach are discussed.","container-title":"Chemometrics and Intelligent Laboratory Systems","DOI":"10.1016/j.chemolab.2015.02.019","ISSN":"0169-7439","journalAbbreviation":"Chemometrics and Intelligent Laboratory Systems","page":"85-96","source":"ScienceDirect","title":"zCompositions — R package for multivariate imputation of left-censored data under a compositional approach","volume":"143","author":[{"family":"Palarea-Albaladejo","given":"Javier"},{"family":"Martín-Fernández","given":"Josep Antoni"}],"issued":{"date-parts":[["2015",4,15]]}}}],"schema":"https://github.com/citation-style-language/schema/raw/master/csl-citation.json"} </w:instrText>
      </w:r>
      <w:r w:rsidRPr="00FB297C">
        <w:fldChar w:fldCharType="separate"/>
      </w:r>
      <w:r w:rsidR="00FE18CB" w:rsidRPr="00FE18CB">
        <w:t>(</w:t>
      </w:r>
      <w:r w:rsidR="00FE18CB" w:rsidRPr="00FE18CB">
        <w:rPr>
          <w:i/>
          <w:iCs/>
        </w:rPr>
        <w:t>139</w:t>
      </w:r>
      <w:r w:rsidR="00FE18CB" w:rsidRPr="00FE18CB">
        <w:t>)</w:t>
      </w:r>
      <w:r w:rsidRPr="00FB297C">
        <w:fldChar w:fldCharType="end"/>
      </w:r>
      <w:r w:rsidRPr="00FB297C">
        <w:t>.</w:t>
      </w:r>
      <w:r>
        <w:t xml:space="preserve"> We used Aitchison distances because microbiome datasets are compositional, meaning that observed read counts are constrained by sequencing depth and do not reflect absolute DNA abundances </w:t>
      </w:r>
      <w:r>
        <w:fldChar w:fldCharType="begin"/>
      </w:r>
      <w:r w:rsidR="00FE18CB">
        <w:instrText xml:space="preserve"> ADDIN ZOTERO_ITEM CSL_CITATION {"citationID":"RU0uFdYd","properties":{"formattedCitation":"({\\i{}140})","plainCitation":"(140)","noteIndex":0},"citationItems":[{"id":1387,"uris":["http://zotero.org/users/13901503/items/7MG3GNU9"],"itemData":{"id":1387,"type":"article-journal","abstract":"A workshop held at the 2015 annual meeting of the Canadian Society of Microbiologists highlighted compositional data analysis methods and the importance of exploratory data analysis for the analysis of microbiome data sets generated by high-throughput DNA sequencing. A summary of the content of that workshop, a review of new methods of analysis, and information on the importance of careful analyses are presented herein. The workshop focussed on explaining the rationale behind the use of compositional data analysis, and a demonstration of these methods for the examination of 2 microbiome data sets. A clear understanding of bioinformatics methodologies and the type of data being analyzed is essential, given the growing number of studies uncovering the critical role of the microbiome in health and disease and the need to understand alterations to its composition and function following intervention with fecal transplant, probiotics, diet, and pharmaceutical agents.","container-title":"Canadian Journal of Microbiology","DOI":"10.1139/cjm-2015-0821","ISSN":"0008-4166, 1480-3275","issue":"8","journalAbbreviation":"Can. J. Microbiol.","language":"en","license":"http://www.nrcresearchpress.com/page/about/CorporateTextAndDataMining","page":"692-703","source":"DOI.org (Crossref)","title":"Compositional analysis: a valid approach to analyze microbiome high-throughput sequencing data","title-short":"Compositional analysis","volume":"62","author":[{"family":"Gloor","given":"Gregory B."},{"family":"Reid","given":"Gregor"}],"issued":{"date-parts":[["2016",8]]}}}],"schema":"https://github.com/citation-style-language/schema/raw/master/csl-citation.json"} </w:instrText>
      </w:r>
      <w:r>
        <w:fldChar w:fldCharType="separate"/>
      </w:r>
      <w:r w:rsidR="00FE18CB" w:rsidRPr="00FE18CB">
        <w:t>(</w:t>
      </w:r>
      <w:r w:rsidR="00FE18CB" w:rsidRPr="00FE18CB">
        <w:rPr>
          <w:i/>
          <w:iCs/>
        </w:rPr>
        <w:t>140</w:t>
      </w:r>
      <w:r w:rsidR="00FE18CB" w:rsidRPr="00FE18CB">
        <w:t>)</w:t>
      </w:r>
      <w:r>
        <w:fldChar w:fldCharType="end"/>
      </w:r>
      <w:r>
        <w:t>.</w:t>
      </w:r>
      <w:r w:rsidRPr="00E81A2E">
        <w:t xml:space="preserve"> </w:t>
      </w:r>
      <w:r>
        <w:t xml:space="preserve">Unlike traditional beta diversity metrics that were designed for absolute counts (e.g., Bray-Curtis, </w:t>
      </w:r>
      <w:proofErr w:type="spellStart"/>
      <w:r>
        <w:t>Unifrac</w:t>
      </w:r>
      <w:proofErr w:type="spellEnd"/>
      <w:r>
        <w:t xml:space="preserve">, Jensen-Shannon divergence), the </w:t>
      </w:r>
      <w:proofErr w:type="spellStart"/>
      <w:r>
        <w:t>clr</w:t>
      </w:r>
      <w:proofErr w:type="spellEnd"/>
      <w:r>
        <w:t xml:space="preserve"> transformation projects samples into Euclidean space where distances reflect log-ratio relationships among taxa,</w:t>
      </w:r>
      <w:r w:rsidRPr="001B23D4">
        <w:t xml:space="preserve"> </w:t>
      </w:r>
      <w:r>
        <w:t xml:space="preserve">avoiding misinterpretations that may arise from using absolute differences to interpret compositional data </w:t>
      </w:r>
      <w:r>
        <w:fldChar w:fldCharType="begin"/>
      </w:r>
      <w:r w:rsidR="00FE18CB">
        <w:instrText xml:space="preserve"> ADDIN ZOTERO_ITEM CSL_CITATION {"citationID":"eI5jWKxN","properties":{"formattedCitation":"({\\i{}141})","plainCitation":"(141)","noteIndex":0},"citationItems":[{"id":785,"uris":["http://zotero.org/users/13901503/items/MWL4M2Q4"],"itemData":{"id":785,"type":"article-journal","abstract":"&lt;p&gt;Datasets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analysis.&lt;/p&gt;","container-title":"Frontiers in Microbiology","DOI":"10.3389/fmicb.2017.02224","ISSN":"1664-302X","journalAbbreviation":"Front. Microbiol.","language":"English","note":"publisher: Frontiers","source":"Frontiers","title":"Microbiome Datasets Are Compositional: And This Is Not Optional","title-short":"Microbiome Datasets Are Compositional","URL":"https://www-frontiersin-org.proxy.lib.umich.edu/journals/microbiology/articles/10.3389/fmicb.2017.02224/full","volume":"8","author":[{"family":"Gloor","given":"Gregory B."},{"family":"Macklaim","given":"Jean M."},{"family":"Pawlowsky-Glahn","given":"Vera"},{"family":"Egozcue","given":"Juan J."}],"accessed":{"date-parts":[["2024",6,10]]},"issued":{"date-parts":[["2017",11,15]]}}}],"schema":"https://github.com/citation-style-language/schema/raw/master/csl-citation.json"} </w:instrText>
      </w:r>
      <w:r>
        <w:fldChar w:fldCharType="separate"/>
      </w:r>
      <w:r w:rsidR="00FE18CB" w:rsidRPr="00FE18CB">
        <w:t>(</w:t>
      </w:r>
      <w:r w:rsidR="00FE18CB" w:rsidRPr="00FE18CB">
        <w:rPr>
          <w:i/>
          <w:iCs/>
        </w:rPr>
        <w:t>141</w:t>
      </w:r>
      <w:r w:rsidR="00FE18CB" w:rsidRPr="00FE18CB">
        <w:t>)</w:t>
      </w:r>
      <w:r>
        <w:fldChar w:fldCharType="end"/>
      </w:r>
      <w:r>
        <w:t>. We then performed a Princip</w:t>
      </w:r>
      <w:r w:rsidR="00F6612C">
        <w:t>al</w:t>
      </w:r>
      <w:r>
        <w:t xml:space="preserve"> Components Analysis</w:t>
      </w:r>
      <w:r w:rsidR="00F6612C">
        <w:t xml:space="preserve"> (PCA)</w:t>
      </w:r>
      <w:r>
        <w:t xml:space="preserve"> on the Aitchison distance matrix and extracted the scores for the first three principal components (PC1–PC3) to capture major axes of variation in community composition. Components PC1-PC3 were selected because they explained greater than 5% of the variation (Fig 6S).</w:t>
      </w:r>
    </w:p>
    <w:p w14:paraId="241B4F89" w14:textId="66FC692D" w:rsidR="00D82060" w:rsidRDefault="00D82060" w:rsidP="00D82060">
      <w:pPr>
        <w:ind w:firstLine="720"/>
      </w:pPr>
      <w:r>
        <w:t>To evaluate the relationship between temperature and community composition, we built mixed models using alpha diversity indices and the first three principal components as the outcome variables. We modeled each community metric twice, and compared model fit using Akaike information criterion adjusted for small sample sizes (</w:t>
      </w:r>
      <w:proofErr w:type="spellStart"/>
      <w:r>
        <w:t>AICc</w:t>
      </w:r>
      <w:proofErr w:type="spellEnd"/>
      <w:r>
        <w:t xml:space="preserve">) </w:t>
      </w:r>
      <w:r>
        <w:fldChar w:fldCharType="begin"/>
      </w:r>
      <w:r w:rsidR="00FE18CB">
        <w:instrText xml:space="preserve"> ADDIN ZOTERO_ITEM CSL_CITATION {"citationID":"9MopvbYc","properties":{"formattedCitation":"({\\i{}142}, {\\i{}143})","plainCitation":"(142, 143)","noteIndex":0},"citationItems":[{"id":1693,"uris":["http://zotero.org/users/13901503/items/5WE7IHKN"],"itemData":{"id":1693,"type":"chapter","container-title":"Selected Papers of Hirotugu Akaike","event-place":"New York, NY","ISBN":"978-1-4612-7248-9","note":"collection-title: Springer Series in Statistics\nDOI: 10.1007/978-1-4612-1694-0_15","page":"199-213","publisher":"Springer New York","publisher-place":"New York, NY","source":"DOI.org (Crossref)","title":"Information Theory and an Extension of the Maximum Likelihood Principle","URL":"http://link.springer.com/10.1007/978-1-4612-1694-0_15","editor":[{"family":"Parzen","given":"Emanuel"},{"family":"Tanabe","given":"Kunio"},{"family":"Kitagawa","given":"Genshiro"}],"author":[{"family":"Akaike","given":"Hirotogu"}],"accessed":{"date-parts":[["2025",1,29]]},"issued":{"date-parts":[["1998"]]}}},{"id":1695,"uris":["http://zotero.org/users/13901503/items/R3CVDMMF"],"itemData":{"id":1695,"type":"article-journal","abstract":"A bias correction to the Akaike information criterion, AIC, is derived for regression and autoregressive time series models. The correction is of particular use when the sample size is small, or when the number of fitted parameters is a moderate to large fraction of the sample size. The corrected method, called AICC, is asymptotically efficient if the true model is infinite dimensional. Furthermore, when the true model is of finite dimension, AICC is found to provide better model order choices than any other asymptotically efficient method. Applications to nonstationary autoregressive and mixed autoregressive moving average time series models are also discussed.","language":"en","source":"Zotero","title":"Regression and time series model selection in small samples","author":[{"family":"Hurvich","given":"Clifford M"},{"family":"Tsai","given":"Chih-Ling"}]}}],"schema":"https://github.com/citation-style-language/schema/raw/master/csl-citation.json"} </w:instrText>
      </w:r>
      <w:r>
        <w:fldChar w:fldCharType="separate"/>
      </w:r>
      <w:r w:rsidR="00FE18CB" w:rsidRPr="00FE18CB">
        <w:t>(</w:t>
      </w:r>
      <w:r w:rsidR="00FE18CB" w:rsidRPr="00FE18CB">
        <w:rPr>
          <w:i/>
          <w:iCs/>
        </w:rPr>
        <w:t>142</w:t>
      </w:r>
      <w:r w:rsidR="00FE18CB" w:rsidRPr="00FE18CB">
        <w:t xml:space="preserve">, </w:t>
      </w:r>
      <w:r w:rsidR="00FE18CB" w:rsidRPr="00FE18CB">
        <w:rPr>
          <w:i/>
          <w:iCs/>
        </w:rPr>
        <w:t>143</w:t>
      </w:r>
      <w:r w:rsidR="00FE18CB" w:rsidRPr="00FE18CB">
        <w:t>)</w:t>
      </w:r>
      <w:r>
        <w:fldChar w:fldCharType="end"/>
      </w:r>
      <w:r>
        <w:t xml:space="preserve">. The baseline model, </w:t>
      </w:r>
      <w:proofErr w:type="spellStart"/>
      <w:r w:rsidRPr="00B133A3">
        <w:rPr>
          <w:i/>
          <w:iCs/>
        </w:rPr>
        <w:t>m_main</w:t>
      </w:r>
      <w:proofErr w:type="spellEnd"/>
      <w:r>
        <w:t xml:space="preserve">, included predictors for social group, age, sex, rainfall, diet diversity and fruit consumption. The temperature model, </w:t>
      </w:r>
      <w:proofErr w:type="spellStart"/>
      <w:r w:rsidRPr="00B133A3">
        <w:rPr>
          <w:i/>
          <w:iCs/>
        </w:rPr>
        <w:t>m_full</w:t>
      </w:r>
      <w:proofErr w:type="spellEnd"/>
      <w:r>
        <w:t xml:space="preserve">, included all of the same predictors with an </w:t>
      </w:r>
      <w:r>
        <w:lastRenderedPageBreak/>
        <w:t xml:space="preserve">additional predictor for temperature (Fig 1S). Both models included a random intercept for individual to control for repeated sampling and an offset for the log-transformed number of reads to control for differences in sequencing depth between samples. We included fruit consumption as a predictor because it increased with rising temperatures (Fig 5S), and we wanted to control for this effect to better isolate the relationship between temperature and community features. We scaled all continuous predictors (i.e., age, rainfall, diet diversity, fruit consumption, temperature) for ease of coefficient interpretation. We fit all models as linear mixed models (LMMs) with a Gaussian distribution except for observed taxonomic richness, which was fit using a Gamma distribution with a log link function because the variable was </w:t>
      </w:r>
      <w:r w:rsidRPr="00364B0D">
        <w:t>continuous</w:t>
      </w:r>
      <w:r w:rsidR="00F6612C">
        <w:t xml:space="preserve"> and </w:t>
      </w:r>
      <w:r w:rsidRPr="00364B0D">
        <w:t>positive</w:t>
      </w:r>
      <w:r w:rsidR="00F6612C">
        <w:t xml:space="preserve"> </w:t>
      </w:r>
      <w:r w:rsidRPr="00364B0D">
        <w:t>with a long right tail</w:t>
      </w:r>
      <w:r>
        <w:t xml:space="preserve">. We used the model weights from the </w:t>
      </w:r>
      <w:proofErr w:type="spellStart"/>
      <w:r>
        <w:t>AICc</w:t>
      </w:r>
      <w:proofErr w:type="spellEnd"/>
      <w:r>
        <w:t xml:space="preserve"> comparison to evaluate the importance of temperature as a predictor of community composition.</w:t>
      </w:r>
    </w:p>
    <w:p w14:paraId="46C706F9" w14:textId="22B94340" w:rsidR="00D82060" w:rsidRDefault="00D82060" w:rsidP="00D82060">
      <w:pPr>
        <w:ind w:firstLine="720"/>
      </w:pPr>
      <w:r>
        <w:t xml:space="preserve">Since rarefaction to account for differences in sequencing depth (i.e., choosing a fixed sequencing depth and randomly subsampling all samples to that depth) is strongly discouraged because it discards valuable data </w:t>
      </w:r>
      <w:r>
        <w:fldChar w:fldCharType="begin"/>
      </w:r>
      <w:r w:rsidR="00FE18CB">
        <w:instrText xml:space="preserve"> ADDIN ZOTERO_ITEM CSL_CITATION {"citationID":"POfAwNZ4","properties":{"formattedCitation":"({\\i{}144})","plainCitation":"(144)","noteIndex":0},"citationItems":[{"id":788,"uris":["http://zotero.org/users/13901503/items/M7YBHN37"],"itemData":{"id":788,"type":"article-journal","abstract":"Current practice in the normalization of microbiome count data is inefficient in the statistical sense. For apparently historical reasons, the common approach is either to use simple proportions (which does not address heteroscedasticity) or to use rarefying of counts, even though both of these approaches are inappropriate for detection of differentially abundant species. Well-established statistical theory is available that simultaneously accounts for library size differences and biological variability using an appropriate mixture model. Moreover, specific implementations for DNA sequencing read count data (based on a Negative Binomial model for instance) are already available in RNA-Seq focused R packages such as edgeR and DESeq. Here we summarize the supporting statistical theory and use simulations and empirical data to demonstrate substantial improvements provided by a relevant mixture model framework over simple proportions or rarefying. We show how both proportions and rarefied counts result in a high rate of false positives in tests for species that are differentially abundant across sample classes. Regarding microbiome sample-wise clustering, we also show that the rarefying procedure often discards samples that can be accurately clustered by alternative methods. We further compare different Negative Binomial methods with a recently-described zero-inflated Gaussian mixture, implemented in a package called metagenomeSeq. We find that metagenomeSeq performs well when there is an adequate number of biological replicates, but it nevertheless tends toward a higher false positive rate. Based on these results and well-established statistical theory, we advocate that investigators avoid rarefying altogether. We have provided microbiome-specific extensions to these tools in the R package, phyloseq.","container-title":"PLOS Computational Biology","DOI":"10.1371/journal.pcbi.1003531","ISSN":"1553-7358","issue":"4","journalAbbreviation":"PLOS Computational Biology","language":"en","note":"publisher: Public Library of Science","page":"e1003531","source":"PLoS Journals","title":"Waste Not, Want Not: Why Rarefying Microbiome Data Is Inadmissible","title-short":"Waste Not, Want Not","volume":"10","author":[{"family":"McMurdie","given":"Paul J."},{"family":"Holmes","given":"Susan"}],"issued":{"date-parts":[["2014",4,3]]}}}],"schema":"https://github.com/citation-style-language/schema/raw/master/csl-citation.json"} </w:instrText>
      </w:r>
      <w:r>
        <w:fldChar w:fldCharType="separate"/>
      </w:r>
      <w:r w:rsidR="00FE18CB" w:rsidRPr="00FE18CB">
        <w:t>(</w:t>
      </w:r>
      <w:r w:rsidR="00FE18CB" w:rsidRPr="00FE18CB">
        <w:rPr>
          <w:i/>
          <w:iCs/>
        </w:rPr>
        <w:t>144</w:t>
      </w:r>
      <w:r w:rsidR="00FE18CB" w:rsidRPr="00FE18CB">
        <w:t>)</w:t>
      </w:r>
      <w:r>
        <w:fldChar w:fldCharType="end"/>
      </w:r>
      <w:r>
        <w:t xml:space="preserve">, we used alternative methods to leverage the full dataset (i.e., </w:t>
      </w:r>
      <w:proofErr w:type="spellStart"/>
      <w:r>
        <w:t>clr</w:t>
      </w:r>
      <w:proofErr w:type="spellEnd"/>
      <w:r>
        <w:t xml:space="preserve"> transformation, modeled offset for sequencing depth). Further, we chose to use an Information-theoretic approach for our analysis because, unlike null-hypothesis significance testing, it allows for the comparison of multiple alternative hypotheses to assess biological significance </w:t>
      </w:r>
      <w:r>
        <w:fldChar w:fldCharType="begin"/>
      </w:r>
      <w:r w:rsidR="00FE18CB">
        <w:instrText xml:space="preserve"> ADDIN ZOTERO_ITEM CSL_CITATION {"citationID":"gCjcBlAp","properties":{"formattedCitation":"({\\i{}145}, {\\i{}146})","plainCitation":"(145, 146)","noteIndex":0},"citationItems":[{"id":1696,"uris":["http://zotero.org/users/13901503/items/QCC5VYTU"],"itemData":{"id":1696,"type":"article-journal","abstract":"This paper presents a review and critique of statistical null hypothesis testing in ecological studies in general, and wildlife studies in particular, and describes an alternative. Our review of Ecology and the Journal of Wildlife Management found the use of null hypothesis testing to be pervasive. The estimated number of P-values appearing within articles of Ecology exceeded 8,000 in 1991 and has exceeded 3,000 in each year since 1984, whereas the estimated number of P-values in the Journal of Wildlife Management exceeded 8,000 in 1997 and has exceeded 3,000 in each year since 1994. We estimated that 47% (SE = 3.9%) of the P-values in the Journal of Wildlife Management lacked estimates of means or effect sizes or even the sign of the difference in means or other parameters. We find that null hypothesis testing is uninformative when no estimates of means or effect size and their precision are given. Contrary to common dogma, tests of statistical null hypotheses have relatively little utility in science and are not a fundamental aspect of the scientific method. We recommend their use be reduced in favor of more informative approaches. Towards this objective, we describe a relatively new paradigm of data analysis based on Kullback-Leibler information. This paradigm is an extension of likelihood theory and, when used correctly, avoids many of the fundamental limitations and common misuses of null hypothesis testing. Information-theoretic methods focus on providing a strength of evidence for an a priori set of alternative hypotheses, rather than a statistical test of a null hypothesis. This paradigm allows the following types of evidence for the alternative hypotheses: the rank of each hypothesis, expressed as a model; an estimate of the formal likelihood of each model, given the data; a measure of precision that incorporates model selection uncertainty; and simple methods to allow the use of the set of alternative models in making formal inference. We provide an example of the information-theoretic approach using data on the effect of lead on survival in spectacled eider ducks (Somateria fischeri). Regardless of the analysis paradigm used, we strongly recommend inferences based on a priori considerations be clearly separated from those resulting from some form of data dredging.","container-title":"The Journal of Wildlife Management","DOI":"10.2307/3803199","ISSN":"0022-541X","issue":"4","note":"publisher: [Wiley, Wildlife Society]","page":"912-923","source":"JSTOR","title":"Null Hypothesis Testing: Problems, Prevalence, and an Alternative","title-short":"Null Hypothesis Testing","volume":"64","author":[{"family":"Anderson","given":"David R."},{"family":"Burnham","given":"Kenneth P."},{"family":"Thompson","given":"William L."}],"issued":{"date-parts":[["2000"]]}}},{"id":1043,"uris":["http://zotero.org/users/13901503/items/MUQFF6P5"],"itemData":{"id":1043,"type":"article-journal","abstract":"We briefly outline the information-theoretic (I-T) approaches to valid inference including a review of some simple methods for making formal inference from all the hypotheses in the model set (multimodel inference). The I-T approaches can replace the usual t tests and ANOVA tables that are so inferentially limited, but still commonly used. The I-T methods are easy to compute and understand and provide formal measures of the strength of evidence for both the null and alternative hypotheses, given the data. We give an example to highlight the importance of deriving alternative hypotheses and representing these as probability models. Fifteen technical issues are addressed to clarify various points that have appeared incorrectly in the recent literature. We offer several remarks regarding the future of empirical science and data analysis under an I-T framework.","container-title":"Behavioral Ecology and Sociobiology","DOI":"10.1007/s00265-010-1029-6","ISSN":"1432-0762","issue":"1","journalAbbreviation":"Behav Ecol Sociobiol","language":"en","page":"23-35","source":"Springer Link","title":"AIC model selection and multimodel inference in behavioral ecology: some background, observations, and comparisons","title-short":"AIC model selection and multimodel inference in behavioral ecology","volume":"65","author":[{"family":"Burnham","given":"Kenneth P."},{"family":"Anderson","given":"David R."},{"family":"Huyvaert","given":"Kathryn P."}],"issued":{"date-parts":[["2011",1,1]]}}}],"schema":"https://github.com/citation-style-language/schema/raw/master/csl-citation.json"} </w:instrText>
      </w:r>
      <w:r>
        <w:fldChar w:fldCharType="separate"/>
      </w:r>
      <w:r w:rsidR="00FE18CB" w:rsidRPr="00FE18CB">
        <w:t>(</w:t>
      </w:r>
      <w:r w:rsidR="00FE18CB" w:rsidRPr="00FE18CB">
        <w:rPr>
          <w:i/>
          <w:iCs/>
        </w:rPr>
        <w:t>145</w:t>
      </w:r>
      <w:r w:rsidR="00FE18CB" w:rsidRPr="00FE18CB">
        <w:t xml:space="preserve">, </w:t>
      </w:r>
      <w:r w:rsidR="00FE18CB" w:rsidRPr="00FE18CB">
        <w:rPr>
          <w:i/>
          <w:iCs/>
        </w:rPr>
        <w:t>146</w:t>
      </w:r>
      <w:r w:rsidR="00FE18CB" w:rsidRPr="00FE18CB">
        <w:t>)</w:t>
      </w:r>
      <w:r>
        <w:fldChar w:fldCharType="end"/>
      </w:r>
      <w:r>
        <w:t xml:space="preserve">. This allowed us to evaluate if adding temperature to our model improved the explanation of community-level taxonomic and metabolic diversity compared to other known predictors of microbiome composition. </w:t>
      </w:r>
    </w:p>
    <w:p w14:paraId="3E82FFE8" w14:textId="77777777" w:rsidR="00F6612C" w:rsidRDefault="00F6612C" w:rsidP="00D82060">
      <w:pPr>
        <w:ind w:firstLine="720"/>
      </w:pPr>
    </w:p>
    <w:p w14:paraId="14C5A3C9" w14:textId="77777777" w:rsidR="00F6612C" w:rsidRDefault="00F6612C" w:rsidP="00F6612C">
      <w:pPr>
        <w:rPr>
          <w:u w:val="single"/>
        </w:rPr>
      </w:pPr>
      <w:r>
        <w:rPr>
          <w:u w:val="single"/>
        </w:rPr>
        <w:t>Temperature d</w:t>
      </w:r>
      <w:r w:rsidRPr="00A32281">
        <w:rPr>
          <w:u w:val="single"/>
        </w:rPr>
        <w:t xml:space="preserve">ifferential abundance </w:t>
      </w:r>
      <w:r>
        <w:rPr>
          <w:u w:val="single"/>
        </w:rPr>
        <w:t>analysis</w:t>
      </w:r>
    </w:p>
    <w:p w14:paraId="7D2920F2" w14:textId="77777777" w:rsidR="00F6612C" w:rsidRPr="00FB4C69" w:rsidRDefault="00F6612C" w:rsidP="00F6612C">
      <w:r>
        <w:t xml:space="preserve">We also used a comparative modeling approach to identify taxa and metabolic pathways associated with temperature. For the taxonomic analysis, we aggregated the number of reads per taxa on the family and genus levels using the </w:t>
      </w:r>
      <w:proofErr w:type="spellStart"/>
      <w:r>
        <w:t>tax_glom</w:t>
      </w:r>
      <w:proofErr w:type="spellEnd"/>
      <w:r>
        <w:t>() function in the {</w:t>
      </w:r>
      <w:proofErr w:type="spellStart"/>
      <w:r>
        <w:t>phyloseq</w:t>
      </w:r>
      <w:proofErr w:type="spellEnd"/>
      <w:r>
        <w:t xml:space="preserve">} package. We used this to calculate the relative abundance of each taxon by dividing the number of reads per taxon by the total number of reads per sample and removed taxa with less than 0.2% average relative abundance across all samples to avoid analyzing extremely low-abundance taxa. This resulted in 134 genera and 79 families to be used for differential abundance testing. </w:t>
      </w:r>
    </w:p>
    <w:p w14:paraId="2DE1D655" w14:textId="4D2DA7F7" w:rsidR="00F6612C" w:rsidRDefault="00F6612C" w:rsidP="00F6612C">
      <w:pPr>
        <w:ind w:firstLine="720"/>
      </w:pPr>
      <w:r>
        <w:t xml:space="preserve">We built two generalized linear mixed models (GLMMs) using a negative binomial distribution with a log link function and used individual family and genera abundances as our outcome variables. We used negative binomial GLMMs because they can effectively model over-dispersed count data with an abundance of zeros, a pattern typical of microbiome datasets </w:t>
      </w:r>
      <w:r>
        <w:fldChar w:fldCharType="begin"/>
      </w:r>
      <w:r w:rsidR="00FE18CB">
        <w:instrText xml:space="preserve"> ADDIN ZOTERO_ITEM CSL_CITATION {"citationID":"rVFSfUFA","properties":{"formattedCitation":"({\\i{}147})","plainCitation":"(147)","noteIndex":0},"citationItems":[{"id":1248,"uris":["http://zotero.org/users/13901503/items/ATW2MVB6"],"itemData":{"id":1248,"type":"article-journal","abstract":"&lt;p&gt;The metagenomics sequencing data provide valuable resources for investigating the associations between the microbiome and host environmental/clinical factors and the dynamic changes of microbial abundance over time. The distinct properties of microbiome measurements include varied total sequence reads across samples, over-dispersion and zero-inflation. Additionally, microbiome studies usually collect samples longitudinally, which introduces time-dependent and correlation structures among the samples and thus further complicates the analysis and interpretation of microbiome count data. In this article, we propose negative binomial mixed models (NBMMs) for longitudinal microbiome studies. The proposed NBMMs can efficiently handle over-dispersion and varying total reads, and can account for the dynamic trend and correlation among longitudinal samples. We develop an efficient and stable algorithm to fit the NBMMs. We evaluate and demonstrate the NBMMs method via extensive simulation studies and application to a longitudinal microbiome data. The results show that the proposed method has desirable properties and outperform the previously used methods in terms of flexible framework for modeling correlation structures and detecting dynamic effects. We have developed an R package NBZIMM to implement the proposed method, which is freely available from the public GitHub repository &lt;ext-link ext-link-type=\"uri\" xlink:href=\"http://github.com//nyiuab//NBZIMM\" xmlns:xlink=\"http://www.w3.org/1999/xlink\"&gt;http://github.com//nyiuab//NBZIMM&lt;/ext-link&gt; and provides a useful tool for analyzing longitudinal microbiome data.&lt;/p&gt;","container-title":"Frontiers in Microbiology","DOI":"10.3389/fmicb.2018.01683","ISSN":"1664-302X","journalAbbreviation":"Front. Microbiol.","language":"English","note":"publisher: Frontiers","source":"Frontiers","title":"Negative Binomial Mixed Models for Analyzing Longitudinal Microbiome Data","URL":"https://www.frontiersin.org/journals/microbiology/articles/10.3389/fmicb.2018.01683/full","volume":"9","author":[{"family":"Zhang","given":"Xinyan"},{"family":"Pei","given":"Yu-Fang"},{"family":"Zhang","given":"Lei"},{"family":"Guo","given":"Boyi"},{"family":"Pendegraft","given":"Amanda H."},{"family":"Zhuang","given":"Wenzhuo"},{"family":"Yi","given":"Nengjun"}],"accessed":{"date-parts":[["2024",11,14]]},"issued":{"date-parts":[["2018",7,26]]}}}],"schema":"https://github.com/citation-style-language/schema/raw/master/csl-citation.json"} </w:instrText>
      </w:r>
      <w:r>
        <w:fldChar w:fldCharType="separate"/>
      </w:r>
      <w:r w:rsidR="00FE18CB" w:rsidRPr="00FE18CB">
        <w:t>(</w:t>
      </w:r>
      <w:r w:rsidR="00FE18CB" w:rsidRPr="00FE18CB">
        <w:rPr>
          <w:i/>
          <w:iCs/>
        </w:rPr>
        <w:t>147</w:t>
      </w:r>
      <w:r w:rsidR="00FE18CB" w:rsidRPr="00FE18CB">
        <w:t>)</w:t>
      </w:r>
      <w:r>
        <w:fldChar w:fldCharType="end"/>
      </w:r>
      <w:r>
        <w:t xml:space="preserve">. We modeled each taxon twice and compared model fit using </w:t>
      </w:r>
      <w:proofErr w:type="spellStart"/>
      <w:r>
        <w:t>AICc</w:t>
      </w:r>
      <w:proofErr w:type="spellEnd"/>
      <w:r>
        <w:t xml:space="preserve">. The baseline model, </w:t>
      </w:r>
      <w:proofErr w:type="spellStart"/>
      <w:r w:rsidRPr="00AA1E85">
        <w:rPr>
          <w:i/>
          <w:iCs/>
        </w:rPr>
        <w:t>m_main</w:t>
      </w:r>
      <w:proofErr w:type="spellEnd"/>
      <w:r>
        <w:t xml:space="preserve">, included predictors for social group, age, sex, rainfall, and fruit consumption. The temperature model, </w:t>
      </w:r>
      <w:proofErr w:type="spellStart"/>
      <w:r w:rsidRPr="00AA1E85">
        <w:rPr>
          <w:i/>
          <w:iCs/>
        </w:rPr>
        <w:t>m_full</w:t>
      </w:r>
      <w:proofErr w:type="spellEnd"/>
      <w:r>
        <w:t xml:space="preserve">, included all of the same predictors with an additional predictor for temperature (Fig 1S). Both models included a random intercept for individuals to control for repeated sampling and an offset for the log-transformed number of reads to control for differences in sequencing depth between samples. Similar to our community feature analysis, fruit consumption was included to better isolate the relationship between temperature and individual taxa while accounting for diet components also related to temperature. However, we did not include diet diversity as a predictor to reduce model complexity and facilitate model convergence. We scaled all continuous predictors. Model weights were used to evaluate the importance of temperature as a predictor of individual </w:t>
      </w:r>
      <w:proofErr w:type="spellStart"/>
      <w:r>
        <w:t>taxon</w:t>
      </w:r>
      <w:proofErr w:type="spellEnd"/>
      <w:r>
        <w:t xml:space="preserve"> abundance. Taxa where </w:t>
      </w:r>
      <w:proofErr w:type="spellStart"/>
      <w:r w:rsidRPr="00AA1E85">
        <w:rPr>
          <w:i/>
          <w:iCs/>
        </w:rPr>
        <w:t>m_full</w:t>
      </w:r>
      <w:proofErr w:type="spellEnd"/>
      <w:r>
        <w:t xml:space="preserve"> held greater than 50% of the model weight were considered temperature sensitive. We then used the </w:t>
      </w:r>
      <w:proofErr w:type="spellStart"/>
      <w:r w:rsidRPr="00497C02">
        <w:rPr>
          <w:i/>
          <w:iCs/>
        </w:rPr>
        <w:t>m_full</w:t>
      </w:r>
      <w:proofErr w:type="spellEnd"/>
      <w:r>
        <w:t xml:space="preserve"> model weights of all genera included in the analysis to perform ancestral state </w:t>
      </w:r>
      <w:r>
        <w:lastRenderedPageBreak/>
        <w:t>reconstruction using the ace() function in the {ape} package. Internal node values represent the maximum likelihood estimates of the temperature model weight under a Brownian motion model of trait evolution.</w:t>
      </w:r>
    </w:p>
    <w:p w14:paraId="4BE83C71" w14:textId="77777777" w:rsidR="00F6612C" w:rsidRDefault="00F6612C" w:rsidP="00F6612C">
      <w:pPr>
        <w:ind w:firstLine="720"/>
      </w:pPr>
      <w:r>
        <w:t xml:space="preserve">The modeling approach for the metabolic pathway data mirrored that used for the taxonomic data, except we modeled </w:t>
      </w:r>
      <w:proofErr w:type="spellStart"/>
      <w:r>
        <w:t>clr</w:t>
      </w:r>
      <w:proofErr w:type="spellEnd"/>
      <w:r>
        <w:t xml:space="preserve">-transformed abundances instead of raw counts. This allowed us to use a Gaussian distribution and omit the offset term for log-transformed read depth, as the </w:t>
      </w:r>
      <w:proofErr w:type="spellStart"/>
      <w:r>
        <w:t>clr</w:t>
      </w:r>
      <w:proofErr w:type="spellEnd"/>
      <w:r>
        <w:t xml:space="preserve"> transformation already accounts for differences in sequencing depth. We used </w:t>
      </w:r>
      <w:proofErr w:type="spellStart"/>
      <w:r>
        <w:t>clr</w:t>
      </w:r>
      <w:proofErr w:type="spellEnd"/>
      <w:r>
        <w:t xml:space="preserve">-transformed abundances because pathway abundance values are normalized by the number of contributing gene families, meaning they are no longer raw counts and are therefore inappropriate for modeling with a negative binomial distribution. We modeled each of the 547 pathways twice, once with the baseline model, </w:t>
      </w:r>
      <w:proofErr w:type="spellStart"/>
      <w:r w:rsidRPr="00903A8C">
        <w:rPr>
          <w:i/>
          <w:iCs/>
        </w:rPr>
        <w:t>m_main</w:t>
      </w:r>
      <w:proofErr w:type="spellEnd"/>
      <w:r>
        <w:t xml:space="preserve">, and once with the temperature model, </w:t>
      </w:r>
      <w:proofErr w:type="spellStart"/>
      <w:r w:rsidRPr="00903A8C">
        <w:rPr>
          <w:i/>
          <w:iCs/>
        </w:rPr>
        <w:t>m_full</w:t>
      </w:r>
      <w:proofErr w:type="spellEnd"/>
      <w:r>
        <w:rPr>
          <w:i/>
          <w:iCs/>
        </w:rPr>
        <w:t xml:space="preserve"> </w:t>
      </w:r>
      <w:r>
        <w:t xml:space="preserve">(Fig 1S). We compared the models using </w:t>
      </w:r>
      <w:proofErr w:type="spellStart"/>
      <w:r>
        <w:t>AICc</w:t>
      </w:r>
      <w:proofErr w:type="spellEnd"/>
      <w:r>
        <w:t>.</w:t>
      </w:r>
      <w:r w:rsidRPr="00903A8C">
        <w:t xml:space="preserve"> </w:t>
      </w:r>
      <w:r>
        <w:t xml:space="preserve">As in the taxonomic analysis, pathways for which </w:t>
      </w:r>
      <w:proofErr w:type="spellStart"/>
      <w:r>
        <w:t>m_full</w:t>
      </w:r>
      <w:proofErr w:type="spellEnd"/>
      <w:r>
        <w:t xml:space="preserve"> accounted for more than 50% of the model weight were considered temperature sensitive.</w:t>
      </w:r>
    </w:p>
    <w:p w14:paraId="2763926B" w14:textId="77777777" w:rsidR="00F6612C" w:rsidRDefault="00F6612C" w:rsidP="00F6612C"/>
    <w:p w14:paraId="31F4E4C5" w14:textId="77777777" w:rsidR="00F6612C" w:rsidRPr="0081434A" w:rsidRDefault="00F6612C" w:rsidP="00F6612C">
      <w:pPr>
        <w:rPr>
          <w:u w:val="single"/>
        </w:rPr>
      </w:pPr>
      <w:r w:rsidRPr="0081434A">
        <w:rPr>
          <w:u w:val="single"/>
        </w:rPr>
        <w:t>Immune and temperature interaction analysis</w:t>
      </w:r>
    </w:p>
    <w:p w14:paraId="1AF92180" w14:textId="77777777" w:rsidR="00F6612C" w:rsidRDefault="00F6612C" w:rsidP="00F6612C">
      <w:pPr>
        <w:ind w:firstLine="720"/>
      </w:pPr>
      <w:r>
        <w:t xml:space="preserve">To assess whether the relationship between temperature and community composition is associated with immune performance, we employed a second comparative modeling approach and used alpha diversity and the first three principal components as outcome variables. Similar to our previous approach, we modeled each community feature twice, once with each model, and compared model fit using </w:t>
      </w:r>
      <w:proofErr w:type="spellStart"/>
      <w:r>
        <w:t>AICc</w:t>
      </w:r>
      <w:proofErr w:type="spellEnd"/>
      <w:r>
        <w:t xml:space="preserve">. The baseline model, </w:t>
      </w:r>
      <w:proofErr w:type="spellStart"/>
      <w:r w:rsidRPr="00E17CBD">
        <w:rPr>
          <w:i/>
          <w:iCs/>
        </w:rPr>
        <w:t>m_immune_main</w:t>
      </w:r>
      <w:proofErr w:type="spellEnd"/>
      <w:r>
        <w:t xml:space="preserve">, included the same predictors as </w:t>
      </w:r>
      <w:proofErr w:type="spellStart"/>
      <w:r w:rsidRPr="00E17CBD">
        <w:rPr>
          <w:i/>
          <w:iCs/>
        </w:rPr>
        <w:t>m_full</w:t>
      </w:r>
      <w:proofErr w:type="spellEnd"/>
      <w:r>
        <w:t xml:space="preserve"> (i.e., social group, age, sex, rainfall, fruit consumption, temperature, random effect for ID, log total reads offset). The interaction model, </w:t>
      </w:r>
      <w:proofErr w:type="spellStart"/>
      <w:r w:rsidRPr="00E17CBD">
        <w:rPr>
          <w:i/>
          <w:iCs/>
        </w:rPr>
        <w:t>m_immune_full</w:t>
      </w:r>
      <w:proofErr w:type="spellEnd"/>
      <w:r>
        <w:t>,</w:t>
      </w:r>
      <w:r w:rsidRPr="00F92E8B">
        <w:t xml:space="preserve"> </w:t>
      </w:r>
      <w:r>
        <w:t xml:space="preserve">included all of the same predictors with an additional interaction effect between temperature and neopterin (Fig 1S). The interaction effect allowed us to test if the relationship between community composition changes depending on neopterin levels. We scaled all continuous predictors, including neopterin. All models were fit as linear mixed models (LMMs) with a Gaussian distribution except for observed taxonomic richness, which was fit using a Gamma distribution with a log link function because the variable was </w:t>
      </w:r>
      <w:r w:rsidRPr="00364B0D">
        <w:t>continuous, positive, and left</w:t>
      </w:r>
      <w:r>
        <w:t>-</w:t>
      </w:r>
      <w:r w:rsidRPr="00364B0D">
        <w:t>skewed with a long right tail</w:t>
      </w:r>
      <w:r>
        <w:t>.</w:t>
      </w:r>
    </w:p>
    <w:p w14:paraId="6286ED5C" w14:textId="77777777" w:rsidR="00F6612C" w:rsidRDefault="00F6612C" w:rsidP="00F6612C">
      <w:pPr>
        <w:ind w:firstLine="720"/>
      </w:pPr>
      <w:r>
        <w:t xml:space="preserve">To assess whether the relationship between temperature and individual taxa or pathways is associated with immune performance, we employed the same model comparison approach but used taxon and pathways abundances as outcome variables. First, we filtered for taxa and pathways that were temperature-sensitive (i.e., </w:t>
      </w:r>
      <w:proofErr w:type="spellStart"/>
      <w:r w:rsidRPr="00E17CBD">
        <w:rPr>
          <w:i/>
          <w:iCs/>
        </w:rPr>
        <w:t>m_full</w:t>
      </w:r>
      <w:proofErr w:type="spellEnd"/>
      <w:r>
        <w:t xml:space="preserve"> held greater than 50% of the model weight). Then, we modeled each feature twice, once with </w:t>
      </w:r>
      <w:proofErr w:type="spellStart"/>
      <w:r w:rsidRPr="00E17CBD">
        <w:rPr>
          <w:i/>
          <w:iCs/>
        </w:rPr>
        <w:t>m_immune_main</w:t>
      </w:r>
      <w:proofErr w:type="spellEnd"/>
      <w:r>
        <w:t xml:space="preserve"> and once with </w:t>
      </w:r>
      <w:proofErr w:type="spellStart"/>
      <w:r w:rsidRPr="00E17CBD">
        <w:rPr>
          <w:i/>
          <w:iCs/>
        </w:rPr>
        <w:t>m_immune_full</w:t>
      </w:r>
      <w:proofErr w:type="spellEnd"/>
      <w:r>
        <w:t xml:space="preserve">, and compared model fit using </w:t>
      </w:r>
      <w:proofErr w:type="spellStart"/>
      <w:r>
        <w:t>AICc</w:t>
      </w:r>
      <w:proofErr w:type="spellEnd"/>
      <w:r>
        <w:t xml:space="preserve">. Importantly we fit the models with taxa as outcome variables as GLMMs with a negative binomial distribution, log link function, and included a log total reads offset. We fit the models with pathways as outcome variables as LMMs with a Gaussian distribution and did not include a log total reads offset. Features where </w:t>
      </w:r>
      <w:proofErr w:type="spellStart"/>
      <w:r w:rsidRPr="00E17CBD">
        <w:rPr>
          <w:i/>
          <w:iCs/>
        </w:rPr>
        <w:t>m_immune_full</w:t>
      </w:r>
      <w:proofErr w:type="spellEnd"/>
      <w:r>
        <w:t xml:space="preserve"> held greater than 50% of the model weight were considered to have a relationship between temperature and abundance that changes depending on neopterin levels. We visualized these features using a coplot, where the relationship between feature abundance and temperature was plotted over distinct</w:t>
      </w:r>
      <w:r w:rsidRPr="00C03151">
        <w:t xml:space="preserve"> </w:t>
      </w:r>
      <w:r>
        <w:t>ranges of neopterin values.</w:t>
      </w:r>
    </w:p>
    <w:p w14:paraId="6D4CD5A9" w14:textId="77777777" w:rsidR="00F6612C" w:rsidRDefault="00F6612C" w:rsidP="00F6612C"/>
    <w:p w14:paraId="37AD9C2C" w14:textId="77777777" w:rsidR="00F6612C" w:rsidRDefault="00F6612C" w:rsidP="00F6612C">
      <w:r>
        <w:t>Data availability statement: All the data and computer code used for this manuscript have been</w:t>
      </w:r>
      <w:r w:rsidRPr="00B85BCA">
        <w:t xml:space="preserve"> </w:t>
      </w:r>
      <w:r>
        <w:t xml:space="preserve">deposited in a GitHub repository that will be made public upon acceptance. Raw sequence data </w:t>
      </w:r>
      <w:r>
        <w:lastRenderedPageBreak/>
        <w:t xml:space="preserve">generated by 16s rRNA amplicon sequencing and shotgun metagenomics will be deposited on NCBI upon publication. </w:t>
      </w:r>
    </w:p>
    <w:p w14:paraId="1A4D0D7E" w14:textId="77777777" w:rsidR="00F6612C" w:rsidRDefault="00F6612C" w:rsidP="00F6612C">
      <w:pPr>
        <w:ind w:firstLine="720"/>
      </w:pPr>
    </w:p>
    <w:p w14:paraId="190B5585" w14:textId="77777777" w:rsidR="00F6612C" w:rsidRDefault="00F6612C" w:rsidP="00F6612C">
      <w:r>
        <w:t xml:space="preserve">Author contributions statement: </w:t>
      </w:r>
    </w:p>
    <w:p w14:paraId="62DC9260" w14:textId="77777777" w:rsidR="00F6612C" w:rsidRDefault="00F6612C" w:rsidP="00F6612C">
      <w:r>
        <w:t xml:space="preserve">Conception and design of the manuscript: J.M.L. and A.J.M. </w:t>
      </w:r>
    </w:p>
    <w:p w14:paraId="42E85C85" w14:textId="77777777" w:rsidR="00F6612C" w:rsidRDefault="00F6612C" w:rsidP="00F6612C">
      <w:r>
        <w:t xml:space="preserve">Drafting of the manuscript: J.M.L., A.J.M., and K.R.M. </w:t>
      </w:r>
    </w:p>
    <w:p w14:paraId="67322684" w14:textId="77777777" w:rsidR="00F6612C" w:rsidRDefault="00F6612C" w:rsidP="00F6612C">
      <w:r>
        <w:t xml:space="preserve">Statistical analysis and figures: J.M.L. and A.J.M. </w:t>
      </w:r>
    </w:p>
    <w:p w14:paraId="09FC8BBE" w14:textId="77777777" w:rsidR="00F6612C" w:rsidRDefault="00F6612C" w:rsidP="00F6612C">
      <w:r w:rsidRPr="00AA2BE7">
        <w:t xml:space="preserve">R code: J.M.L. </w:t>
      </w:r>
    </w:p>
    <w:p w14:paraId="3889C02E" w14:textId="77777777" w:rsidR="00F6612C" w:rsidRDefault="00F6612C" w:rsidP="00F6612C">
      <w:r>
        <w:t xml:space="preserve">Sample acquisition: J.M.L., </w:t>
      </w:r>
      <w:r w:rsidRPr="00AA2BE7">
        <w:t>A.F.W.</w:t>
      </w:r>
      <w:r>
        <w:t>, and</w:t>
      </w:r>
      <w:r w:rsidRPr="00AA2BE7">
        <w:t xml:space="preserve"> J.C.O.</w:t>
      </w:r>
    </w:p>
    <w:p w14:paraId="179E7B7B" w14:textId="3F32EC78" w:rsidR="00F6612C" w:rsidRDefault="00F6612C" w:rsidP="00F6612C">
      <w:r>
        <w:t>Sample processing: J.M.L., M.L.S.S., M.E.B.</w:t>
      </w:r>
      <w:r w:rsidR="0038009D">
        <w:t>,</w:t>
      </w:r>
      <w:r>
        <w:t xml:space="preserve"> and </w:t>
      </w:r>
      <w:r w:rsidRPr="00AA2BE7">
        <w:t>A.F.W.</w:t>
      </w:r>
    </w:p>
    <w:p w14:paraId="35F3DE33" w14:textId="77777777" w:rsidR="00F6612C" w:rsidRDefault="00F6612C" w:rsidP="00F6612C">
      <w:r>
        <w:t xml:space="preserve">Study funding: </w:t>
      </w:r>
      <w:r w:rsidRPr="00DC0AF6">
        <w:t>J.M.L., M.E.B., and A.J.M.</w:t>
      </w:r>
    </w:p>
    <w:p w14:paraId="67A00D10" w14:textId="1FA686CC" w:rsidR="00F6612C" w:rsidRDefault="00F6612C" w:rsidP="00F6612C">
      <w:r>
        <w:t>Field site funding, logistics, and management:</w:t>
      </w:r>
      <w:r w:rsidRPr="00AA2BE7">
        <w:t xml:space="preserve"> M.E.B., J.C.B., T.J.B.</w:t>
      </w:r>
      <w:r w:rsidR="0038009D">
        <w:t>,</w:t>
      </w:r>
      <w:r w:rsidRPr="00AA2BE7">
        <w:t xml:space="preserve"> and J.C.O.</w:t>
      </w:r>
    </w:p>
    <w:p w14:paraId="0222040B" w14:textId="77777777" w:rsidR="00F6612C" w:rsidRDefault="00F6612C" w:rsidP="00F6612C"/>
    <w:p w14:paraId="6E01DCAE" w14:textId="77777777" w:rsidR="00F6612C" w:rsidRDefault="00F6612C" w:rsidP="00F6612C">
      <w:r>
        <w:t>Competing interests: The authors declare that they have no competing interests.</w:t>
      </w:r>
    </w:p>
    <w:p w14:paraId="587BF260" w14:textId="77777777" w:rsidR="00F6612C" w:rsidRDefault="00F6612C" w:rsidP="00F6612C"/>
    <w:p w14:paraId="260E44B0" w14:textId="77777777" w:rsidR="00F6612C" w:rsidRDefault="00F6612C" w:rsidP="00F6612C">
      <w:r>
        <w:t>Funding information: This research was supported by National Science Foundation grant BA-DDRIG 2236061 awarded to J.M.L.;  National Science Foundation grant BCS 1945121 awarded to T.J.B. (PI), M.E.B (Co-PI), and J.C.B. (Co-PI); National Science Foundation grant BCS 2127373 awarded to M.E.B.; a Leakey Foundation Research grant awarded to J.M.L.; an International Primatological Society Research Award awarded to J.M.L., a University of Michigan International Institute grant awarded to J.M.L.; and a University of Michigan Rackham Graduate School grant awarded to J.M.L.</w:t>
      </w:r>
    </w:p>
    <w:p w14:paraId="0C6DD86D" w14:textId="77777777" w:rsidR="00F6612C" w:rsidRDefault="00F6612C" w:rsidP="00F6612C"/>
    <w:p w14:paraId="6D1481D2" w14:textId="77777777" w:rsidR="00F6612C" w:rsidRDefault="00F6612C" w:rsidP="00F6612C">
      <w:r>
        <w:t xml:space="preserve">Acknowledgements: We would like to thank the Costa Rican institutions </w:t>
      </w:r>
      <w:proofErr w:type="spellStart"/>
      <w:r>
        <w:t>el</w:t>
      </w:r>
      <w:proofErr w:type="spellEnd"/>
      <w:r>
        <w:t xml:space="preserve"> Sistema Nacional</w:t>
      </w:r>
    </w:p>
    <w:p w14:paraId="46C54648" w14:textId="77777777" w:rsidR="00F6612C" w:rsidRDefault="00F6612C" w:rsidP="00F6612C">
      <w:r>
        <w:t xml:space="preserve">de </w:t>
      </w:r>
      <w:proofErr w:type="spellStart"/>
      <w:r>
        <w:t>Áreas</w:t>
      </w:r>
      <w:proofErr w:type="spellEnd"/>
      <w:r>
        <w:t xml:space="preserve"> de </w:t>
      </w:r>
      <w:proofErr w:type="spellStart"/>
      <w:r>
        <w:t>Conservación</w:t>
      </w:r>
      <w:proofErr w:type="spellEnd"/>
      <w:r>
        <w:t xml:space="preserve"> (SINAC), the Comisión Nacional para la </w:t>
      </w:r>
      <w:proofErr w:type="spellStart"/>
      <w:r>
        <w:t>Gestión</w:t>
      </w:r>
      <w:proofErr w:type="spellEnd"/>
      <w:r>
        <w:t xml:space="preserve"> de la </w:t>
      </w:r>
      <w:proofErr w:type="spellStart"/>
      <w:r>
        <w:t>Biodiversidad</w:t>
      </w:r>
      <w:proofErr w:type="spellEnd"/>
    </w:p>
    <w:p w14:paraId="19260EB3" w14:textId="77777777" w:rsidR="00F6612C" w:rsidRDefault="00F6612C" w:rsidP="00F6612C">
      <w:r>
        <w:t xml:space="preserve">(CONAGEBIO), the </w:t>
      </w:r>
      <w:proofErr w:type="spellStart"/>
      <w:r w:rsidRPr="00673BCB">
        <w:t>Ministerio</w:t>
      </w:r>
      <w:proofErr w:type="spellEnd"/>
      <w:r w:rsidRPr="00673BCB">
        <w:t xml:space="preserve"> de </w:t>
      </w:r>
      <w:proofErr w:type="spellStart"/>
      <w:r w:rsidRPr="00673BCB">
        <w:t>Ambiente</w:t>
      </w:r>
      <w:proofErr w:type="spellEnd"/>
      <w:r w:rsidRPr="00673BCB">
        <w:t xml:space="preserve"> y Energía</w:t>
      </w:r>
      <w:r w:rsidRPr="00A16306">
        <w:rPr>
          <w:rFonts w:ascii="Helvetica" w:hAnsi="Helvetica"/>
          <w:sz w:val="22"/>
          <w:szCs w:val="22"/>
        </w:rPr>
        <w:t xml:space="preserve"> </w:t>
      </w:r>
      <w:r>
        <w:t>(MINAE), and the Universidad Técnica</w:t>
      </w:r>
    </w:p>
    <w:p w14:paraId="640EBAFF" w14:textId="77777777" w:rsidR="00F6612C" w:rsidRDefault="00F6612C" w:rsidP="00F6612C">
      <w:r>
        <w:t xml:space="preserve">Nacional (UTN) for supporting our research. We acknowledge the Capuchinos de </w:t>
      </w:r>
      <w:proofErr w:type="spellStart"/>
      <w:r>
        <w:t>Taboga</w:t>
      </w:r>
      <w:proofErr w:type="spellEnd"/>
      <w:r>
        <w:t xml:space="preserve"> field</w:t>
      </w:r>
    </w:p>
    <w:p w14:paraId="2428BDE7" w14:textId="77777777" w:rsidR="00F6612C" w:rsidRDefault="00F6612C" w:rsidP="00F6612C">
      <w:r>
        <w:t xml:space="preserve">team for contributing to site logistics and data collection. We specifically want to thank L. F. Sinclair, V. A. Martins, S. A. </w:t>
      </w:r>
      <w:proofErr w:type="spellStart"/>
      <w:r>
        <w:t>Kovalaskas</w:t>
      </w:r>
      <w:proofErr w:type="spellEnd"/>
      <w:r>
        <w:t xml:space="preserve">, W. E. Acevedo, E. M. </w:t>
      </w:r>
      <w:proofErr w:type="spellStart"/>
      <w:r>
        <w:t>Saborío</w:t>
      </w:r>
      <w:proofErr w:type="spellEnd"/>
      <w:r>
        <w:t xml:space="preserve">, M. Chaves, C. I. Wright, C. Berry, and N. </w:t>
      </w:r>
      <w:proofErr w:type="spellStart"/>
      <w:r>
        <w:t>Guisneuf</w:t>
      </w:r>
      <w:proofErr w:type="spellEnd"/>
      <w:r>
        <w:t xml:space="preserve"> for help with sample collection and V. Viard for assistance in the laboratory. We would also like to thank Amato lab member A. Pulvino, University of Michigan Bioinformatics Core director C. Gates, and University of Michigan </w:t>
      </w:r>
      <w:r w:rsidRPr="00B85BCA">
        <w:t xml:space="preserve">High Performance Computing Consultant </w:t>
      </w:r>
      <w:r>
        <w:t>C. Antonelli for their assistance with bioinformatics. All protocols involved in this study were previously approved by the University of Michigan IACUC (no. PRO00011898).</w:t>
      </w:r>
    </w:p>
    <w:p w14:paraId="0DD39B65" w14:textId="77777777" w:rsidR="009237D2" w:rsidRDefault="009237D2" w:rsidP="00F6612C"/>
    <w:p w14:paraId="020C08AA" w14:textId="77777777" w:rsidR="009237D2" w:rsidRDefault="009237D2" w:rsidP="00F6612C"/>
    <w:p w14:paraId="17CB92AC" w14:textId="77777777" w:rsidR="009237D2" w:rsidRDefault="009237D2" w:rsidP="00F6612C"/>
    <w:p w14:paraId="1822AAA0" w14:textId="77777777" w:rsidR="009237D2" w:rsidRDefault="009237D2" w:rsidP="00F6612C"/>
    <w:p w14:paraId="4B1A6A64" w14:textId="77777777" w:rsidR="009237D2" w:rsidRDefault="009237D2" w:rsidP="00F6612C"/>
    <w:p w14:paraId="24F02FEA" w14:textId="77777777" w:rsidR="009237D2" w:rsidRDefault="009237D2" w:rsidP="00F6612C"/>
    <w:p w14:paraId="79ED1E48" w14:textId="77777777" w:rsidR="009237D2" w:rsidRDefault="009237D2" w:rsidP="00F6612C"/>
    <w:p w14:paraId="247E28A8" w14:textId="77777777" w:rsidR="009237D2" w:rsidRDefault="009237D2" w:rsidP="00F6612C"/>
    <w:p w14:paraId="3D86890F" w14:textId="77777777" w:rsidR="009237D2" w:rsidRDefault="009237D2" w:rsidP="00F6612C"/>
    <w:p w14:paraId="039B0AE2" w14:textId="77777777" w:rsidR="009237D2" w:rsidRDefault="009237D2" w:rsidP="00F6612C"/>
    <w:p w14:paraId="22E7A683" w14:textId="77777777" w:rsidR="009237D2" w:rsidRDefault="009237D2" w:rsidP="00F6612C"/>
    <w:p w14:paraId="4E6B2118" w14:textId="4D721B4B" w:rsidR="009237D2" w:rsidRDefault="009237D2" w:rsidP="00F6612C">
      <w:r>
        <w:rPr>
          <w:noProof/>
          <w14:ligatures w14:val="standardContextual"/>
        </w:rPr>
        <w:lastRenderedPageBreak/>
        <w:drawing>
          <wp:anchor distT="0" distB="0" distL="114300" distR="114300" simplePos="0" relativeHeight="251658240" behindDoc="0" locked="0" layoutInCell="1" allowOverlap="1" wp14:anchorId="4394B504" wp14:editId="28F91E80">
            <wp:simplePos x="0" y="0"/>
            <wp:positionH relativeFrom="column">
              <wp:posOffset>-866775</wp:posOffset>
            </wp:positionH>
            <wp:positionV relativeFrom="paragraph">
              <wp:posOffset>254000</wp:posOffset>
            </wp:positionV>
            <wp:extent cx="7652385" cy="5100955"/>
            <wp:effectExtent l="0" t="0" r="5715" b="4445"/>
            <wp:wrapTopAndBottom/>
            <wp:docPr id="1046948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48861" name="Picture 1046948861"/>
                    <pic:cNvPicPr/>
                  </pic:nvPicPr>
                  <pic:blipFill>
                    <a:blip r:embed="rId6"/>
                    <a:stretch>
                      <a:fillRect/>
                    </a:stretch>
                  </pic:blipFill>
                  <pic:spPr>
                    <a:xfrm>
                      <a:off x="0" y="0"/>
                      <a:ext cx="7652385" cy="5100955"/>
                    </a:xfrm>
                    <a:prstGeom prst="rect">
                      <a:avLst/>
                    </a:prstGeom>
                  </pic:spPr>
                </pic:pic>
              </a:graphicData>
            </a:graphic>
            <wp14:sizeRelH relativeFrom="page">
              <wp14:pctWidth>0</wp14:pctWidth>
            </wp14:sizeRelH>
            <wp14:sizeRelV relativeFrom="page">
              <wp14:pctHeight>0</wp14:pctHeight>
            </wp14:sizeRelV>
          </wp:anchor>
        </w:drawing>
      </w:r>
      <w:r>
        <w:t xml:space="preserve">Figures: </w:t>
      </w:r>
    </w:p>
    <w:p w14:paraId="4B3F983F" w14:textId="77777777" w:rsidR="009237D2" w:rsidRDefault="009237D2" w:rsidP="00F6612C"/>
    <w:p w14:paraId="2E3884BA" w14:textId="77777777" w:rsidR="009237D2" w:rsidRDefault="009237D2" w:rsidP="009237D2">
      <w:r w:rsidRPr="00F86AC3">
        <w:rPr>
          <w:b/>
          <w:bCs/>
        </w:rPr>
        <w:t>Figure 1:</w:t>
      </w:r>
      <w:r>
        <w:rPr>
          <w:b/>
          <w:bCs/>
        </w:rPr>
        <w:t xml:space="preserve"> </w:t>
      </w:r>
      <w:r>
        <w:t xml:space="preserve">Model comparison results assessing whether adding temperature to a base model of known microbiome predictors improves the explanation of community-level taxonomic and metabolic diversity. Panels </w:t>
      </w:r>
      <w:r w:rsidRPr="00F86AC3">
        <w:rPr>
          <w:b/>
          <w:bCs/>
        </w:rPr>
        <w:t>A</w:t>
      </w:r>
      <w:r>
        <w:t xml:space="preserve"> and </w:t>
      </w:r>
      <w:r w:rsidRPr="00F86AC3">
        <w:rPr>
          <w:b/>
          <w:bCs/>
        </w:rPr>
        <w:t>C</w:t>
      </w:r>
      <w:r>
        <w:t xml:space="preserve"> show the coefficients of the temperature predictor for community diversity metrics, including </w:t>
      </w:r>
      <w:r w:rsidRPr="009B4C2B">
        <w:t xml:space="preserve">beta diversity (measured by principal </w:t>
      </w:r>
      <w:r>
        <w:t>components</w:t>
      </w:r>
      <w:r w:rsidRPr="009B4C2B">
        <w:t xml:space="preserve"> 1-</w:t>
      </w:r>
      <w:r>
        <w:t>3</w:t>
      </w:r>
      <w:r w:rsidRPr="009B4C2B">
        <w:t>) and alpha diversity (measured by the Shannon Index and the observed number of ASVs</w:t>
      </w:r>
      <w:r>
        <w:t xml:space="preserve"> or metabolic pathways</w:t>
      </w:r>
      <w:r w:rsidRPr="009B4C2B">
        <w:t>).</w:t>
      </w:r>
      <w:r>
        <w:t xml:space="preserve"> </w:t>
      </w:r>
      <w:r w:rsidRPr="009B4C2B">
        <w:t>The</w:t>
      </w:r>
      <w:r>
        <w:t xml:space="preserve"> thick</w:t>
      </w:r>
      <w:r w:rsidRPr="009B4C2B">
        <w:t xml:space="preserve"> bars represent 50% confidence intervals (CI), while the thin bars represent 95% CI.</w:t>
      </w:r>
      <w:r>
        <w:t xml:space="preserve"> Panels </w:t>
      </w:r>
      <w:r w:rsidRPr="00F86AC3">
        <w:rPr>
          <w:b/>
          <w:bCs/>
        </w:rPr>
        <w:t>B</w:t>
      </w:r>
      <w:r>
        <w:t xml:space="preserve"> and </w:t>
      </w:r>
      <w:r w:rsidRPr="00F86AC3">
        <w:rPr>
          <w:b/>
          <w:bCs/>
        </w:rPr>
        <w:t>D</w:t>
      </w:r>
      <w:r>
        <w:t xml:space="preserve"> compare the model weights of the base model (in green) to the temperature model (in yellow). The weights of the base model plus the temperature model equal 100%. The top panels </w:t>
      </w:r>
      <w:r w:rsidRPr="00F86AC3">
        <w:rPr>
          <w:b/>
          <w:bCs/>
        </w:rPr>
        <w:t>A</w:t>
      </w:r>
      <w:r>
        <w:t xml:space="preserve"> and </w:t>
      </w:r>
      <w:r w:rsidRPr="00F86AC3">
        <w:rPr>
          <w:b/>
          <w:bCs/>
        </w:rPr>
        <w:t>B</w:t>
      </w:r>
      <w:r>
        <w:t xml:space="preserve"> show the results for community-level taxonomic diversity, while the bottom panels </w:t>
      </w:r>
      <w:r w:rsidRPr="00F86AC3">
        <w:rPr>
          <w:b/>
          <w:bCs/>
        </w:rPr>
        <w:t>C</w:t>
      </w:r>
      <w:r>
        <w:t xml:space="preserve"> and </w:t>
      </w:r>
      <w:r w:rsidRPr="00F86AC3">
        <w:rPr>
          <w:b/>
          <w:bCs/>
        </w:rPr>
        <w:t>D</w:t>
      </w:r>
      <w:r>
        <w:t xml:space="preserve"> show the results for metabolic pathway diversity. Results show a strong association between temperature and beta diversity for both taxonomic composition and metabolic capacity. In contrast, the association between temperature and alpha diversity differs by data type: taxonomic alpha diversity declines with rising temperature, whereas metabolic alpha diversity indicates a possible reduction in the number of unique pathways at higher temperatures but no relationship with pathway evenness. </w:t>
      </w:r>
    </w:p>
    <w:p w14:paraId="10E7341A" w14:textId="77777777" w:rsidR="009237D2" w:rsidRDefault="009237D2" w:rsidP="009237D2">
      <w:pPr>
        <w:rPr>
          <w:b/>
          <w:bCs/>
        </w:rPr>
      </w:pPr>
      <w:r>
        <w:rPr>
          <w:b/>
          <w:bCs/>
          <w:noProof/>
          <w14:ligatures w14:val="standardContextual"/>
        </w:rPr>
        <w:lastRenderedPageBreak/>
        <w:drawing>
          <wp:anchor distT="0" distB="0" distL="114300" distR="114300" simplePos="0" relativeHeight="251659264" behindDoc="0" locked="0" layoutInCell="1" allowOverlap="1" wp14:anchorId="78AE15B5" wp14:editId="1FF856CB">
            <wp:simplePos x="0" y="0"/>
            <wp:positionH relativeFrom="column">
              <wp:posOffset>-145014</wp:posOffset>
            </wp:positionH>
            <wp:positionV relativeFrom="paragraph">
              <wp:posOffset>238</wp:posOffset>
            </wp:positionV>
            <wp:extent cx="5293360" cy="8933180"/>
            <wp:effectExtent l="0" t="0" r="2540" b="0"/>
            <wp:wrapTopAndBottom/>
            <wp:docPr id="2277191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19164" name="Picture 227719164"/>
                    <pic:cNvPicPr/>
                  </pic:nvPicPr>
                  <pic:blipFill>
                    <a:blip r:embed="rId7"/>
                    <a:stretch>
                      <a:fillRect/>
                    </a:stretch>
                  </pic:blipFill>
                  <pic:spPr>
                    <a:xfrm>
                      <a:off x="0" y="0"/>
                      <a:ext cx="5293360" cy="8933180"/>
                    </a:xfrm>
                    <a:prstGeom prst="rect">
                      <a:avLst/>
                    </a:prstGeom>
                  </pic:spPr>
                </pic:pic>
              </a:graphicData>
            </a:graphic>
            <wp14:sizeRelH relativeFrom="page">
              <wp14:pctWidth>0</wp14:pctWidth>
            </wp14:sizeRelH>
            <wp14:sizeRelV relativeFrom="page">
              <wp14:pctHeight>0</wp14:pctHeight>
            </wp14:sizeRelV>
          </wp:anchor>
        </w:drawing>
      </w:r>
    </w:p>
    <w:p w14:paraId="603A5AF1" w14:textId="00E94ACC" w:rsidR="009237D2" w:rsidRDefault="009237D2" w:rsidP="009237D2">
      <w:r>
        <w:rPr>
          <w:b/>
          <w:bCs/>
        </w:rPr>
        <w:lastRenderedPageBreak/>
        <w:t>F</w:t>
      </w:r>
      <w:r w:rsidRPr="001B7A29">
        <w:rPr>
          <w:b/>
          <w:bCs/>
        </w:rPr>
        <w:t>igure 2:</w:t>
      </w:r>
      <w:r>
        <w:t xml:space="preserve"> Cladogram showing ancestral state reconstruction of temperature sensitivity for 97 genera with ≥ 0.2% average relative abundance. Branch color indicates model weight for the temperature model (includes base predictors plus temperature), with yellow representing high model weight (greater temperature sensitivity) and green representing low model weight. Genera where the temperature model accounts for ≥ 50% of the model weight are classified as temperature sensitive and are depicted with red (negative association) or blue (positive association) circles at the branch tips. Genera with &lt; 50% model weight are considered not temperature sensitive and are shown with grey circles. Most temperature-sensitive taxa decline in abundance with rising temperatures, especially within the Firmicutes and </w:t>
      </w:r>
      <w:proofErr w:type="spellStart"/>
      <w:r>
        <w:t>Bacteroidota</w:t>
      </w:r>
      <w:proofErr w:type="spellEnd"/>
      <w:r>
        <w:t xml:space="preserve"> phyla. In contrast, Proteobacteria and </w:t>
      </w:r>
      <w:proofErr w:type="spellStart"/>
      <w:r>
        <w:t>Campylobacterota</w:t>
      </w:r>
      <w:proofErr w:type="spellEnd"/>
      <w:r>
        <w:t xml:space="preserve"> appear less temperature sensitive compared to the other phyla. </w:t>
      </w:r>
    </w:p>
    <w:p w14:paraId="2A657EE4" w14:textId="77777777" w:rsidR="009237D2" w:rsidRDefault="009237D2" w:rsidP="009237D2"/>
    <w:p w14:paraId="2DDDF700" w14:textId="77777777" w:rsidR="009237D2" w:rsidRDefault="009237D2" w:rsidP="009237D2"/>
    <w:p w14:paraId="7F7842D3" w14:textId="77777777" w:rsidR="009237D2" w:rsidRDefault="009237D2" w:rsidP="009237D2"/>
    <w:p w14:paraId="3783C9B8" w14:textId="77777777" w:rsidR="009237D2" w:rsidRDefault="009237D2" w:rsidP="009237D2"/>
    <w:p w14:paraId="4F355558" w14:textId="77777777" w:rsidR="009237D2" w:rsidRDefault="009237D2" w:rsidP="009237D2"/>
    <w:p w14:paraId="4D80AE65" w14:textId="77777777" w:rsidR="009237D2" w:rsidRDefault="009237D2" w:rsidP="009237D2"/>
    <w:p w14:paraId="49D8EA11" w14:textId="77777777" w:rsidR="009237D2" w:rsidRDefault="009237D2" w:rsidP="009237D2"/>
    <w:p w14:paraId="6FFD860F" w14:textId="77777777" w:rsidR="009237D2" w:rsidRDefault="009237D2" w:rsidP="009237D2"/>
    <w:p w14:paraId="47D20828" w14:textId="77777777" w:rsidR="009237D2" w:rsidRDefault="009237D2" w:rsidP="009237D2"/>
    <w:p w14:paraId="2AEA7621" w14:textId="77777777" w:rsidR="009237D2" w:rsidRDefault="009237D2" w:rsidP="009237D2"/>
    <w:p w14:paraId="6A057B2B" w14:textId="77777777" w:rsidR="009237D2" w:rsidRDefault="009237D2" w:rsidP="009237D2"/>
    <w:p w14:paraId="60956D8D" w14:textId="77777777" w:rsidR="009237D2" w:rsidRDefault="009237D2" w:rsidP="009237D2"/>
    <w:p w14:paraId="7CFBE9E5" w14:textId="77777777" w:rsidR="009237D2" w:rsidRDefault="009237D2" w:rsidP="009237D2"/>
    <w:p w14:paraId="718F3B90" w14:textId="77777777" w:rsidR="009237D2" w:rsidRDefault="009237D2" w:rsidP="009237D2"/>
    <w:p w14:paraId="01D2BCFD" w14:textId="77777777" w:rsidR="009237D2" w:rsidRDefault="009237D2" w:rsidP="009237D2"/>
    <w:p w14:paraId="4619F7A2" w14:textId="77777777" w:rsidR="009237D2" w:rsidRDefault="009237D2" w:rsidP="009237D2"/>
    <w:p w14:paraId="77839D95" w14:textId="77777777" w:rsidR="009237D2" w:rsidRDefault="009237D2" w:rsidP="009237D2"/>
    <w:p w14:paraId="5636BF33" w14:textId="77777777" w:rsidR="009237D2" w:rsidRDefault="009237D2" w:rsidP="009237D2"/>
    <w:p w14:paraId="197C021B" w14:textId="77777777" w:rsidR="009237D2" w:rsidRDefault="009237D2" w:rsidP="009237D2"/>
    <w:p w14:paraId="7E94A6B1" w14:textId="77777777" w:rsidR="009237D2" w:rsidRDefault="009237D2" w:rsidP="009237D2"/>
    <w:p w14:paraId="4FF21E10" w14:textId="77777777" w:rsidR="009237D2" w:rsidRDefault="009237D2" w:rsidP="009237D2"/>
    <w:p w14:paraId="1B7CDB81" w14:textId="77777777" w:rsidR="009237D2" w:rsidRDefault="009237D2" w:rsidP="009237D2"/>
    <w:p w14:paraId="617AF58E" w14:textId="77777777" w:rsidR="009237D2" w:rsidRDefault="009237D2" w:rsidP="009237D2"/>
    <w:p w14:paraId="277D6B9A" w14:textId="77777777" w:rsidR="009237D2" w:rsidRDefault="009237D2" w:rsidP="009237D2"/>
    <w:p w14:paraId="377713E1" w14:textId="77777777" w:rsidR="009237D2" w:rsidRDefault="009237D2" w:rsidP="009237D2"/>
    <w:p w14:paraId="046F5617" w14:textId="77777777" w:rsidR="009237D2" w:rsidRDefault="009237D2" w:rsidP="009237D2"/>
    <w:p w14:paraId="3005D64F" w14:textId="77777777" w:rsidR="009237D2" w:rsidRDefault="009237D2" w:rsidP="009237D2"/>
    <w:p w14:paraId="46AAA566" w14:textId="77777777" w:rsidR="009237D2" w:rsidRDefault="009237D2" w:rsidP="009237D2"/>
    <w:p w14:paraId="317CE9AE" w14:textId="77777777" w:rsidR="009237D2" w:rsidRDefault="009237D2" w:rsidP="009237D2"/>
    <w:p w14:paraId="261A7532" w14:textId="77777777" w:rsidR="009237D2" w:rsidRDefault="009237D2" w:rsidP="009237D2"/>
    <w:p w14:paraId="30244107" w14:textId="77777777" w:rsidR="009237D2" w:rsidRDefault="009237D2" w:rsidP="009237D2"/>
    <w:p w14:paraId="09FD4F1C" w14:textId="77777777" w:rsidR="009237D2" w:rsidRDefault="009237D2" w:rsidP="009237D2"/>
    <w:p w14:paraId="4190868B" w14:textId="77777777" w:rsidR="009237D2" w:rsidRDefault="009237D2" w:rsidP="009237D2"/>
    <w:p w14:paraId="1B01BE67" w14:textId="77777777" w:rsidR="009237D2" w:rsidRDefault="009237D2" w:rsidP="009237D2"/>
    <w:p w14:paraId="63DACB0C" w14:textId="77777777" w:rsidR="009237D2" w:rsidRDefault="009237D2" w:rsidP="009237D2"/>
    <w:p w14:paraId="687EE916" w14:textId="77777777" w:rsidR="00A5476D" w:rsidRDefault="00A5476D" w:rsidP="009237D2">
      <w:pPr>
        <w:rPr>
          <w:b/>
          <w:bCs/>
        </w:rPr>
      </w:pPr>
      <w:r w:rsidRPr="00A5476D">
        <w:rPr>
          <w:b/>
          <w:bCs/>
          <w:noProof/>
        </w:rPr>
        <w:lastRenderedPageBreak/>
        <w:drawing>
          <wp:anchor distT="0" distB="0" distL="114300" distR="114300" simplePos="0" relativeHeight="251660288" behindDoc="0" locked="0" layoutInCell="1" allowOverlap="1" wp14:anchorId="05D3CC38" wp14:editId="305AA4E3">
            <wp:simplePos x="0" y="0"/>
            <wp:positionH relativeFrom="column">
              <wp:posOffset>-866775</wp:posOffset>
            </wp:positionH>
            <wp:positionV relativeFrom="paragraph">
              <wp:posOffset>0</wp:posOffset>
            </wp:positionV>
            <wp:extent cx="7693025" cy="8601075"/>
            <wp:effectExtent l="0" t="0" r="3175" b="0"/>
            <wp:wrapTopAndBottom/>
            <wp:docPr id="4" name="Picture 3">
              <a:extLst xmlns:a="http://schemas.openxmlformats.org/drawingml/2006/main">
                <a:ext uri="{FF2B5EF4-FFF2-40B4-BE49-F238E27FC236}">
                  <a16:creationId xmlns:a16="http://schemas.microsoft.com/office/drawing/2014/main" id="{0B97F5D2-46AC-077F-936E-F9FFBA74EA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0B97F5D2-46AC-077F-936E-F9FFBA74EA4E}"/>
                        </a:ext>
                      </a:extLst>
                    </pic:cNvPr>
                    <pic:cNvPicPr>
                      <a:picLocks noChangeAspect="1"/>
                    </pic:cNvPicPr>
                  </pic:nvPicPr>
                  <pic:blipFill>
                    <a:blip r:embed="rId8"/>
                    <a:stretch>
                      <a:fillRect/>
                    </a:stretch>
                  </pic:blipFill>
                  <pic:spPr>
                    <a:xfrm>
                      <a:off x="0" y="0"/>
                      <a:ext cx="7693025" cy="8601075"/>
                    </a:xfrm>
                    <a:prstGeom prst="rect">
                      <a:avLst/>
                    </a:prstGeom>
                  </pic:spPr>
                </pic:pic>
              </a:graphicData>
            </a:graphic>
            <wp14:sizeRelH relativeFrom="page">
              <wp14:pctWidth>0</wp14:pctWidth>
            </wp14:sizeRelH>
            <wp14:sizeRelV relativeFrom="page">
              <wp14:pctHeight>0</wp14:pctHeight>
            </wp14:sizeRelV>
          </wp:anchor>
        </w:drawing>
      </w:r>
    </w:p>
    <w:p w14:paraId="02EF01F5" w14:textId="2318A580" w:rsidR="009237D2" w:rsidRDefault="009237D2" w:rsidP="009237D2">
      <w:r w:rsidRPr="00CA25BE">
        <w:rPr>
          <w:b/>
          <w:bCs/>
        </w:rPr>
        <w:lastRenderedPageBreak/>
        <w:t>Figure 3:</w:t>
      </w:r>
      <w:r>
        <w:t xml:space="preserve"> Model results for the microbial metabolic pathways associated with temperature. Pathways are grouped into five functional categories (Panels </w:t>
      </w:r>
      <w:r w:rsidRPr="007D498D">
        <w:rPr>
          <w:b/>
          <w:bCs/>
        </w:rPr>
        <w:t>A-</w:t>
      </w:r>
      <w:r>
        <w:rPr>
          <w:b/>
          <w:bCs/>
        </w:rPr>
        <w:t>E</w:t>
      </w:r>
      <w:r>
        <w:t xml:space="preserve">) based on shared biological roles and their associations with temperature. </w:t>
      </w:r>
      <w:r w:rsidRPr="009B4C2B">
        <w:t>The</w:t>
      </w:r>
      <w:r>
        <w:t xml:space="preserve"> thick</w:t>
      </w:r>
      <w:r w:rsidRPr="009B4C2B">
        <w:t xml:space="preserve"> bars represent 50% confidence intervals (CI), while the thin bars represent 95% CI.</w:t>
      </w:r>
      <w:r>
        <w:t xml:space="preserve"> Summary annotations to the right of each panel describe the broad functional roles of the pathways within each category. Panel </w:t>
      </w:r>
      <w:r w:rsidRPr="007D498D">
        <w:rPr>
          <w:b/>
          <w:bCs/>
        </w:rPr>
        <w:t>F</w:t>
      </w:r>
      <w:r>
        <w:t xml:space="preserve"> visualizes the hypothesized physiological cascade induced by exposure to high temperatures, in which redox imbalance, the decline of obligate anaerobes, and disruption of gut-immune homeostasis form a negative feedback loop. Bidirectional arrows highlight that each relationship likely amplifies the others and may lead to</w:t>
      </w:r>
      <w:r w:rsidRPr="00CF040A">
        <w:t xml:space="preserve"> </w:t>
      </w:r>
      <w:r>
        <w:t>chronic gut inflammation and negative health outcomes for the host.</w:t>
      </w:r>
    </w:p>
    <w:p w14:paraId="41C18BB9" w14:textId="6D486CE6" w:rsidR="00A37FA7" w:rsidRDefault="00A37FA7" w:rsidP="009237D2"/>
    <w:p w14:paraId="3AA5CBD7" w14:textId="4A39E3D8" w:rsidR="00A37FA7" w:rsidRPr="009237D2" w:rsidRDefault="00A37FA7" w:rsidP="009237D2">
      <w:pPr>
        <w:rPr>
          <w:b/>
          <w:bCs/>
        </w:rPr>
      </w:pPr>
      <w:r w:rsidRPr="00A37FA7">
        <w:rPr>
          <w:b/>
          <w:bCs/>
          <w:noProof/>
        </w:rPr>
        <w:drawing>
          <wp:anchor distT="0" distB="0" distL="114300" distR="114300" simplePos="0" relativeHeight="251671552" behindDoc="0" locked="0" layoutInCell="1" allowOverlap="1" wp14:anchorId="0F406441" wp14:editId="62BAF041">
            <wp:simplePos x="0" y="0"/>
            <wp:positionH relativeFrom="column">
              <wp:posOffset>-797536</wp:posOffset>
            </wp:positionH>
            <wp:positionV relativeFrom="paragraph">
              <wp:posOffset>213088</wp:posOffset>
            </wp:positionV>
            <wp:extent cx="7507605" cy="5492750"/>
            <wp:effectExtent l="0" t="0" r="0" b="6350"/>
            <wp:wrapTopAndBottom/>
            <wp:docPr id="70277317" name="Picture 3">
              <a:extLst xmlns:a="http://schemas.openxmlformats.org/drawingml/2006/main">
                <a:ext uri="{FF2B5EF4-FFF2-40B4-BE49-F238E27FC236}">
                  <a16:creationId xmlns:a16="http://schemas.microsoft.com/office/drawing/2014/main" id="{10E0AC41-CC06-0DC6-A859-945DF3548B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10E0AC41-CC06-0DC6-A859-945DF3548BC1}"/>
                        </a:ext>
                      </a:extLst>
                    </pic:cNvPr>
                    <pic:cNvPicPr>
                      <a:picLocks noChangeAspect="1"/>
                    </pic:cNvPicPr>
                  </pic:nvPicPr>
                  <pic:blipFill>
                    <a:blip r:embed="rId9"/>
                    <a:stretch>
                      <a:fillRect/>
                    </a:stretch>
                  </pic:blipFill>
                  <pic:spPr>
                    <a:xfrm>
                      <a:off x="0" y="0"/>
                      <a:ext cx="7507605" cy="5492750"/>
                    </a:xfrm>
                    <a:prstGeom prst="rect">
                      <a:avLst/>
                    </a:prstGeom>
                  </pic:spPr>
                </pic:pic>
              </a:graphicData>
            </a:graphic>
            <wp14:sizeRelH relativeFrom="page">
              <wp14:pctWidth>0</wp14:pctWidth>
            </wp14:sizeRelH>
            <wp14:sizeRelV relativeFrom="page">
              <wp14:pctHeight>0</wp14:pctHeight>
            </wp14:sizeRelV>
          </wp:anchor>
        </w:drawing>
      </w:r>
    </w:p>
    <w:p w14:paraId="2EFBF92B" w14:textId="3BC330F4" w:rsidR="009237D2" w:rsidRDefault="009237D2" w:rsidP="009237D2"/>
    <w:p w14:paraId="6E7F14E9" w14:textId="61A114F1" w:rsidR="00A5476D" w:rsidRDefault="00A5476D" w:rsidP="00A5476D">
      <w:r w:rsidRPr="00CA25BE">
        <w:rPr>
          <w:b/>
          <w:bCs/>
        </w:rPr>
        <w:t>Figure 4:</w:t>
      </w:r>
      <w:r>
        <w:t xml:space="preserve"> The relationship between taxa abundance and temperature plotted across three distinct ranges of neopterin concentration. There are two main effects. Row </w:t>
      </w:r>
      <w:r w:rsidRPr="00622318">
        <w:rPr>
          <w:b/>
          <w:bCs/>
        </w:rPr>
        <w:t>A</w:t>
      </w:r>
      <w:r>
        <w:t xml:space="preserve"> includes taxa for which the relationship between temperature and abundance becomes increasingly negative at higher </w:t>
      </w:r>
      <w:r>
        <w:lastRenderedPageBreak/>
        <w:t xml:space="preserve">neopterin concentrations. Rows </w:t>
      </w:r>
      <w:r w:rsidRPr="00622318">
        <w:rPr>
          <w:b/>
          <w:bCs/>
        </w:rPr>
        <w:t>B</w:t>
      </w:r>
      <w:r>
        <w:t xml:space="preserve"> and </w:t>
      </w:r>
      <w:r w:rsidRPr="00622318">
        <w:rPr>
          <w:b/>
          <w:bCs/>
        </w:rPr>
        <w:t>C</w:t>
      </w:r>
      <w:r>
        <w:t xml:space="preserve"> include taxa for which the relationship becomes increasingly positive, either through an increasingly positive slope (Row </w:t>
      </w:r>
      <w:r w:rsidRPr="00622318">
        <w:rPr>
          <w:b/>
          <w:bCs/>
        </w:rPr>
        <w:t>B</w:t>
      </w:r>
      <w:r>
        <w:t xml:space="preserve">) or a slope that switches from negative to positive (Row </w:t>
      </w:r>
      <w:r w:rsidRPr="00622318">
        <w:rPr>
          <w:b/>
          <w:bCs/>
        </w:rPr>
        <w:t>C</w:t>
      </w:r>
      <w:r>
        <w:t xml:space="preserve">). Taxa highlighted in the results and discussion are labeled on the right side of each row. A complete list of all taxa included in the plots is available </w:t>
      </w:r>
      <w:r w:rsidR="00DB2B1C" w:rsidRPr="00DB2B1C">
        <w:rPr>
          <w:noProof/>
        </w:rPr>
        <w:drawing>
          <wp:anchor distT="0" distB="0" distL="114300" distR="114300" simplePos="0" relativeHeight="251672576" behindDoc="0" locked="0" layoutInCell="1" allowOverlap="1" wp14:anchorId="7885292A" wp14:editId="2B84E274">
            <wp:simplePos x="0" y="0"/>
            <wp:positionH relativeFrom="column">
              <wp:posOffset>-415925</wp:posOffset>
            </wp:positionH>
            <wp:positionV relativeFrom="paragraph">
              <wp:posOffset>949951</wp:posOffset>
            </wp:positionV>
            <wp:extent cx="6358890" cy="7275830"/>
            <wp:effectExtent l="0" t="0" r="3810" b="1270"/>
            <wp:wrapTopAndBottom/>
            <wp:docPr id="5" name="Picture 4">
              <a:extLst xmlns:a="http://schemas.openxmlformats.org/drawingml/2006/main">
                <a:ext uri="{FF2B5EF4-FFF2-40B4-BE49-F238E27FC236}">
                  <a16:creationId xmlns:a16="http://schemas.microsoft.com/office/drawing/2014/main" id="{E3B4EBDE-13A0-7FB2-4B85-4FB27809A7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3B4EBDE-13A0-7FB2-4B85-4FB27809A7ED}"/>
                        </a:ext>
                      </a:extLst>
                    </pic:cNvPr>
                    <pic:cNvPicPr>
                      <a:picLocks noChangeAspect="1"/>
                    </pic:cNvPicPr>
                  </pic:nvPicPr>
                  <pic:blipFill>
                    <a:blip r:embed="rId10"/>
                    <a:stretch>
                      <a:fillRect/>
                    </a:stretch>
                  </pic:blipFill>
                  <pic:spPr>
                    <a:xfrm>
                      <a:off x="0" y="0"/>
                      <a:ext cx="6358890" cy="7275830"/>
                    </a:xfrm>
                    <a:prstGeom prst="rect">
                      <a:avLst/>
                    </a:prstGeom>
                  </pic:spPr>
                </pic:pic>
              </a:graphicData>
            </a:graphic>
            <wp14:sizeRelH relativeFrom="page">
              <wp14:pctWidth>0</wp14:pctWidth>
            </wp14:sizeRelH>
            <wp14:sizeRelV relativeFrom="page">
              <wp14:pctHeight>0</wp14:pctHeight>
            </wp14:sizeRelV>
          </wp:anchor>
        </w:drawing>
      </w:r>
      <w:r>
        <w:t xml:space="preserve">in Supplementary Table 3. </w:t>
      </w:r>
    </w:p>
    <w:p w14:paraId="2CE5ECAC" w14:textId="1514FFAC" w:rsidR="00DB2B1C" w:rsidRDefault="00DB2B1C" w:rsidP="00A5476D"/>
    <w:p w14:paraId="7C48E5DF" w14:textId="659F09DC" w:rsidR="00DB2B1C" w:rsidRDefault="00DB2B1C" w:rsidP="00A5476D"/>
    <w:p w14:paraId="31164EBC" w14:textId="77777777" w:rsidR="009237D2" w:rsidRDefault="009237D2" w:rsidP="00F6612C"/>
    <w:p w14:paraId="5D62013E" w14:textId="77777777" w:rsidR="00A5476D" w:rsidRDefault="00A5476D" w:rsidP="00A5476D">
      <w:r w:rsidRPr="008F171B">
        <w:rPr>
          <w:b/>
          <w:bCs/>
        </w:rPr>
        <w:t>Figure 5:</w:t>
      </w:r>
      <w:r>
        <w:t xml:space="preserve"> The relationship between metabolic pathway abundance and temperature plotted across two distinct ranges of neopterin concentration. There are two main effects. Rows </w:t>
      </w:r>
      <w:r w:rsidRPr="008F171B">
        <w:rPr>
          <w:b/>
          <w:bCs/>
        </w:rPr>
        <w:t>A-C</w:t>
      </w:r>
      <w:r>
        <w:t xml:space="preserve"> include pathways for which the relationship becomes increasingly negative at higher neopterin, either through a slope that switches from positive to negative (Row </w:t>
      </w:r>
      <w:r>
        <w:rPr>
          <w:b/>
          <w:bCs/>
        </w:rPr>
        <w:t>A</w:t>
      </w:r>
      <w:r>
        <w:t xml:space="preserve">), a slope that becomes less positive (Row </w:t>
      </w:r>
      <w:r>
        <w:rPr>
          <w:b/>
          <w:bCs/>
        </w:rPr>
        <w:t>B</w:t>
      </w:r>
      <w:r>
        <w:t xml:space="preserve">), or an increasingly negative slope (Row </w:t>
      </w:r>
      <w:r>
        <w:rPr>
          <w:b/>
          <w:bCs/>
        </w:rPr>
        <w:t>C</w:t>
      </w:r>
      <w:r>
        <w:t xml:space="preserve">). Rows </w:t>
      </w:r>
      <w:r>
        <w:rPr>
          <w:b/>
          <w:bCs/>
        </w:rPr>
        <w:t xml:space="preserve">D </w:t>
      </w:r>
      <w:r>
        <w:t xml:space="preserve">and </w:t>
      </w:r>
      <w:r>
        <w:rPr>
          <w:b/>
          <w:bCs/>
        </w:rPr>
        <w:t>E</w:t>
      </w:r>
      <w:r>
        <w:t xml:space="preserve"> include pathways for which the relationship between temperature and abundance becomes increasingly positive at higher neopterin, either through a slope that switches from negative to positive (Row </w:t>
      </w:r>
      <w:r>
        <w:rPr>
          <w:b/>
          <w:bCs/>
        </w:rPr>
        <w:t>D</w:t>
      </w:r>
      <w:r>
        <w:t xml:space="preserve">) or an increasingly positive slope (Row </w:t>
      </w:r>
      <w:r>
        <w:rPr>
          <w:b/>
          <w:bCs/>
        </w:rPr>
        <w:t>E</w:t>
      </w:r>
      <w:r>
        <w:t xml:space="preserve">). Pathways highlighted in the results and discussion are labeled on the right side of each row. A complete list of all pathways included in the plots is available in Supplementary Table 4. </w:t>
      </w:r>
    </w:p>
    <w:p w14:paraId="0489CA3A" w14:textId="77777777" w:rsidR="00CF0C3C" w:rsidRDefault="00CF0C3C" w:rsidP="00A5476D"/>
    <w:p w14:paraId="28E6660F" w14:textId="77777777" w:rsidR="00CF0C3C" w:rsidRDefault="00CF0C3C" w:rsidP="00CF0C3C"/>
    <w:p w14:paraId="7822F13D" w14:textId="77777777" w:rsidR="00CF0C3C" w:rsidRDefault="00CF0C3C" w:rsidP="00CF0C3C"/>
    <w:p w14:paraId="2B2A5F54" w14:textId="77777777" w:rsidR="00CF0C3C" w:rsidRDefault="00CF0C3C" w:rsidP="00CF0C3C"/>
    <w:p w14:paraId="5863E833" w14:textId="6F8DBA20" w:rsidR="00CF0C3C" w:rsidRDefault="00CF0C3C" w:rsidP="00CF0C3C">
      <w:r w:rsidRPr="00AF0CD3">
        <w:rPr>
          <w:noProof/>
        </w:rPr>
        <w:drawing>
          <wp:anchor distT="0" distB="0" distL="114300" distR="114300" simplePos="0" relativeHeight="251662336" behindDoc="0" locked="0" layoutInCell="1" allowOverlap="1" wp14:anchorId="0BCFD35F" wp14:editId="3EEC8F6C">
            <wp:simplePos x="0" y="0"/>
            <wp:positionH relativeFrom="column">
              <wp:posOffset>-914763</wp:posOffset>
            </wp:positionH>
            <wp:positionV relativeFrom="paragraph">
              <wp:posOffset>310671</wp:posOffset>
            </wp:positionV>
            <wp:extent cx="7767205" cy="2336800"/>
            <wp:effectExtent l="0" t="0" r="5715" b="0"/>
            <wp:wrapTopAndBottom/>
            <wp:docPr id="637104961" name="Picture 3">
              <a:extLst xmlns:a="http://schemas.openxmlformats.org/drawingml/2006/main">
                <a:ext uri="{FF2B5EF4-FFF2-40B4-BE49-F238E27FC236}">
                  <a16:creationId xmlns:a16="http://schemas.microsoft.com/office/drawing/2014/main" id="{7CAE0EF2-4FB5-BA95-5F33-F502C8FA45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7CAE0EF2-4FB5-BA95-5F33-F502C8FA45C8}"/>
                        </a:ext>
                      </a:extLst>
                    </pic:cNvPr>
                    <pic:cNvPicPr>
                      <a:picLocks noChangeAspect="1"/>
                    </pic:cNvPicPr>
                  </pic:nvPicPr>
                  <pic:blipFill>
                    <a:blip r:embed="rId11"/>
                    <a:stretch>
                      <a:fillRect/>
                    </a:stretch>
                  </pic:blipFill>
                  <pic:spPr>
                    <a:xfrm>
                      <a:off x="0" y="0"/>
                      <a:ext cx="7767205" cy="2336800"/>
                    </a:xfrm>
                    <a:prstGeom prst="rect">
                      <a:avLst/>
                    </a:prstGeom>
                  </pic:spPr>
                </pic:pic>
              </a:graphicData>
            </a:graphic>
            <wp14:sizeRelH relativeFrom="page">
              <wp14:pctWidth>0</wp14:pctWidth>
            </wp14:sizeRelH>
            <wp14:sizeRelV relativeFrom="page">
              <wp14:pctHeight>0</wp14:pctHeight>
            </wp14:sizeRelV>
          </wp:anchor>
        </w:drawing>
      </w:r>
      <w:r>
        <w:t xml:space="preserve">Supplement: </w:t>
      </w:r>
    </w:p>
    <w:p w14:paraId="1C5A89C4" w14:textId="77777777" w:rsidR="00CF0C3C" w:rsidRDefault="00CF0C3C" w:rsidP="00A5476D"/>
    <w:p w14:paraId="4E177F42" w14:textId="77777777" w:rsidR="009237D2" w:rsidRDefault="009237D2" w:rsidP="00F6612C"/>
    <w:p w14:paraId="3E26B186" w14:textId="77777777" w:rsidR="00CF0C3C" w:rsidRDefault="00CF0C3C" w:rsidP="00CF0C3C">
      <w:r w:rsidRPr="002E4868">
        <w:rPr>
          <w:b/>
          <w:bCs/>
        </w:rPr>
        <w:t xml:space="preserve">Figure </w:t>
      </w:r>
      <w:r>
        <w:rPr>
          <w:b/>
          <w:bCs/>
        </w:rPr>
        <w:t>1S</w:t>
      </w:r>
      <w:r w:rsidRPr="002E4868">
        <w:rPr>
          <w:b/>
          <w:bCs/>
        </w:rPr>
        <w:t>:</w:t>
      </w:r>
      <w:r>
        <w:t xml:space="preserve"> Flowchart outlining the model selection approach for each component of the analysis. Dark grey boxes represent the two data types: 16S rRNA amplicon sequences and shotgun metagenomic sequences. Light grey boxes specify the model formulas applied to each analysis. While the community-level modeling approach used the same model structure for both data types, the models for the temperature and interaction differential abundance analyses differed. Only features for which </w:t>
      </w:r>
      <w:proofErr w:type="spellStart"/>
      <w:r w:rsidRPr="006F78AD">
        <w:rPr>
          <w:i/>
          <w:iCs/>
        </w:rPr>
        <w:t>m_full</w:t>
      </w:r>
      <w:proofErr w:type="spellEnd"/>
      <w:r>
        <w:t xml:space="preserve"> accounted for more than 50% of the model weight were included in the neopterin–temperature interaction analysis.</w:t>
      </w:r>
    </w:p>
    <w:p w14:paraId="6934AD79" w14:textId="77777777" w:rsidR="00CF0C3C" w:rsidRDefault="00CF0C3C" w:rsidP="00CF0C3C"/>
    <w:p w14:paraId="239D5B6D" w14:textId="66C91D8B" w:rsidR="00CF0C3C" w:rsidRDefault="00CF0C3C" w:rsidP="00CF0C3C">
      <w:r>
        <w:rPr>
          <w:noProof/>
          <w14:ligatures w14:val="standardContextual"/>
        </w:rPr>
        <w:lastRenderedPageBreak/>
        <w:drawing>
          <wp:anchor distT="0" distB="0" distL="114300" distR="114300" simplePos="0" relativeHeight="251664384" behindDoc="0" locked="0" layoutInCell="1" allowOverlap="1" wp14:anchorId="4C7F3922" wp14:editId="47BFACCF">
            <wp:simplePos x="0" y="0"/>
            <wp:positionH relativeFrom="column">
              <wp:posOffset>0</wp:posOffset>
            </wp:positionH>
            <wp:positionV relativeFrom="paragraph">
              <wp:posOffset>171450</wp:posOffset>
            </wp:positionV>
            <wp:extent cx="5943600" cy="2971800"/>
            <wp:effectExtent l="0" t="0" r="0" b="0"/>
            <wp:wrapTopAndBottom/>
            <wp:docPr id="7639539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53968" name="Picture 763953968"/>
                    <pic:cNvPicPr/>
                  </pic:nvPicPr>
                  <pic:blipFill>
                    <a:blip r:embed="rId12"/>
                    <a:stretch>
                      <a:fillRect/>
                    </a:stretch>
                  </pic:blipFill>
                  <pic:spPr>
                    <a:xfrm>
                      <a:off x="0" y="0"/>
                      <a:ext cx="5943600" cy="2971800"/>
                    </a:xfrm>
                    <a:prstGeom prst="rect">
                      <a:avLst/>
                    </a:prstGeom>
                  </pic:spPr>
                </pic:pic>
              </a:graphicData>
            </a:graphic>
            <wp14:sizeRelH relativeFrom="page">
              <wp14:pctWidth>0</wp14:pctWidth>
            </wp14:sizeRelH>
            <wp14:sizeRelV relativeFrom="page">
              <wp14:pctHeight>0</wp14:pctHeight>
            </wp14:sizeRelV>
          </wp:anchor>
        </w:drawing>
      </w:r>
    </w:p>
    <w:p w14:paraId="3D475EB0" w14:textId="77777777" w:rsidR="00CF0C3C" w:rsidRDefault="00CF0C3C" w:rsidP="00F6612C"/>
    <w:p w14:paraId="52D5535A" w14:textId="77777777" w:rsidR="00CF0C3C" w:rsidRDefault="00CF0C3C" w:rsidP="00CF0C3C">
      <w:r w:rsidRPr="002E4868">
        <w:rPr>
          <w:b/>
          <w:bCs/>
        </w:rPr>
        <w:t xml:space="preserve">Figure </w:t>
      </w:r>
      <w:r>
        <w:rPr>
          <w:b/>
          <w:bCs/>
        </w:rPr>
        <w:t>2S</w:t>
      </w:r>
      <w:r w:rsidRPr="002E4868">
        <w:rPr>
          <w:b/>
          <w:bCs/>
        </w:rPr>
        <w:t>:</w:t>
      </w:r>
      <w:r>
        <w:t xml:space="preserve"> </w:t>
      </w:r>
      <w:r w:rsidRPr="009B4C2B">
        <w:t>Plotted model results showing the relationship between</w:t>
      </w:r>
      <w:r>
        <w:t xml:space="preserve"> taxonomic</w:t>
      </w:r>
      <w:r w:rsidRPr="009B4C2B">
        <w:t xml:space="preserve"> alpha diversity and temperature. </w:t>
      </w:r>
      <w:r>
        <w:t>Panel</w:t>
      </w:r>
      <w:r w:rsidRPr="009B4C2B">
        <w:t xml:space="preserve"> </w:t>
      </w:r>
      <w:r>
        <w:t>(</w:t>
      </w:r>
      <w:r w:rsidRPr="00AE5F46">
        <w:rPr>
          <w:b/>
          <w:bCs/>
        </w:rPr>
        <w:t>A</w:t>
      </w:r>
      <w:r>
        <w:t>)</w:t>
      </w:r>
      <w:r w:rsidRPr="009B4C2B">
        <w:t xml:space="preserve"> measures alpha diversity using Shannon's Index, while </w:t>
      </w:r>
      <w:r>
        <w:t>panel</w:t>
      </w:r>
      <w:r w:rsidRPr="009B4C2B">
        <w:t xml:space="preserve"> </w:t>
      </w:r>
      <w:r>
        <w:t>(</w:t>
      </w:r>
      <w:r w:rsidRPr="00AE5F46">
        <w:rPr>
          <w:b/>
          <w:bCs/>
        </w:rPr>
        <w:t>B</w:t>
      </w:r>
      <w:r>
        <w:t>)</w:t>
      </w:r>
      <w:r w:rsidRPr="009B4C2B">
        <w:t xml:space="preserve"> uses the total number of ASVs. Both metrics demonstrate a </w:t>
      </w:r>
      <w:r>
        <w:t xml:space="preserve">reliable </w:t>
      </w:r>
      <w:r w:rsidRPr="009B4C2B">
        <w:t xml:space="preserve">decrease in </w:t>
      </w:r>
      <w:r>
        <w:t xml:space="preserve">taxonomic </w:t>
      </w:r>
      <w:r w:rsidRPr="009B4C2B">
        <w:t>alpha diversity as temperature increases.</w:t>
      </w:r>
    </w:p>
    <w:p w14:paraId="1AB7A844" w14:textId="77777777" w:rsidR="00CF0C3C" w:rsidRDefault="00CF0C3C" w:rsidP="00CF0C3C"/>
    <w:p w14:paraId="3A1B60D5" w14:textId="1461E21F" w:rsidR="00CF0C3C" w:rsidRDefault="00CF0C3C" w:rsidP="00CF0C3C">
      <w:r w:rsidRPr="00AE5F46">
        <w:rPr>
          <w:b/>
          <w:bCs/>
        </w:rPr>
        <w:t>Table</w:t>
      </w:r>
      <w:r>
        <w:rPr>
          <w:b/>
          <w:bCs/>
        </w:rPr>
        <w:t xml:space="preserve"> 1S</w:t>
      </w:r>
      <w:r w:rsidRPr="00AE5F46">
        <w:rPr>
          <w:b/>
          <w:bCs/>
        </w:rPr>
        <w:t>:</w:t>
      </w:r>
      <w:r>
        <w:t xml:space="preserve"> Excel file containing results from the differential abundance analysis of 163 microbial taxa to evaluate their relationship with temperature. The analysis compares a baseline model, </w:t>
      </w:r>
      <w:proofErr w:type="spellStart"/>
      <w:r w:rsidRPr="00E37B3B">
        <w:rPr>
          <w:i/>
          <w:iCs/>
        </w:rPr>
        <w:t>m_main</w:t>
      </w:r>
      <w:proofErr w:type="spellEnd"/>
      <w:r>
        <w:t xml:space="preserve">, which includes predictors for social group, age, sex, rainfall, and fruit consumption, to a full model, </w:t>
      </w:r>
      <w:proofErr w:type="spellStart"/>
      <w:r w:rsidRPr="00E37B3B">
        <w:rPr>
          <w:i/>
          <w:iCs/>
        </w:rPr>
        <w:t>m_full</w:t>
      </w:r>
      <w:proofErr w:type="spellEnd"/>
      <w:r>
        <w:t xml:space="preserve">, that includes all the same predictors plus temperature. The column contents are as follows: </w:t>
      </w:r>
    </w:p>
    <w:p w14:paraId="475E9688" w14:textId="77777777" w:rsidR="00CF0C3C" w:rsidRPr="00CF0C3C" w:rsidRDefault="00CF0C3C" w:rsidP="00CF0C3C">
      <w:pPr>
        <w:pStyle w:val="ListParagraph"/>
        <w:numPr>
          <w:ilvl w:val="0"/>
          <w:numId w:val="1"/>
        </w:numPr>
        <w:spacing w:after="0" w:line="240" w:lineRule="auto"/>
        <w:rPr>
          <w:rFonts w:ascii="Times New Roman" w:hAnsi="Times New Roman" w:cs="Times New Roman"/>
        </w:rPr>
      </w:pPr>
      <w:r w:rsidRPr="00CF0C3C">
        <w:rPr>
          <w:rFonts w:ascii="Times New Roman" w:hAnsi="Times New Roman" w:cs="Times New Roman"/>
        </w:rPr>
        <w:t>Column 1: Taxon name</w:t>
      </w:r>
    </w:p>
    <w:p w14:paraId="12C1C05E" w14:textId="77777777" w:rsidR="00CF0C3C" w:rsidRPr="00CF0C3C" w:rsidRDefault="00CF0C3C" w:rsidP="00CF0C3C">
      <w:pPr>
        <w:pStyle w:val="ListParagraph"/>
        <w:numPr>
          <w:ilvl w:val="0"/>
          <w:numId w:val="1"/>
        </w:numPr>
        <w:spacing w:after="0" w:line="240" w:lineRule="auto"/>
        <w:rPr>
          <w:rFonts w:ascii="Times New Roman" w:hAnsi="Times New Roman" w:cs="Times New Roman"/>
        </w:rPr>
      </w:pPr>
      <w:r w:rsidRPr="00CF0C3C">
        <w:rPr>
          <w:rFonts w:ascii="Times New Roman" w:hAnsi="Times New Roman" w:cs="Times New Roman"/>
        </w:rPr>
        <w:t xml:space="preserve">Column 2: Temperature coefficient from the </w:t>
      </w:r>
      <w:proofErr w:type="spellStart"/>
      <w:r w:rsidRPr="00CF0C3C">
        <w:rPr>
          <w:rFonts w:ascii="Times New Roman" w:hAnsi="Times New Roman" w:cs="Times New Roman"/>
          <w:i/>
          <w:iCs/>
        </w:rPr>
        <w:t>m_full</w:t>
      </w:r>
      <w:proofErr w:type="spellEnd"/>
      <w:r w:rsidRPr="00CF0C3C">
        <w:rPr>
          <w:rFonts w:ascii="Times New Roman" w:hAnsi="Times New Roman" w:cs="Times New Roman"/>
        </w:rPr>
        <w:t xml:space="preserve"> model</w:t>
      </w:r>
    </w:p>
    <w:p w14:paraId="2DFD8B46" w14:textId="77777777" w:rsidR="00CF0C3C" w:rsidRPr="00CF0C3C" w:rsidRDefault="00CF0C3C" w:rsidP="00CF0C3C">
      <w:pPr>
        <w:pStyle w:val="ListParagraph"/>
        <w:numPr>
          <w:ilvl w:val="0"/>
          <w:numId w:val="1"/>
        </w:numPr>
        <w:spacing w:after="0" w:line="240" w:lineRule="auto"/>
        <w:rPr>
          <w:rFonts w:ascii="Times New Roman" w:hAnsi="Times New Roman" w:cs="Times New Roman"/>
        </w:rPr>
      </w:pPr>
      <w:r w:rsidRPr="00CF0C3C">
        <w:rPr>
          <w:rFonts w:ascii="Times New Roman" w:hAnsi="Times New Roman" w:cs="Times New Roman"/>
        </w:rPr>
        <w:t>Columns 3-7: Standard error and 50% and 95% confidence intervals for the temperature coefficient</w:t>
      </w:r>
    </w:p>
    <w:p w14:paraId="72D4CDF3" w14:textId="77777777" w:rsidR="00CF0C3C" w:rsidRPr="00CF0C3C" w:rsidRDefault="00CF0C3C" w:rsidP="00CF0C3C">
      <w:pPr>
        <w:pStyle w:val="ListParagraph"/>
        <w:numPr>
          <w:ilvl w:val="0"/>
          <w:numId w:val="1"/>
        </w:numPr>
        <w:spacing w:after="0" w:line="240" w:lineRule="auto"/>
        <w:rPr>
          <w:rFonts w:ascii="Times New Roman" w:hAnsi="Times New Roman" w:cs="Times New Roman"/>
        </w:rPr>
      </w:pPr>
      <w:r w:rsidRPr="00CF0C3C">
        <w:rPr>
          <w:rFonts w:ascii="Times New Roman" w:hAnsi="Times New Roman" w:cs="Times New Roman"/>
        </w:rPr>
        <w:t>Columns 8-9: Taxonomic classification</w:t>
      </w:r>
    </w:p>
    <w:p w14:paraId="68EDD517" w14:textId="77777777" w:rsidR="00CF0C3C" w:rsidRPr="00CF0C3C" w:rsidRDefault="00CF0C3C" w:rsidP="00CF0C3C">
      <w:pPr>
        <w:pStyle w:val="ListParagraph"/>
        <w:numPr>
          <w:ilvl w:val="0"/>
          <w:numId w:val="1"/>
        </w:numPr>
        <w:spacing w:after="0" w:line="240" w:lineRule="auto"/>
        <w:rPr>
          <w:rFonts w:ascii="Times New Roman" w:hAnsi="Times New Roman" w:cs="Times New Roman"/>
        </w:rPr>
      </w:pPr>
      <w:r w:rsidRPr="00CF0C3C">
        <w:rPr>
          <w:rFonts w:ascii="Times New Roman" w:hAnsi="Times New Roman" w:cs="Times New Roman"/>
        </w:rPr>
        <w:t xml:space="preserve">Column 10: Model weight for the </w:t>
      </w:r>
      <w:proofErr w:type="spellStart"/>
      <w:r w:rsidRPr="00CF0C3C">
        <w:rPr>
          <w:rFonts w:ascii="Times New Roman" w:hAnsi="Times New Roman" w:cs="Times New Roman"/>
          <w:i/>
          <w:iCs/>
        </w:rPr>
        <w:t>m_full</w:t>
      </w:r>
      <w:proofErr w:type="spellEnd"/>
      <w:r w:rsidRPr="00CF0C3C">
        <w:rPr>
          <w:rFonts w:ascii="Times New Roman" w:hAnsi="Times New Roman" w:cs="Times New Roman"/>
        </w:rPr>
        <w:t xml:space="preserve"> model</w:t>
      </w:r>
    </w:p>
    <w:p w14:paraId="0714D044" w14:textId="77777777" w:rsidR="00CF0C3C" w:rsidRPr="00CF0C3C" w:rsidRDefault="00CF0C3C" w:rsidP="00CF0C3C">
      <w:pPr>
        <w:pStyle w:val="ListParagraph"/>
        <w:numPr>
          <w:ilvl w:val="0"/>
          <w:numId w:val="1"/>
        </w:numPr>
        <w:spacing w:after="0" w:line="240" w:lineRule="auto"/>
        <w:rPr>
          <w:rFonts w:ascii="Times New Roman" w:hAnsi="Times New Roman" w:cs="Times New Roman"/>
        </w:rPr>
      </w:pPr>
      <w:r w:rsidRPr="00CF0C3C">
        <w:rPr>
          <w:rFonts w:ascii="Times New Roman" w:hAnsi="Times New Roman" w:cs="Times New Roman"/>
        </w:rPr>
        <w:t>Column 11: Direction of the temperature coefficient (positive or negative)</w:t>
      </w:r>
    </w:p>
    <w:p w14:paraId="44866C50" w14:textId="77777777" w:rsidR="00CF0C3C" w:rsidRPr="00CF0C3C" w:rsidRDefault="00CF0C3C" w:rsidP="00CF0C3C">
      <w:pPr>
        <w:pStyle w:val="ListParagraph"/>
        <w:numPr>
          <w:ilvl w:val="0"/>
          <w:numId w:val="1"/>
        </w:numPr>
        <w:spacing w:after="0" w:line="240" w:lineRule="auto"/>
        <w:rPr>
          <w:rFonts w:ascii="Times New Roman" w:hAnsi="Times New Roman" w:cs="Times New Roman"/>
        </w:rPr>
      </w:pPr>
      <w:r w:rsidRPr="00CF0C3C">
        <w:rPr>
          <w:rFonts w:ascii="Times New Roman" w:hAnsi="Times New Roman" w:cs="Times New Roman"/>
        </w:rPr>
        <w:t>Column 12: Classification of the taxon as temperature-sensitive (model weight &gt; 0.5) or neutral (model weight ≤ 0.5)</w:t>
      </w:r>
    </w:p>
    <w:p w14:paraId="73F607F6" w14:textId="77777777" w:rsidR="00CF0C3C" w:rsidRDefault="00CF0C3C" w:rsidP="00CF0C3C"/>
    <w:p w14:paraId="472E8B35" w14:textId="1EB21623" w:rsidR="00CF0C3C" w:rsidRDefault="00CF0C3C" w:rsidP="00CF0C3C">
      <w:r w:rsidRPr="00AE5F46">
        <w:rPr>
          <w:b/>
          <w:bCs/>
        </w:rPr>
        <w:t>Table</w:t>
      </w:r>
      <w:r>
        <w:rPr>
          <w:b/>
          <w:bCs/>
        </w:rPr>
        <w:t xml:space="preserve"> 2S</w:t>
      </w:r>
      <w:r w:rsidRPr="00AE5F46">
        <w:rPr>
          <w:b/>
          <w:bCs/>
        </w:rPr>
        <w:t>:</w:t>
      </w:r>
      <w:r>
        <w:t xml:space="preserve"> Excel file containing results from the differential abundance analysis of 383 metabolic pathways to evaluate their relationship with temperature. The analysis compares a baseline model, </w:t>
      </w:r>
      <w:proofErr w:type="spellStart"/>
      <w:r w:rsidRPr="00E37B3B">
        <w:rPr>
          <w:i/>
          <w:iCs/>
        </w:rPr>
        <w:t>m_main</w:t>
      </w:r>
      <w:proofErr w:type="spellEnd"/>
      <w:r>
        <w:t xml:space="preserve">, which includes predictors for social group, age, sex, rainfall, and fruit consumption, to a full model, </w:t>
      </w:r>
      <w:proofErr w:type="spellStart"/>
      <w:r w:rsidRPr="00E37B3B">
        <w:rPr>
          <w:i/>
          <w:iCs/>
        </w:rPr>
        <w:t>m_full</w:t>
      </w:r>
      <w:proofErr w:type="spellEnd"/>
      <w:r>
        <w:t xml:space="preserve">, that includes all the same predictors plus temperature. The column contents are as follows: </w:t>
      </w:r>
    </w:p>
    <w:p w14:paraId="5F9F5482" w14:textId="77777777" w:rsidR="00CF0C3C" w:rsidRPr="00CF0C3C" w:rsidRDefault="00CF0C3C" w:rsidP="00CF0C3C">
      <w:pPr>
        <w:pStyle w:val="ListParagraph"/>
        <w:numPr>
          <w:ilvl w:val="0"/>
          <w:numId w:val="1"/>
        </w:numPr>
        <w:spacing w:after="0" w:line="240" w:lineRule="auto"/>
        <w:rPr>
          <w:rFonts w:ascii="Times New Roman" w:hAnsi="Times New Roman" w:cs="Times New Roman"/>
        </w:rPr>
      </w:pPr>
      <w:r w:rsidRPr="00CF0C3C">
        <w:rPr>
          <w:rFonts w:ascii="Times New Roman" w:hAnsi="Times New Roman" w:cs="Times New Roman"/>
        </w:rPr>
        <w:t xml:space="preserve">Column 1: pathway </w:t>
      </w:r>
      <w:proofErr w:type="spellStart"/>
      <w:r w:rsidRPr="00CF0C3C">
        <w:rPr>
          <w:rFonts w:ascii="Times New Roman" w:hAnsi="Times New Roman" w:cs="Times New Roman"/>
        </w:rPr>
        <w:t>Metacyc</w:t>
      </w:r>
      <w:proofErr w:type="spellEnd"/>
      <w:r w:rsidRPr="00CF0C3C">
        <w:rPr>
          <w:rFonts w:ascii="Times New Roman" w:hAnsi="Times New Roman" w:cs="Times New Roman"/>
        </w:rPr>
        <w:t xml:space="preserve"> ID</w:t>
      </w:r>
    </w:p>
    <w:p w14:paraId="7E79DA69" w14:textId="77777777" w:rsidR="00CF0C3C" w:rsidRPr="00CF0C3C" w:rsidRDefault="00CF0C3C" w:rsidP="00CF0C3C">
      <w:pPr>
        <w:pStyle w:val="ListParagraph"/>
        <w:numPr>
          <w:ilvl w:val="0"/>
          <w:numId w:val="1"/>
        </w:numPr>
        <w:spacing w:after="0" w:line="240" w:lineRule="auto"/>
        <w:rPr>
          <w:rFonts w:ascii="Times New Roman" w:hAnsi="Times New Roman" w:cs="Times New Roman"/>
        </w:rPr>
      </w:pPr>
      <w:r w:rsidRPr="00CF0C3C">
        <w:rPr>
          <w:rFonts w:ascii="Times New Roman" w:hAnsi="Times New Roman" w:cs="Times New Roman"/>
        </w:rPr>
        <w:lastRenderedPageBreak/>
        <w:t xml:space="preserve">Column 2: Temperature coefficient from the </w:t>
      </w:r>
      <w:proofErr w:type="spellStart"/>
      <w:r w:rsidRPr="00CF0C3C">
        <w:rPr>
          <w:rFonts w:ascii="Times New Roman" w:hAnsi="Times New Roman" w:cs="Times New Roman"/>
          <w:i/>
          <w:iCs/>
        </w:rPr>
        <w:t>m_full</w:t>
      </w:r>
      <w:proofErr w:type="spellEnd"/>
      <w:r w:rsidRPr="00CF0C3C">
        <w:rPr>
          <w:rFonts w:ascii="Times New Roman" w:hAnsi="Times New Roman" w:cs="Times New Roman"/>
        </w:rPr>
        <w:t xml:space="preserve"> model</w:t>
      </w:r>
    </w:p>
    <w:p w14:paraId="23BCF086" w14:textId="77777777" w:rsidR="00CF0C3C" w:rsidRPr="00CF0C3C" w:rsidRDefault="00CF0C3C" w:rsidP="00CF0C3C">
      <w:pPr>
        <w:pStyle w:val="ListParagraph"/>
        <w:numPr>
          <w:ilvl w:val="0"/>
          <w:numId w:val="1"/>
        </w:numPr>
        <w:spacing w:after="0" w:line="240" w:lineRule="auto"/>
        <w:rPr>
          <w:rFonts w:ascii="Times New Roman" w:hAnsi="Times New Roman" w:cs="Times New Roman"/>
        </w:rPr>
      </w:pPr>
      <w:r w:rsidRPr="00CF0C3C">
        <w:rPr>
          <w:rFonts w:ascii="Times New Roman" w:hAnsi="Times New Roman" w:cs="Times New Roman"/>
        </w:rPr>
        <w:t>Columns 3–7: Standard error and 50% and 95% confidence intervals for the temperature coefficient</w:t>
      </w:r>
    </w:p>
    <w:p w14:paraId="2263FA41" w14:textId="77777777" w:rsidR="00CF0C3C" w:rsidRPr="00CF0C3C" w:rsidRDefault="00CF0C3C" w:rsidP="00CF0C3C">
      <w:pPr>
        <w:pStyle w:val="ListParagraph"/>
        <w:numPr>
          <w:ilvl w:val="0"/>
          <w:numId w:val="1"/>
        </w:numPr>
        <w:spacing w:after="0" w:line="240" w:lineRule="auto"/>
        <w:rPr>
          <w:rFonts w:ascii="Times New Roman" w:hAnsi="Times New Roman" w:cs="Times New Roman"/>
        </w:rPr>
      </w:pPr>
      <w:r w:rsidRPr="00CF0C3C">
        <w:rPr>
          <w:rFonts w:ascii="Times New Roman" w:hAnsi="Times New Roman" w:cs="Times New Roman"/>
        </w:rPr>
        <w:t>Column 8: pathway name</w:t>
      </w:r>
    </w:p>
    <w:p w14:paraId="70846494" w14:textId="77777777" w:rsidR="00CF0C3C" w:rsidRPr="00CF0C3C" w:rsidRDefault="00CF0C3C" w:rsidP="00CF0C3C">
      <w:pPr>
        <w:pStyle w:val="ListParagraph"/>
        <w:numPr>
          <w:ilvl w:val="0"/>
          <w:numId w:val="1"/>
        </w:numPr>
        <w:spacing w:after="0" w:line="240" w:lineRule="auto"/>
        <w:rPr>
          <w:rFonts w:ascii="Times New Roman" w:hAnsi="Times New Roman" w:cs="Times New Roman"/>
        </w:rPr>
      </w:pPr>
      <w:r w:rsidRPr="00CF0C3C">
        <w:rPr>
          <w:rFonts w:ascii="Times New Roman" w:hAnsi="Times New Roman" w:cs="Times New Roman"/>
        </w:rPr>
        <w:t xml:space="preserve">Column 9: Model weight for the </w:t>
      </w:r>
      <w:proofErr w:type="spellStart"/>
      <w:r w:rsidRPr="00CF0C3C">
        <w:rPr>
          <w:rFonts w:ascii="Times New Roman" w:hAnsi="Times New Roman" w:cs="Times New Roman"/>
        </w:rPr>
        <w:t>m_full</w:t>
      </w:r>
      <w:proofErr w:type="spellEnd"/>
      <w:r w:rsidRPr="00CF0C3C">
        <w:rPr>
          <w:rFonts w:ascii="Times New Roman" w:hAnsi="Times New Roman" w:cs="Times New Roman"/>
        </w:rPr>
        <w:t xml:space="preserve"> model</w:t>
      </w:r>
    </w:p>
    <w:p w14:paraId="22138139" w14:textId="77777777" w:rsidR="00CF0C3C" w:rsidRPr="00CF0C3C" w:rsidRDefault="00CF0C3C" w:rsidP="00CF0C3C">
      <w:pPr>
        <w:pStyle w:val="ListParagraph"/>
        <w:numPr>
          <w:ilvl w:val="0"/>
          <w:numId w:val="1"/>
        </w:numPr>
        <w:spacing w:after="0" w:line="240" w:lineRule="auto"/>
        <w:rPr>
          <w:rFonts w:ascii="Times New Roman" w:hAnsi="Times New Roman" w:cs="Times New Roman"/>
        </w:rPr>
      </w:pPr>
      <w:r w:rsidRPr="00CF0C3C">
        <w:rPr>
          <w:rFonts w:ascii="Times New Roman" w:hAnsi="Times New Roman" w:cs="Times New Roman"/>
        </w:rPr>
        <w:t>Column 10: Direction of the temperature coefficient (positive or negative)</w:t>
      </w:r>
    </w:p>
    <w:p w14:paraId="61511A22" w14:textId="77777777" w:rsidR="00CF0C3C" w:rsidRPr="00CF0C3C" w:rsidRDefault="00CF0C3C" w:rsidP="00CF0C3C">
      <w:pPr>
        <w:pStyle w:val="ListParagraph"/>
        <w:numPr>
          <w:ilvl w:val="0"/>
          <w:numId w:val="1"/>
        </w:numPr>
        <w:spacing w:after="0" w:line="240" w:lineRule="auto"/>
        <w:rPr>
          <w:rFonts w:ascii="Times New Roman" w:hAnsi="Times New Roman" w:cs="Times New Roman"/>
        </w:rPr>
      </w:pPr>
      <w:r w:rsidRPr="00CF0C3C">
        <w:rPr>
          <w:rFonts w:ascii="Times New Roman" w:hAnsi="Times New Roman" w:cs="Times New Roman"/>
        </w:rPr>
        <w:t>Column 12: Classification of the pathway as temperature-sensitive (model weight &gt; 0.5) or neutral (model weight ≤ 0.5)</w:t>
      </w:r>
    </w:p>
    <w:p w14:paraId="7F646D8E" w14:textId="77777777" w:rsidR="00CF0C3C" w:rsidRPr="00CF0C3C" w:rsidRDefault="00CF0C3C" w:rsidP="00CF0C3C">
      <w:pPr>
        <w:pStyle w:val="ListParagraph"/>
        <w:numPr>
          <w:ilvl w:val="0"/>
          <w:numId w:val="1"/>
        </w:numPr>
        <w:spacing w:after="0" w:line="240" w:lineRule="auto"/>
        <w:rPr>
          <w:rFonts w:ascii="Times New Roman" w:hAnsi="Times New Roman" w:cs="Times New Roman"/>
        </w:rPr>
      </w:pPr>
      <w:r w:rsidRPr="00CF0C3C">
        <w:rPr>
          <w:rFonts w:ascii="Times New Roman" w:hAnsi="Times New Roman" w:cs="Times New Roman"/>
        </w:rPr>
        <w:t>Columns 13-14: Functional category assignments for each pathway, or an indication if the pathway was not assigned to any functional category.</w:t>
      </w:r>
    </w:p>
    <w:p w14:paraId="42D062DD" w14:textId="77777777" w:rsidR="00CF0C3C" w:rsidRDefault="00CF0C3C" w:rsidP="00CF0C3C">
      <w:pPr>
        <w:rPr>
          <w:sz w:val="32"/>
          <w:szCs w:val="32"/>
        </w:rPr>
      </w:pPr>
    </w:p>
    <w:p w14:paraId="1D1DE134" w14:textId="77777777" w:rsidR="00CF0C3C" w:rsidRDefault="00CF0C3C" w:rsidP="00CF0C3C">
      <w:pPr>
        <w:rPr>
          <w:sz w:val="32"/>
          <w:szCs w:val="32"/>
        </w:rPr>
      </w:pPr>
    </w:p>
    <w:p w14:paraId="496E38D1" w14:textId="77777777" w:rsidR="00CF0C3C" w:rsidRDefault="00CF0C3C" w:rsidP="00CF0C3C">
      <w:pPr>
        <w:rPr>
          <w:sz w:val="32"/>
          <w:szCs w:val="32"/>
        </w:rPr>
      </w:pPr>
    </w:p>
    <w:p w14:paraId="57DB837A" w14:textId="77777777" w:rsidR="00CF0C3C" w:rsidRDefault="00CF0C3C" w:rsidP="00CF0C3C">
      <w:pPr>
        <w:rPr>
          <w:sz w:val="32"/>
          <w:szCs w:val="32"/>
        </w:rPr>
      </w:pPr>
    </w:p>
    <w:p w14:paraId="5E6D9552" w14:textId="77777777" w:rsidR="00CF0C3C" w:rsidRDefault="00CF0C3C" w:rsidP="00CF0C3C">
      <w:pPr>
        <w:rPr>
          <w:sz w:val="32"/>
          <w:szCs w:val="32"/>
        </w:rPr>
      </w:pPr>
    </w:p>
    <w:p w14:paraId="307F72C1" w14:textId="1B4FC60D" w:rsidR="00CF0C3C" w:rsidRDefault="00CF0C3C" w:rsidP="00CF0C3C">
      <w:pPr>
        <w:rPr>
          <w:sz w:val="32"/>
          <w:szCs w:val="32"/>
        </w:rPr>
      </w:pPr>
      <w:r>
        <w:rPr>
          <w:noProof/>
          <w14:ligatures w14:val="standardContextual"/>
        </w:rPr>
        <w:drawing>
          <wp:anchor distT="0" distB="0" distL="114300" distR="114300" simplePos="0" relativeHeight="251666432" behindDoc="0" locked="0" layoutInCell="1" allowOverlap="1" wp14:anchorId="616148A7" wp14:editId="6C2D20DB">
            <wp:simplePos x="0" y="0"/>
            <wp:positionH relativeFrom="column">
              <wp:posOffset>0</wp:posOffset>
            </wp:positionH>
            <wp:positionV relativeFrom="paragraph">
              <wp:posOffset>233680</wp:posOffset>
            </wp:positionV>
            <wp:extent cx="5943600" cy="3962400"/>
            <wp:effectExtent l="0" t="0" r="0" b="0"/>
            <wp:wrapTopAndBottom/>
            <wp:docPr id="13170603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60316" name="Picture 1317060316"/>
                    <pic:cNvPicPr/>
                  </pic:nvPicPr>
                  <pic:blipFill>
                    <a:blip r:embed="rId13"/>
                    <a:stretch>
                      <a:fillRect/>
                    </a:stretch>
                  </pic:blipFill>
                  <pic:spPr>
                    <a:xfrm>
                      <a:off x="0" y="0"/>
                      <a:ext cx="5943600" cy="3962400"/>
                    </a:xfrm>
                    <a:prstGeom prst="rect">
                      <a:avLst/>
                    </a:prstGeom>
                  </pic:spPr>
                </pic:pic>
              </a:graphicData>
            </a:graphic>
            <wp14:sizeRelH relativeFrom="page">
              <wp14:pctWidth>0</wp14:pctWidth>
            </wp14:sizeRelH>
            <wp14:sizeRelV relativeFrom="page">
              <wp14:pctHeight>0</wp14:pctHeight>
            </wp14:sizeRelV>
          </wp:anchor>
        </w:drawing>
      </w:r>
    </w:p>
    <w:p w14:paraId="393293C5" w14:textId="77777777" w:rsidR="00CF0C3C" w:rsidRDefault="00CF0C3C" w:rsidP="00F6612C"/>
    <w:p w14:paraId="2D065843" w14:textId="77777777" w:rsidR="00CF0C3C" w:rsidRDefault="00CF0C3C" w:rsidP="00CF0C3C">
      <w:r w:rsidRPr="00F86AC3">
        <w:rPr>
          <w:b/>
          <w:bCs/>
        </w:rPr>
        <w:t xml:space="preserve">Figure </w:t>
      </w:r>
      <w:r>
        <w:rPr>
          <w:b/>
          <w:bCs/>
        </w:rPr>
        <w:t>3S</w:t>
      </w:r>
      <w:r w:rsidRPr="00F86AC3">
        <w:rPr>
          <w:b/>
          <w:bCs/>
        </w:rPr>
        <w:t>:</w:t>
      </w:r>
      <w:r>
        <w:rPr>
          <w:b/>
          <w:bCs/>
        </w:rPr>
        <w:t xml:space="preserve"> </w:t>
      </w:r>
      <w:r>
        <w:t xml:space="preserve">Model comparison results assessing whether adding an interaction between temperature and neopterin to the temperature model (model with base predictors plus temperature) improves the explanation of community-level taxonomic and metabolic diversity. Panels </w:t>
      </w:r>
      <w:r w:rsidRPr="00F86AC3">
        <w:rPr>
          <w:b/>
          <w:bCs/>
        </w:rPr>
        <w:t>A</w:t>
      </w:r>
      <w:r>
        <w:t xml:space="preserve"> and </w:t>
      </w:r>
      <w:r w:rsidRPr="00F86AC3">
        <w:rPr>
          <w:b/>
          <w:bCs/>
        </w:rPr>
        <w:t>C</w:t>
      </w:r>
      <w:r>
        <w:t xml:space="preserve"> show the coefficients of the interaction effect for community diversity metrics </w:t>
      </w:r>
      <w:r>
        <w:lastRenderedPageBreak/>
        <w:t xml:space="preserve">including </w:t>
      </w:r>
      <w:r w:rsidRPr="009B4C2B">
        <w:t xml:space="preserve">beta diversity (measured by principal </w:t>
      </w:r>
      <w:r>
        <w:t>components</w:t>
      </w:r>
      <w:r w:rsidRPr="009B4C2B">
        <w:t xml:space="preserve"> 1-</w:t>
      </w:r>
      <w:r>
        <w:t>3</w:t>
      </w:r>
      <w:r w:rsidRPr="009B4C2B">
        <w:t>) and alpha diversity (measured by the Shannon Index and the observed number of ASVs</w:t>
      </w:r>
      <w:r>
        <w:t xml:space="preserve"> or metabolic pathways</w:t>
      </w:r>
      <w:r w:rsidRPr="009B4C2B">
        <w:t>).</w:t>
      </w:r>
      <w:r>
        <w:t xml:space="preserve"> </w:t>
      </w:r>
      <w:r w:rsidRPr="009B4C2B">
        <w:t>The</w:t>
      </w:r>
      <w:r>
        <w:t xml:space="preserve"> thick</w:t>
      </w:r>
      <w:r w:rsidRPr="009B4C2B">
        <w:t xml:space="preserve"> bars represent 50% confidence intervals (CI), while the thin bars represent 95% CI.</w:t>
      </w:r>
      <w:r>
        <w:t xml:space="preserve"> Panels </w:t>
      </w:r>
      <w:r w:rsidRPr="00F86AC3">
        <w:rPr>
          <w:b/>
          <w:bCs/>
        </w:rPr>
        <w:t>B</w:t>
      </w:r>
      <w:r>
        <w:t xml:space="preserve"> and </w:t>
      </w:r>
      <w:r w:rsidRPr="00F86AC3">
        <w:rPr>
          <w:b/>
          <w:bCs/>
        </w:rPr>
        <w:t>D</w:t>
      </w:r>
      <w:r>
        <w:t xml:space="preserve"> compare the model weights of the temperature model (in green) to the interaction model (in yellow). The weights of the temperature model plus the interaction model equal 100%. The top panels </w:t>
      </w:r>
      <w:r w:rsidRPr="00F86AC3">
        <w:rPr>
          <w:b/>
          <w:bCs/>
        </w:rPr>
        <w:t>A</w:t>
      </w:r>
      <w:r>
        <w:t xml:space="preserve"> and </w:t>
      </w:r>
      <w:r w:rsidRPr="00F86AC3">
        <w:rPr>
          <w:b/>
          <w:bCs/>
        </w:rPr>
        <w:t>B</w:t>
      </w:r>
      <w:r>
        <w:t xml:space="preserve"> show the results for community-level taxonomic diversity while the bottom panels </w:t>
      </w:r>
      <w:r w:rsidRPr="00F86AC3">
        <w:rPr>
          <w:b/>
          <w:bCs/>
        </w:rPr>
        <w:t>C</w:t>
      </w:r>
      <w:r>
        <w:t xml:space="preserve"> and </w:t>
      </w:r>
      <w:r w:rsidRPr="00F86AC3">
        <w:rPr>
          <w:b/>
          <w:bCs/>
        </w:rPr>
        <w:t>D</w:t>
      </w:r>
      <w:r>
        <w:t xml:space="preserve"> show the results for metabolic pathway diversity. Results show that the relationship between temperature and beta diversity is associated with neopterin concentration for both taxonomic and metabolic community composition, but the relationship between alpha diversity and temperature is independent of neopterin concentration.</w:t>
      </w:r>
    </w:p>
    <w:p w14:paraId="2DAF6E49" w14:textId="77777777" w:rsidR="00CF0C3C" w:rsidRDefault="00CF0C3C" w:rsidP="00F6612C"/>
    <w:p w14:paraId="0C65E144" w14:textId="77777777" w:rsidR="00CF0C3C" w:rsidRDefault="00CF0C3C" w:rsidP="00CF0C3C">
      <w:r w:rsidRPr="00CF0C3C">
        <w:rPr>
          <w:b/>
          <w:bCs/>
        </w:rPr>
        <w:t>Table 3S:</w:t>
      </w:r>
      <w:r>
        <w:t xml:space="preserve"> Excel file containing the results of the second comparative modeling approach containing 20 taxa whose relationship with temperature is associated with neopterin. The analysis compares a baseline model, </w:t>
      </w:r>
      <w:proofErr w:type="spellStart"/>
      <w:r>
        <w:t>m_immune_main</w:t>
      </w:r>
      <w:proofErr w:type="spellEnd"/>
      <w:r>
        <w:t xml:space="preserve">, which includes predictors for social group, age, sex, rainfall, and fruit consumption, and temperature to a full model, </w:t>
      </w:r>
      <w:proofErr w:type="spellStart"/>
      <w:r>
        <w:t>m_immune_full</w:t>
      </w:r>
      <w:proofErr w:type="spellEnd"/>
      <w:r>
        <w:t xml:space="preserve">, that includes all the same predictors plus an interaction effect between neopterin and temperature. The column contents are as follows: </w:t>
      </w:r>
    </w:p>
    <w:p w14:paraId="3E8A974D" w14:textId="77777777" w:rsidR="00CF0C3C" w:rsidRPr="00CF0C3C" w:rsidRDefault="00CF0C3C" w:rsidP="00CF0C3C">
      <w:pPr>
        <w:pStyle w:val="ListParagraph"/>
        <w:numPr>
          <w:ilvl w:val="0"/>
          <w:numId w:val="2"/>
        </w:numPr>
        <w:rPr>
          <w:rFonts w:ascii="Times New Roman" w:hAnsi="Times New Roman" w:cs="Times New Roman"/>
        </w:rPr>
      </w:pPr>
      <w:r w:rsidRPr="00CF0C3C">
        <w:rPr>
          <w:rFonts w:ascii="Times New Roman" w:hAnsi="Times New Roman" w:cs="Times New Roman"/>
        </w:rPr>
        <w:t>Column 1: Taxon name</w:t>
      </w:r>
    </w:p>
    <w:p w14:paraId="61FB5976" w14:textId="77777777" w:rsidR="00CF0C3C" w:rsidRPr="00CF0C3C" w:rsidRDefault="00CF0C3C" w:rsidP="00CF0C3C">
      <w:pPr>
        <w:pStyle w:val="ListParagraph"/>
        <w:numPr>
          <w:ilvl w:val="0"/>
          <w:numId w:val="2"/>
        </w:numPr>
        <w:rPr>
          <w:rFonts w:ascii="Times New Roman" w:hAnsi="Times New Roman" w:cs="Times New Roman"/>
        </w:rPr>
      </w:pPr>
      <w:r w:rsidRPr="00CF0C3C">
        <w:rPr>
          <w:rFonts w:ascii="Times New Roman" w:hAnsi="Times New Roman" w:cs="Times New Roman"/>
        </w:rPr>
        <w:t xml:space="preserve">Column 2: Temperature*neopterin coefficient from the </w:t>
      </w:r>
      <w:proofErr w:type="spellStart"/>
      <w:r w:rsidRPr="00CF0C3C">
        <w:rPr>
          <w:rFonts w:ascii="Times New Roman" w:hAnsi="Times New Roman" w:cs="Times New Roman"/>
        </w:rPr>
        <w:t>m_immune_full</w:t>
      </w:r>
      <w:proofErr w:type="spellEnd"/>
      <w:r w:rsidRPr="00CF0C3C">
        <w:rPr>
          <w:rFonts w:ascii="Times New Roman" w:hAnsi="Times New Roman" w:cs="Times New Roman"/>
        </w:rPr>
        <w:t xml:space="preserve"> model</w:t>
      </w:r>
    </w:p>
    <w:p w14:paraId="7909ED66" w14:textId="77777777" w:rsidR="00CF0C3C" w:rsidRPr="00CF0C3C" w:rsidRDefault="00CF0C3C" w:rsidP="00CF0C3C">
      <w:pPr>
        <w:pStyle w:val="ListParagraph"/>
        <w:numPr>
          <w:ilvl w:val="0"/>
          <w:numId w:val="2"/>
        </w:numPr>
        <w:rPr>
          <w:rFonts w:ascii="Times New Roman" w:hAnsi="Times New Roman" w:cs="Times New Roman"/>
        </w:rPr>
      </w:pPr>
      <w:r w:rsidRPr="00CF0C3C">
        <w:rPr>
          <w:rFonts w:ascii="Times New Roman" w:hAnsi="Times New Roman" w:cs="Times New Roman"/>
        </w:rPr>
        <w:t>Columns 3-7: Standard error and 50% and 95% confidence intervals for the interaction coefficient</w:t>
      </w:r>
    </w:p>
    <w:p w14:paraId="43DB8E2C" w14:textId="77777777" w:rsidR="00CF0C3C" w:rsidRPr="00CF0C3C" w:rsidRDefault="00CF0C3C" w:rsidP="00CF0C3C">
      <w:pPr>
        <w:pStyle w:val="ListParagraph"/>
        <w:numPr>
          <w:ilvl w:val="0"/>
          <w:numId w:val="2"/>
        </w:numPr>
        <w:rPr>
          <w:rFonts w:ascii="Times New Roman" w:hAnsi="Times New Roman" w:cs="Times New Roman"/>
        </w:rPr>
      </w:pPr>
      <w:r w:rsidRPr="00CF0C3C">
        <w:rPr>
          <w:rFonts w:ascii="Times New Roman" w:hAnsi="Times New Roman" w:cs="Times New Roman"/>
        </w:rPr>
        <w:t>Columns 8-9: Taxonomic classification</w:t>
      </w:r>
    </w:p>
    <w:p w14:paraId="4EAA70BC" w14:textId="77777777" w:rsidR="00CF0C3C" w:rsidRPr="00CF0C3C" w:rsidRDefault="00CF0C3C" w:rsidP="00CF0C3C">
      <w:pPr>
        <w:pStyle w:val="ListParagraph"/>
        <w:numPr>
          <w:ilvl w:val="0"/>
          <w:numId w:val="2"/>
        </w:numPr>
        <w:rPr>
          <w:rFonts w:ascii="Times New Roman" w:hAnsi="Times New Roman" w:cs="Times New Roman"/>
        </w:rPr>
      </w:pPr>
      <w:r w:rsidRPr="00CF0C3C">
        <w:rPr>
          <w:rFonts w:ascii="Times New Roman" w:hAnsi="Times New Roman" w:cs="Times New Roman"/>
        </w:rPr>
        <w:t xml:space="preserve">Column 10: Model weight for the </w:t>
      </w:r>
      <w:proofErr w:type="spellStart"/>
      <w:r w:rsidRPr="00CF0C3C">
        <w:rPr>
          <w:rFonts w:ascii="Times New Roman" w:hAnsi="Times New Roman" w:cs="Times New Roman"/>
        </w:rPr>
        <w:t>m_immune_full</w:t>
      </w:r>
      <w:proofErr w:type="spellEnd"/>
      <w:r w:rsidRPr="00CF0C3C">
        <w:rPr>
          <w:rFonts w:ascii="Times New Roman" w:hAnsi="Times New Roman" w:cs="Times New Roman"/>
        </w:rPr>
        <w:t xml:space="preserve"> model</w:t>
      </w:r>
    </w:p>
    <w:p w14:paraId="7AF3D3EB" w14:textId="725554FD" w:rsidR="00CF0C3C" w:rsidRPr="00CF0C3C" w:rsidRDefault="00CF0C3C" w:rsidP="00CF0C3C">
      <w:pPr>
        <w:pStyle w:val="ListParagraph"/>
        <w:numPr>
          <w:ilvl w:val="0"/>
          <w:numId w:val="2"/>
        </w:numPr>
        <w:rPr>
          <w:rFonts w:ascii="Times New Roman" w:hAnsi="Times New Roman" w:cs="Times New Roman"/>
        </w:rPr>
      </w:pPr>
      <w:r w:rsidRPr="00CF0C3C">
        <w:rPr>
          <w:rFonts w:ascii="Times New Roman" w:hAnsi="Times New Roman" w:cs="Times New Roman"/>
        </w:rPr>
        <w:t>Column 11: Category of the interaction effect, whether the relationship between temperature and abundance becomes more negative (i.e. i.e., the slopes decrease) at higher neopterin concentrations or the relationship between temperature and abundance becomes more positive (i.e. i.e., the slopes increase) at higher neopterin concentrations</w:t>
      </w:r>
    </w:p>
    <w:p w14:paraId="7715E730" w14:textId="77777777" w:rsidR="00CF0C3C" w:rsidRDefault="00CF0C3C" w:rsidP="00CF0C3C"/>
    <w:p w14:paraId="3687DF26" w14:textId="77777777" w:rsidR="00CF0C3C" w:rsidRDefault="00CF0C3C" w:rsidP="00CF0C3C">
      <w:r w:rsidRPr="00CF0C3C">
        <w:rPr>
          <w:b/>
          <w:bCs/>
        </w:rPr>
        <w:t>Table 4S:</w:t>
      </w:r>
      <w:r>
        <w:t xml:space="preserve"> Excel file containing the results of the second comparative modeling approach containing 65 metabolic pathways whose relationship with temperature is associated with neopterin. The analysis compares a baseline model, </w:t>
      </w:r>
      <w:proofErr w:type="spellStart"/>
      <w:r>
        <w:t>m_immune_main</w:t>
      </w:r>
      <w:proofErr w:type="spellEnd"/>
      <w:r>
        <w:t xml:space="preserve">, which includes predictors for social group, age, sex, rainfall, and fruit consumption, and temperature to a full model, </w:t>
      </w:r>
      <w:proofErr w:type="spellStart"/>
      <w:r>
        <w:t>m_immune_full</w:t>
      </w:r>
      <w:proofErr w:type="spellEnd"/>
      <w:r>
        <w:t xml:space="preserve">, that includes all the same predictors plus an interaction effect between neopterin and temperature. The column contents are as follows: </w:t>
      </w:r>
    </w:p>
    <w:p w14:paraId="1C7ED5BD" w14:textId="77777777" w:rsidR="00CF0C3C" w:rsidRPr="00CF0C3C" w:rsidRDefault="00CF0C3C" w:rsidP="00CF0C3C">
      <w:pPr>
        <w:pStyle w:val="ListParagraph"/>
        <w:numPr>
          <w:ilvl w:val="0"/>
          <w:numId w:val="3"/>
        </w:numPr>
        <w:rPr>
          <w:rFonts w:ascii="Times New Roman" w:hAnsi="Times New Roman" w:cs="Times New Roman"/>
        </w:rPr>
      </w:pPr>
      <w:r w:rsidRPr="00CF0C3C">
        <w:rPr>
          <w:rFonts w:ascii="Times New Roman" w:hAnsi="Times New Roman" w:cs="Times New Roman"/>
        </w:rPr>
        <w:t xml:space="preserve">Column 1: pathway </w:t>
      </w:r>
      <w:proofErr w:type="spellStart"/>
      <w:r w:rsidRPr="00CF0C3C">
        <w:rPr>
          <w:rFonts w:ascii="Times New Roman" w:hAnsi="Times New Roman" w:cs="Times New Roman"/>
        </w:rPr>
        <w:t>Metacyc</w:t>
      </w:r>
      <w:proofErr w:type="spellEnd"/>
      <w:r w:rsidRPr="00CF0C3C">
        <w:rPr>
          <w:rFonts w:ascii="Times New Roman" w:hAnsi="Times New Roman" w:cs="Times New Roman"/>
        </w:rPr>
        <w:t xml:space="preserve"> ID</w:t>
      </w:r>
    </w:p>
    <w:p w14:paraId="0FA16DAC" w14:textId="77777777" w:rsidR="00CF0C3C" w:rsidRPr="00CF0C3C" w:rsidRDefault="00CF0C3C" w:rsidP="00CF0C3C">
      <w:pPr>
        <w:pStyle w:val="ListParagraph"/>
        <w:numPr>
          <w:ilvl w:val="0"/>
          <w:numId w:val="3"/>
        </w:numPr>
        <w:rPr>
          <w:rFonts w:ascii="Times New Roman" w:hAnsi="Times New Roman" w:cs="Times New Roman"/>
        </w:rPr>
      </w:pPr>
      <w:r w:rsidRPr="00CF0C3C">
        <w:rPr>
          <w:rFonts w:ascii="Times New Roman" w:hAnsi="Times New Roman" w:cs="Times New Roman"/>
        </w:rPr>
        <w:t xml:space="preserve">Column 2: Temperature*neopterin coefficient from the </w:t>
      </w:r>
      <w:proofErr w:type="spellStart"/>
      <w:r w:rsidRPr="00CF0C3C">
        <w:rPr>
          <w:rFonts w:ascii="Times New Roman" w:hAnsi="Times New Roman" w:cs="Times New Roman"/>
        </w:rPr>
        <w:t>m_immune_full</w:t>
      </w:r>
      <w:proofErr w:type="spellEnd"/>
      <w:r w:rsidRPr="00CF0C3C">
        <w:rPr>
          <w:rFonts w:ascii="Times New Roman" w:hAnsi="Times New Roman" w:cs="Times New Roman"/>
        </w:rPr>
        <w:t xml:space="preserve"> model</w:t>
      </w:r>
    </w:p>
    <w:p w14:paraId="5A141B1A" w14:textId="77777777" w:rsidR="00CF0C3C" w:rsidRPr="00CF0C3C" w:rsidRDefault="00CF0C3C" w:rsidP="00CF0C3C">
      <w:pPr>
        <w:pStyle w:val="ListParagraph"/>
        <w:numPr>
          <w:ilvl w:val="0"/>
          <w:numId w:val="3"/>
        </w:numPr>
        <w:rPr>
          <w:rFonts w:ascii="Times New Roman" w:hAnsi="Times New Roman" w:cs="Times New Roman"/>
        </w:rPr>
      </w:pPr>
      <w:r w:rsidRPr="00CF0C3C">
        <w:rPr>
          <w:rFonts w:ascii="Times New Roman" w:hAnsi="Times New Roman" w:cs="Times New Roman"/>
        </w:rPr>
        <w:t>Columns 3-7: Standard error and 50% and 95% confidence intervals for the interaction coefficient</w:t>
      </w:r>
    </w:p>
    <w:p w14:paraId="33359EFE" w14:textId="77777777" w:rsidR="00CF0C3C" w:rsidRPr="00CF0C3C" w:rsidRDefault="00CF0C3C" w:rsidP="00CF0C3C">
      <w:pPr>
        <w:pStyle w:val="ListParagraph"/>
        <w:numPr>
          <w:ilvl w:val="0"/>
          <w:numId w:val="3"/>
        </w:numPr>
        <w:rPr>
          <w:rFonts w:ascii="Times New Roman" w:hAnsi="Times New Roman" w:cs="Times New Roman"/>
        </w:rPr>
      </w:pPr>
      <w:r w:rsidRPr="00CF0C3C">
        <w:rPr>
          <w:rFonts w:ascii="Times New Roman" w:hAnsi="Times New Roman" w:cs="Times New Roman"/>
        </w:rPr>
        <w:t>Columns 8: Pathway name</w:t>
      </w:r>
    </w:p>
    <w:p w14:paraId="18ED3825" w14:textId="77777777" w:rsidR="00CF0C3C" w:rsidRPr="00CF0C3C" w:rsidRDefault="00CF0C3C" w:rsidP="00CF0C3C">
      <w:pPr>
        <w:pStyle w:val="ListParagraph"/>
        <w:numPr>
          <w:ilvl w:val="0"/>
          <w:numId w:val="3"/>
        </w:numPr>
        <w:rPr>
          <w:rFonts w:ascii="Times New Roman" w:hAnsi="Times New Roman" w:cs="Times New Roman"/>
        </w:rPr>
      </w:pPr>
      <w:r w:rsidRPr="00CF0C3C">
        <w:rPr>
          <w:rFonts w:ascii="Times New Roman" w:hAnsi="Times New Roman" w:cs="Times New Roman"/>
        </w:rPr>
        <w:t xml:space="preserve">Column 9: Model weight for the </w:t>
      </w:r>
      <w:proofErr w:type="spellStart"/>
      <w:r w:rsidRPr="00CF0C3C">
        <w:rPr>
          <w:rFonts w:ascii="Times New Roman" w:hAnsi="Times New Roman" w:cs="Times New Roman"/>
        </w:rPr>
        <w:t>m_immune_full</w:t>
      </w:r>
      <w:proofErr w:type="spellEnd"/>
      <w:r w:rsidRPr="00CF0C3C">
        <w:rPr>
          <w:rFonts w:ascii="Times New Roman" w:hAnsi="Times New Roman" w:cs="Times New Roman"/>
        </w:rPr>
        <w:t xml:space="preserve"> model</w:t>
      </w:r>
    </w:p>
    <w:p w14:paraId="643B7DEE" w14:textId="453EE53D" w:rsidR="00CF0C3C" w:rsidRPr="00CF0C3C" w:rsidRDefault="00CF0C3C" w:rsidP="00CF0C3C">
      <w:pPr>
        <w:pStyle w:val="ListParagraph"/>
        <w:numPr>
          <w:ilvl w:val="0"/>
          <w:numId w:val="3"/>
        </w:numPr>
        <w:rPr>
          <w:rFonts w:ascii="Times New Roman" w:hAnsi="Times New Roman" w:cs="Times New Roman"/>
        </w:rPr>
      </w:pPr>
      <w:r w:rsidRPr="00CF0C3C">
        <w:rPr>
          <w:rFonts w:ascii="Times New Roman" w:hAnsi="Times New Roman" w:cs="Times New Roman"/>
        </w:rPr>
        <w:t xml:space="preserve">Column 10: Category of the interaction effect, whether the relationship between temperature and abundance becomes more negative (i.e. i.e., the slopes decrease) at </w:t>
      </w:r>
      <w:r w:rsidRPr="00CF0C3C">
        <w:rPr>
          <w:rFonts w:ascii="Times New Roman" w:hAnsi="Times New Roman" w:cs="Times New Roman"/>
        </w:rPr>
        <w:lastRenderedPageBreak/>
        <w:t>higher neopterin concentrations or the relationship between temperature and abundance becomes more positive (i.e. i.e., the slopes increase) at higher neopterin concentrations</w:t>
      </w:r>
    </w:p>
    <w:p w14:paraId="6CDB16E7" w14:textId="77777777" w:rsidR="00CF0C3C" w:rsidRDefault="00CF0C3C" w:rsidP="00F6612C"/>
    <w:p w14:paraId="2D310D27" w14:textId="54ABAF5C" w:rsidR="00CF0C3C" w:rsidRDefault="00CF0C3C" w:rsidP="00F6612C">
      <w:r>
        <w:rPr>
          <w:noProof/>
          <w14:ligatures w14:val="standardContextual"/>
        </w:rPr>
        <w:drawing>
          <wp:anchor distT="0" distB="0" distL="114300" distR="114300" simplePos="0" relativeHeight="251668480" behindDoc="0" locked="0" layoutInCell="1" allowOverlap="1" wp14:anchorId="59733DE7" wp14:editId="351AACD2">
            <wp:simplePos x="0" y="0"/>
            <wp:positionH relativeFrom="column">
              <wp:posOffset>0</wp:posOffset>
            </wp:positionH>
            <wp:positionV relativeFrom="paragraph">
              <wp:posOffset>172085</wp:posOffset>
            </wp:positionV>
            <wp:extent cx="2922905" cy="2922905"/>
            <wp:effectExtent l="0" t="0" r="0" b="0"/>
            <wp:wrapTopAndBottom/>
            <wp:docPr id="10478523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52331" name="Picture 1047852331"/>
                    <pic:cNvPicPr/>
                  </pic:nvPicPr>
                  <pic:blipFill>
                    <a:blip r:embed="rId14"/>
                    <a:stretch>
                      <a:fillRect/>
                    </a:stretch>
                  </pic:blipFill>
                  <pic:spPr>
                    <a:xfrm>
                      <a:off x="0" y="0"/>
                      <a:ext cx="2922905" cy="2922905"/>
                    </a:xfrm>
                    <a:prstGeom prst="rect">
                      <a:avLst/>
                    </a:prstGeom>
                  </pic:spPr>
                </pic:pic>
              </a:graphicData>
            </a:graphic>
            <wp14:sizeRelH relativeFrom="page">
              <wp14:pctWidth>0</wp14:pctWidth>
            </wp14:sizeRelH>
            <wp14:sizeRelV relativeFrom="page">
              <wp14:pctHeight>0</wp14:pctHeight>
            </wp14:sizeRelV>
          </wp:anchor>
        </w:drawing>
      </w:r>
    </w:p>
    <w:p w14:paraId="1EB3DAF6" w14:textId="77777777" w:rsidR="00CF0C3C" w:rsidRPr="00CE235A" w:rsidRDefault="00CF0C3C" w:rsidP="00CF0C3C">
      <w:r w:rsidRPr="00B50231">
        <w:rPr>
          <w:b/>
          <w:bCs/>
        </w:rPr>
        <w:t>Fig</w:t>
      </w:r>
      <w:r>
        <w:rPr>
          <w:b/>
          <w:bCs/>
        </w:rPr>
        <w:t>ure</w:t>
      </w:r>
      <w:r w:rsidRPr="00B50231">
        <w:rPr>
          <w:b/>
          <w:bCs/>
        </w:rPr>
        <w:t xml:space="preserve"> </w:t>
      </w:r>
      <w:r>
        <w:rPr>
          <w:b/>
          <w:bCs/>
        </w:rPr>
        <w:t>5</w:t>
      </w:r>
      <w:r w:rsidRPr="00B50231">
        <w:rPr>
          <w:b/>
          <w:bCs/>
        </w:rPr>
        <w:t>S:</w:t>
      </w:r>
      <w:r>
        <w:t xml:space="preserve"> Scatter plot of the count of fruit feeding observations two weeks before sample collection and its relationship with temperature. </w:t>
      </w:r>
      <w:r w:rsidRPr="00B50231">
        <w:t xml:space="preserve">The plot demonstrates </w:t>
      </w:r>
      <w:r>
        <w:t xml:space="preserve">a clear positive relationship where fruit consumption increases with rising temperatures. </w:t>
      </w:r>
    </w:p>
    <w:p w14:paraId="195AC031" w14:textId="77777777" w:rsidR="00CF0C3C" w:rsidRDefault="00CF0C3C" w:rsidP="00F6612C"/>
    <w:p w14:paraId="2DCA7359" w14:textId="4AB7F885" w:rsidR="00CF0C3C" w:rsidRDefault="00CF0C3C" w:rsidP="00F6612C">
      <w:r>
        <w:rPr>
          <w:noProof/>
          <w14:ligatures w14:val="standardContextual"/>
        </w:rPr>
        <w:drawing>
          <wp:anchor distT="0" distB="0" distL="114300" distR="114300" simplePos="0" relativeHeight="251670528" behindDoc="0" locked="0" layoutInCell="1" allowOverlap="1" wp14:anchorId="0EC5E255" wp14:editId="58888C74">
            <wp:simplePos x="0" y="0"/>
            <wp:positionH relativeFrom="column">
              <wp:posOffset>0</wp:posOffset>
            </wp:positionH>
            <wp:positionV relativeFrom="paragraph">
              <wp:posOffset>171450</wp:posOffset>
            </wp:positionV>
            <wp:extent cx="3056890" cy="3056890"/>
            <wp:effectExtent l="0" t="0" r="0" b="3810"/>
            <wp:wrapTopAndBottom/>
            <wp:docPr id="12198174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17458" name="Picture 1219817458"/>
                    <pic:cNvPicPr/>
                  </pic:nvPicPr>
                  <pic:blipFill>
                    <a:blip r:embed="rId15"/>
                    <a:stretch>
                      <a:fillRect/>
                    </a:stretch>
                  </pic:blipFill>
                  <pic:spPr>
                    <a:xfrm>
                      <a:off x="0" y="0"/>
                      <a:ext cx="3056890" cy="3056890"/>
                    </a:xfrm>
                    <a:prstGeom prst="rect">
                      <a:avLst/>
                    </a:prstGeom>
                  </pic:spPr>
                </pic:pic>
              </a:graphicData>
            </a:graphic>
            <wp14:sizeRelH relativeFrom="page">
              <wp14:pctWidth>0</wp14:pctWidth>
            </wp14:sizeRelH>
            <wp14:sizeRelV relativeFrom="page">
              <wp14:pctHeight>0</wp14:pctHeight>
            </wp14:sizeRelV>
          </wp:anchor>
        </w:drawing>
      </w:r>
    </w:p>
    <w:p w14:paraId="12589C19" w14:textId="796B5C8B" w:rsidR="00CF0C3C" w:rsidRDefault="00CF0C3C" w:rsidP="00F6612C">
      <w:r>
        <w:rPr>
          <w:b/>
          <w:bCs/>
        </w:rPr>
        <w:lastRenderedPageBreak/>
        <w:t>F</w:t>
      </w:r>
      <w:r w:rsidRPr="00B50231">
        <w:rPr>
          <w:b/>
          <w:bCs/>
        </w:rPr>
        <w:t>ig</w:t>
      </w:r>
      <w:r>
        <w:rPr>
          <w:b/>
          <w:bCs/>
        </w:rPr>
        <w:t>ure</w:t>
      </w:r>
      <w:r w:rsidRPr="00B50231">
        <w:rPr>
          <w:b/>
          <w:bCs/>
        </w:rPr>
        <w:t xml:space="preserve"> </w:t>
      </w:r>
      <w:r>
        <w:rPr>
          <w:b/>
          <w:bCs/>
        </w:rPr>
        <w:t>6</w:t>
      </w:r>
      <w:r w:rsidRPr="00B50231">
        <w:rPr>
          <w:b/>
          <w:bCs/>
        </w:rPr>
        <w:t>S:</w:t>
      </w:r>
      <w:r>
        <w:t xml:space="preserve"> </w:t>
      </w:r>
      <w:r w:rsidRPr="00B50231">
        <w:t xml:space="preserve">Visualization of the eigenvalues </w:t>
      </w:r>
      <w:r>
        <w:t xml:space="preserve">of the taxonomic data </w:t>
      </w:r>
      <w:r w:rsidRPr="00B50231">
        <w:t xml:space="preserve">for each principal component in descending order. Principal components 1 through </w:t>
      </w:r>
      <w:r>
        <w:t xml:space="preserve">3 </w:t>
      </w:r>
      <w:r w:rsidRPr="00B50231">
        <w:t>were used for analysis</w:t>
      </w:r>
      <w:r>
        <w:t xml:space="preserve"> because they explain &gt;5% of the variation.</w:t>
      </w:r>
    </w:p>
    <w:p w14:paraId="19A63007" w14:textId="77777777" w:rsidR="00CF0C3C" w:rsidRDefault="00CF0C3C" w:rsidP="00F6612C"/>
    <w:p w14:paraId="1EC2BE21" w14:textId="77777777" w:rsidR="00CF0C3C" w:rsidRDefault="00CF0C3C" w:rsidP="00F6612C"/>
    <w:p w14:paraId="3F5238F8" w14:textId="77777777" w:rsidR="00CF0C3C" w:rsidRDefault="00CF0C3C" w:rsidP="00F6612C"/>
    <w:p w14:paraId="3C8D2548" w14:textId="645BB804" w:rsidR="009237D2" w:rsidRDefault="009237D2" w:rsidP="00F6612C">
      <w:r>
        <w:t xml:space="preserve">References: </w:t>
      </w:r>
    </w:p>
    <w:p w14:paraId="1B227A97" w14:textId="77777777" w:rsidR="00F6612C" w:rsidRDefault="00F6612C" w:rsidP="00D82060">
      <w:pPr>
        <w:ind w:firstLine="720"/>
      </w:pPr>
    </w:p>
    <w:p w14:paraId="03A4D939" w14:textId="77777777" w:rsidR="00FE18CB" w:rsidRPr="00FE18CB" w:rsidRDefault="00AF39EF" w:rsidP="00FE18CB">
      <w:pPr>
        <w:pStyle w:val="Bibliography"/>
      </w:pPr>
      <w:r>
        <w:fldChar w:fldCharType="begin"/>
      </w:r>
      <w:r w:rsidR="00DD12D1">
        <w:instrText xml:space="preserve"> ADDIN ZOTERO_BIBL {"uncited":[],"omitted":[],"custom":[]} CSL_BIBLIOGRAPHY </w:instrText>
      </w:r>
      <w:r>
        <w:fldChar w:fldCharType="separate"/>
      </w:r>
      <w:r w:rsidR="00FE18CB" w:rsidRPr="00FE18CB">
        <w:t xml:space="preserve">1. </w:t>
      </w:r>
      <w:r w:rsidR="00FE18CB" w:rsidRPr="00FE18CB">
        <w:tab/>
        <w:t xml:space="preserve">C. Bellard, C. </w:t>
      </w:r>
      <w:proofErr w:type="spellStart"/>
      <w:r w:rsidR="00FE18CB" w:rsidRPr="00FE18CB">
        <w:t>Bertelsmeier</w:t>
      </w:r>
      <w:proofErr w:type="spellEnd"/>
      <w:r w:rsidR="00FE18CB" w:rsidRPr="00FE18CB">
        <w:t xml:space="preserve">, P. Leadley, W. </w:t>
      </w:r>
      <w:proofErr w:type="spellStart"/>
      <w:r w:rsidR="00FE18CB" w:rsidRPr="00FE18CB">
        <w:t>Thuiller</w:t>
      </w:r>
      <w:proofErr w:type="spellEnd"/>
      <w:r w:rsidR="00FE18CB" w:rsidRPr="00FE18CB">
        <w:t xml:space="preserve">, F. </w:t>
      </w:r>
      <w:proofErr w:type="spellStart"/>
      <w:r w:rsidR="00FE18CB" w:rsidRPr="00FE18CB">
        <w:t>Courchamp</w:t>
      </w:r>
      <w:proofErr w:type="spellEnd"/>
      <w:r w:rsidR="00FE18CB" w:rsidRPr="00FE18CB">
        <w:t xml:space="preserve">, Impacts of climate change on the future of biodiversity. </w:t>
      </w:r>
      <w:r w:rsidR="00FE18CB" w:rsidRPr="00FE18CB">
        <w:rPr>
          <w:i/>
          <w:iCs/>
        </w:rPr>
        <w:t>Ecology Letters</w:t>
      </w:r>
      <w:r w:rsidR="00FE18CB" w:rsidRPr="00FE18CB">
        <w:t xml:space="preserve"> </w:t>
      </w:r>
      <w:r w:rsidR="00FE18CB" w:rsidRPr="00FE18CB">
        <w:rPr>
          <w:b/>
          <w:bCs/>
        </w:rPr>
        <w:t>15</w:t>
      </w:r>
      <w:r w:rsidR="00FE18CB" w:rsidRPr="00FE18CB">
        <w:t>, 365–377 (2012).</w:t>
      </w:r>
    </w:p>
    <w:p w14:paraId="662E0A6A" w14:textId="77777777" w:rsidR="00FE18CB" w:rsidRPr="00FE18CB" w:rsidRDefault="00FE18CB" w:rsidP="00FE18CB">
      <w:pPr>
        <w:pStyle w:val="Bibliography"/>
      </w:pPr>
      <w:r w:rsidRPr="00FE18CB">
        <w:t xml:space="preserve">2. </w:t>
      </w:r>
      <w:r w:rsidRPr="00FE18CB">
        <w:tab/>
        <w:t xml:space="preserve">J. M. Bennett, J. Sunday, P. </w:t>
      </w:r>
      <w:proofErr w:type="spellStart"/>
      <w:r w:rsidRPr="00FE18CB">
        <w:t>Calosi</w:t>
      </w:r>
      <w:proofErr w:type="spellEnd"/>
      <w:r w:rsidRPr="00FE18CB">
        <w:t xml:space="preserve">, F. Villalobos, B. Martínez, R. Molina-Venegas, M. B. Araújo, A. C. Algar, S. </w:t>
      </w:r>
      <w:proofErr w:type="spellStart"/>
      <w:r w:rsidRPr="00FE18CB">
        <w:t>Clusella-Trullas</w:t>
      </w:r>
      <w:proofErr w:type="spellEnd"/>
      <w:r w:rsidRPr="00FE18CB">
        <w:t>, B. A. Hawkins, S. A. Keith, I. Kühn, C. Rahbek, L. Rodríguez, A. Singer, I. Morales-Castilla, M. Á. Olalla-</w:t>
      </w:r>
      <w:proofErr w:type="spellStart"/>
      <w:r w:rsidRPr="00FE18CB">
        <w:t>Tárraga</w:t>
      </w:r>
      <w:proofErr w:type="spellEnd"/>
      <w:r w:rsidRPr="00FE18CB">
        <w:t xml:space="preserve">, The evolution of critical thermal limits of life on Earth. </w:t>
      </w:r>
      <w:r w:rsidRPr="00FE18CB">
        <w:rPr>
          <w:i/>
          <w:iCs/>
        </w:rPr>
        <w:t>Nat Commun</w:t>
      </w:r>
      <w:r w:rsidRPr="00FE18CB">
        <w:t xml:space="preserve"> </w:t>
      </w:r>
      <w:r w:rsidRPr="00FE18CB">
        <w:rPr>
          <w:b/>
          <w:bCs/>
        </w:rPr>
        <w:t>12</w:t>
      </w:r>
      <w:r w:rsidRPr="00FE18CB">
        <w:t>, 1198 (2021).</w:t>
      </w:r>
    </w:p>
    <w:p w14:paraId="0F5272E1" w14:textId="77777777" w:rsidR="00FE18CB" w:rsidRPr="00FE18CB" w:rsidRDefault="00FE18CB" w:rsidP="00FE18CB">
      <w:pPr>
        <w:pStyle w:val="Bibliography"/>
      </w:pPr>
      <w:r w:rsidRPr="00FE18CB">
        <w:t xml:space="preserve">3. </w:t>
      </w:r>
      <w:r w:rsidRPr="00FE18CB">
        <w:tab/>
        <w:t xml:space="preserve">W. W. Dowd, F. A. King, M. W. Denny, Thermal variation, thermal extremes and the physiological performance of individuals. </w:t>
      </w:r>
      <w:r w:rsidRPr="00FE18CB">
        <w:rPr>
          <w:i/>
          <w:iCs/>
        </w:rPr>
        <w:t>Journal of Experimental Biology</w:t>
      </w:r>
      <w:r w:rsidRPr="00FE18CB">
        <w:t xml:space="preserve"> </w:t>
      </w:r>
      <w:r w:rsidRPr="00FE18CB">
        <w:rPr>
          <w:b/>
          <w:bCs/>
        </w:rPr>
        <w:t>218</w:t>
      </w:r>
      <w:r w:rsidRPr="00FE18CB">
        <w:t>, 1956–1967 (2015).</w:t>
      </w:r>
    </w:p>
    <w:p w14:paraId="690DEA91" w14:textId="77777777" w:rsidR="00FE18CB" w:rsidRPr="00FE18CB" w:rsidRDefault="00FE18CB" w:rsidP="00FE18CB">
      <w:pPr>
        <w:pStyle w:val="Bibliography"/>
      </w:pPr>
      <w:r w:rsidRPr="00FE18CB">
        <w:t xml:space="preserve">4. </w:t>
      </w:r>
      <w:r w:rsidRPr="00FE18CB">
        <w:tab/>
        <w:t xml:space="preserve">H. O. </w:t>
      </w:r>
      <w:proofErr w:type="spellStart"/>
      <w:r w:rsidRPr="00FE18CB">
        <w:t>Pörtner</w:t>
      </w:r>
      <w:proofErr w:type="spellEnd"/>
      <w:r w:rsidRPr="00FE18CB">
        <w:t xml:space="preserve">, R. Knust, Climate Change Affects Marine Fishes Through the Oxygen Limitation of Thermal Tolerance. </w:t>
      </w:r>
      <w:r w:rsidRPr="00FE18CB">
        <w:rPr>
          <w:i/>
          <w:iCs/>
        </w:rPr>
        <w:t>Science</w:t>
      </w:r>
      <w:r w:rsidRPr="00FE18CB">
        <w:t xml:space="preserve"> </w:t>
      </w:r>
      <w:r w:rsidRPr="00FE18CB">
        <w:rPr>
          <w:b/>
          <w:bCs/>
        </w:rPr>
        <w:t>315</w:t>
      </w:r>
      <w:r w:rsidRPr="00FE18CB">
        <w:t>, 95–97 (2007).</w:t>
      </w:r>
    </w:p>
    <w:p w14:paraId="55ECABCB" w14:textId="77777777" w:rsidR="00FE18CB" w:rsidRPr="00FE18CB" w:rsidRDefault="00FE18CB" w:rsidP="00FE18CB">
      <w:pPr>
        <w:pStyle w:val="Bibliography"/>
      </w:pPr>
      <w:r w:rsidRPr="00FE18CB">
        <w:t xml:space="preserve">5. </w:t>
      </w:r>
      <w:r w:rsidRPr="00FE18CB">
        <w:tab/>
        <w:t xml:space="preserve">B. J. Sinclair, K. E. Marshall, M. A. Sewell, D. L. Levesque, C. S. Willett, S. Slotsbo, Y. Dong, C. D. G. Harley, D. J. Marshall, B. S. Helmuth, R. B. Huey, Can we predict ectotherm responses to climate change using thermal performance curves and body temperatures? </w:t>
      </w:r>
      <w:r w:rsidRPr="00FE18CB">
        <w:rPr>
          <w:i/>
          <w:iCs/>
        </w:rPr>
        <w:t>Ecology Letters</w:t>
      </w:r>
      <w:r w:rsidRPr="00FE18CB">
        <w:t xml:space="preserve"> </w:t>
      </w:r>
      <w:r w:rsidRPr="00FE18CB">
        <w:rPr>
          <w:b/>
          <w:bCs/>
        </w:rPr>
        <w:t>19</w:t>
      </w:r>
      <w:r w:rsidRPr="00FE18CB">
        <w:t>, 1372–1385 (2016).</w:t>
      </w:r>
    </w:p>
    <w:p w14:paraId="738772E5" w14:textId="77777777" w:rsidR="00FE18CB" w:rsidRPr="00FE18CB" w:rsidRDefault="00FE18CB" w:rsidP="00FE18CB">
      <w:pPr>
        <w:pStyle w:val="Bibliography"/>
      </w:pPr>
      <w:r w:rsidRPr="00FE18CB">
        <w:t xml:space="preserve">6. </w:t>
      </w:r>
      <w:r w:rsidRPr="00FE18CB">
        <w:tab/>
        <w:t xml:space="preserve">R. S. </w:t>
      </w:r>
      <w:proofErr w:type="spellStart"/>
      <w:r w:rsidRPr="00FE18CB">
        <w:t>Telemeco</w:t>
      </w:r>
      <w:proofErr w:type="spellEnd"/>
      <w:r w:rsidRPr="00FE18CB">
        <w:t xml:space="preserve">, M. J. Elphick, R. Shine, Nesting lizards (Bassiana </w:t>
      </w:r>
      <w:proofErr w:type="spellStart"/>
      <w:r w:rsidRPr="00FE18CB">
        <w:t>duperreyi</w:t>
      </w:r>
      <w:proofErr w:type="spellEnd"/>
      <w:r w:rsidRPr="00FE18CB">
        <w:t xml:space="preserve">) compensate partly, but not completely, for climate change. </w:t>
      </w:r>
      <w:r w:rsidRPr="00FE18CB">
        <w:rPr>
          <w:i/>
          <w:iCs/>
        </w:rPr>
        <w:t>Ecology</w:t>
      </w:r>
      <w:r w:rsidRPr="00FE18CB">
        <w:t xml:space="preserve"> </w:t>
      </w:r>
      <w:r w:rsidRPr="00FE18CB">
        <w:rPr>
          <w:b/>
          <w:bCs/>
        </w:rPr>
        <w:t>90</w:t>
      </w:r>
      <w:r w:rsidRPr="00FE18CB">
        <w:t>, 17–22 (2009).</w:t>
      </w:r>
    </w:p>
    <w:p w14:paraId="2E4FA777" w14:textId="77777777" w:rsidR="00FE18CB" w:rsidRPr="00FE18CB" w:rsidRDefault="00FE18CB" w:rsidP="00FE18CB">
      <w:pPr>
        <w:pStyle w:val="Bibliography"/>
      </w:pPr>
      <w:r w:rsidRPr="00FE18CB">
        <w:t xml:space="preserve">7. </w:t>
      </w:r>
      <w:r w:rsidRPr="00FE18CB">
        <w:tab/>
        <w:t xml:space="preserve">B. G. Lovegrove, C. Canale, D. Levesque, G. </w:t>
      </w:r>
      <w:proofErr w:type="spellStart"/>
      <w:r w:rsidRPr="00FE18CB">
        <w:t>Fluch</w:t>
      </w:r>
      <w:proofErr w:type="spellEnd"/>
      <w:r w:rsidRPr="00FE18CB">
        <w:t xml:space="preserve">, M. Řeháková-Petrů, T. Ruf, Are Tropical Small Mammals Physiologically Vulnerable to Arrhenius Effects and Climate Change? </w:t>
      </w:r>
      <w:r w:rsidRPr="00FE18CB">
        <w:rPr>
          <w:i/>
          <w:iCs/>
        </w:rPr>
        <w:t>Physiological and Biochemical Zoology</w:t>
      </w:r>
      <w:r w:rsidRPr="00FE18CB">
        <w:t xml:space="preserve"> </w:t>
      </w:r>
      <w:r w:rsidRPr="00FE18CB">
        <w:rPr>
          <w:b/>
          <w:bCs/>
        </w:rPr>
        <w:t>87</w:t>
      </w:r>
      <w:r w:rsidRPr="00FE18CB">
        <w:t>, 30–45 (2014).</w:t>
      </w:r>
    </w:p>
    <w:p w14:paraId="40D845D7" w14:textId="77777777" w:rsidR="00FE18CB" w:rsidRPr="00FE18CB" w:rsidRDefault="00FE18CB" w:rsidP="00FE18CB">
      <w:pPr>
        <w:pStyle w:val="Bibliography"/>
      </w:pPr>
      <w:r w:rsidRPr="00FE18CB">
        <w:t xml:space="preserve">8. </w:t>
      </w:r>
      <w:r w:rsidRPr="00FE18CB">
        <w:tab/>
        <w:t xml:space="preserve">J. M. Lucore, J. C. Beehner, A. F. White, L. F. Sinclair, V. A. Martins, S. A. </w:t>
      </w:r>
      <w:proofErr w:type="spellStart"/>
      <w:r w:rsidRPr="00FE18CB">
        <w:t>Kovalaskas</w:t>
      </w:r>
      <w:proofErr w:type="spellEnd"/>
      <w:r w:rsidRPr="00FE18CB">
        <w:t xml:space="preserve">, J. C. Ordoñez, T. J. Bergman, M. E. Benítez, A. J. Marshall, High temperatures are associated with decreased immune system performance in a wild primate. </w:t>
      </w:r>
      <w:r w:rsidRPr="00FE18CB">
        <w:rPr>
          <w:i/>
          <w:iCs/>
        </w:rPr>
        <w:t>Science Advances</w:t>
      </w:r>
      <w:r w:rsidRPr="00FE18CB">
        <w:t xml:space="preserve"> </w:t>
      </w:r>
      <w:r w:rsidRPr="00FE18CB">
        <w:rPr>
          <w:b/>
          <w:bCs/>
        </w:rPr>
        <w:t>10</w:t>
      </w:r>
      <w:r w:rsidRPr="00FE18CB">
        <w:t>, eadq6629 (2024).</w:t>
      </w:r>
    </w:p>
    <w:p w14:paraId="43FC1921" w14:textId="77777777" w:rsidR="00FE18CB" w:rsidRPr="00FE18CB" w:rsidRDefault="00FE18CB" w:rsidP="00FE18CB">
      <w:pPr>
        <w:pStyle w:val="Bibliography"/>
      </w:pPr>
      <w:r w:rsidRPr="00FE18CB">
        <w:t xml:space="preserve">9. </w:t>
      </w:r>
      <w:r w:rsidRPr="00FE18CB">
        <w:tab/>
        <w:t>N. N. Moghadam, Thorshauge ,Pia Mai, Kristensen ,Torsten N., de Jonge ,</w:t>
      </w:r>
      <w:proofErr w:type="spellStart"/>
      <w:r w:rsidRPr="00FE18CB">
        <w:t>Nadieh</w:t>
      </w:r>
      <w:proofErr w:type="spellEnd"/>
      <w:r w:rsidRPr="00FE18CB">
        <w:t xml:space="preserve">, Bahrndorff ,Simon, Kjeldal ,Henrik, J. L. and Nielsen, Strong responses of Drosophila melanogaster microbiota to developmental temperature. </w:t>
      </w:r>
      <w:r w:rsidRPr="00FE18CB">
        <w:rPr>
          <w:i/>
          <w:iCs/>
        </w:rPr>
        <w:t>Fly</w:t>
      </w:r>
      <w:r w:rsidRPr="00FE18CB">
        <w:t xml:space="preserve"> </w:t>
      </w:r>
      <w:r w:rsidRPr="00FE18CB">
        <w:rPr>
          <w:b/>
          <w:bCs/>
        </w:rPr>
        <w:t>12</w:t>
      </w:r>
      <w:r w:rsidRPr="00FE18CB">
        <w:t>, 1–12 (2018).</w:t>
      </w:r>
    </w:p>
    <w:p w14:paraId="395CE087" w14:textId="77777777" w:rsidR="00FE18CB" w:rsidRPr="00FE18CB" w:rsidRDefault="00FE18CB" w:rsidP="00FE18CB">
      <w:pPr>
        <w:pStyle w:val="Bibliography"/>
      </w:pPr>
      <w:r w:rsidRPr="00FE18CB">
        <w:t xml:space="preserve">10. </w:t>
      </w:r>
      <w:r w:rsidRPr="00FE18CB">
        <w:tab/>
        <w:t xml:space="preserve">M. Ziegler, F. O. Seneca, L. K. Yum, S. R. </w:t>
      </w:r>
      <w:proofErr w:type="spellStart"/>
      <w:r w:rsidRPr="00FE18CB">
        <w:t>Palumbi</w:t>
      </w:r>
      <w:proofErr w:type="spellEnd"/>
      <w:r w:rsidRPr="00FE18CB">
        <w:t xml:space="preserve">, C. R. </w:t>
      </w:r>
      <w:proofErr w:type="spellStart"/>
      <w:r w:rsidRPr="00FE18CB">
        <w:t>Voolstra</w:t>
      </w:r>
      <w:proofErr w:type="spellEnd"/>
      <w:r w:rsidRPr="00FE18CB">
        <w:t xml:space="preserve">, Bacterial community dynamics are linked to patterns of coral heat tolerance. </w:t>
      </w:r>
      <w:r w:rsidRPr="00FE18CB">
        <w:rPr>
          <w:i/>
          <w:iCs/>
        </w:rPr>
        <w:t>Nat Commun</w:t>
      </w:r>
      <w:r w:rsidRPr="00FE18CB">
        <w:t xml:space="preserve"> </w:t>
      </w:r>
      <w:r w:rsidRPr="00FE18CB">
        <w:rPr>
          <w:b/>
          <w:bCs/>
        </w:rPr>
        <w:t>8</w:t>
      </w:r>
      <w:r w:rsidRPr="00FE18CB">
        <w:t>, 14213 (2017).</w:t>
      </w:r>
    </w:p>
    <w:p w14:paraId="3B1E7735" w14:textId="77777777" w:rsidR="00FE18CB" w:rsidRPr="00FE18CB" w:rsidRDefault="00FE18CB" w:rsidP="00FE18CB">
      <w:pPr>
        <w:pStyle w:val="Bibliography"/>
      </w:pPr>
      <w:r w:rsidRPr="00FE18CB">
        <w:lastRenderedPageBreak/>
        <w:t xml:space="preserve">11. </w:t>
      </w:r>
      <w:r w:rsidRPr="00FE18CB">
        <w:tab/>
        <w:t xml:space="preserve">L. Baldassarre, H. Ying, A. M. Reitzel, S. </w:t>
      </w:r>
      <w:proofErr w:type="spellStart"/>
      <w:r w:rsidRPr="00FE18CB">
        <w:t>Franzenburg</w:t>
      </w:r>
      <w:proofErr w:type="spellEnd"/>
      <w:r w:rsidRPr="00FE18CB">
        <w:t xml:space="preserve">, S. </w:t>
      </w:r>
      <w:proofErr w:type="spellStart"/>
      <w:r w:rsidRPr="00FE18CB">
        <w:t>Fraune</w:t>
      </w:r>
      <w:proofErr w:type="spellEnd"/>
      <w:r w:rsidRPr="00FE18CB">
        <w:t xml:space="preserve">, Microbiota mediated plasticity promotes thermal adaptation in the sea anemone </w:t>
      </w:r>
      <w:proofErr w:type="spellStart"/>
      <w:r w:rsidRPr="00FE18CB">
        <w:t>Nematostella</w:t>
      </w:r>
      <w:proofErr w:type="spellEnd"/>
      <w:r w:rsidRPr="00FE18CB">
        <w:t xml:space="preserve"> </w:t>
      </w:r>
      <w:proofErr w:type="spellStart"/>
      <w:r w:rsidRPr="00FE18CB">
        <w:t>vectensis</w:t>
      </w:r>
      <w:proofErr w:type="spellEnd"/>
      <w:r w:rsidRPr="00FE18CB">
        <w:t xml:space="preserve">. </w:t>
      </w:r>
      <w:r w:rsidRPr="00FE18CB">
        <w:rPr>
          <w:i/>
          <w:iCs/>
        </w:rPr>
        <w:t>Nat Commun</w:t>
      </w:r>
      <w:r w:rsidRPr="00FE18CB">
        <w:t xml:space="preserve"> </w:t>
      </w:r>
      <w:r w:rsidRPr="00FE18CB">
        <w:rPr>
          <w:b/>
          <w:bCs/>
        </w:rPr>
        <w:t>13</w:t>
      </w:r>
      <w:r w:rsidRPr="00FE18CB">
        <w:t>, 3804 (2022).</w:t>
      </w:r>
    </w:p>
    <w:p w14:paraId="1ACFEFC4" w14:textId="77777777" w:rsidR="00FE18CB" w:rsidRPr="00FE18CB" w:rsidRDefault="00FE18CB" w:rsidP="00FE18CB">
      <w:pPr>
        <w:pStyle w:val="Bibliography"/>
      </w:pPr>
      <w:r w:rsidRPr="00FE18CB">
        <w:t xml:space="preserve">12. </w:t>
      </w:r>
      <w:r w:rsidRPr="00FE18CB">
        <w:tab/>
        <w:t xml:space="preserve">S. S. Fontaine, K. D. Kohl, Ectotherm heat tolerance and the microbiome: current understanding, future directions and potential applications. </w:t>
      </w:r>
      <w:r w:rsidRPr="00FE18CB">
        <w:rPr>
          <w:i/>
          <w:iCs/>
        </w:rPr>
        <w:t>Journal of Experimental Biology</w:t>
      </w:r>
      <w:r w:rsidRPr="00FE18CB">
        <w:t xml:space="preserve"> </w:t>
      </w:r>
      <w:r w:rsidRPr="00FE18CB">
        <w:rPr>
          <w:b/>
          <w:bCs/>
        </w:rPr>
        <w:t>226</w:t>
      </w:r>
      <w:r w:rsidRPr="00FE18CB">
        <w:t>, jeb245761 (2023).</w:t>
      </w:r>
    </w:p>
    <w:p w14:paraId="362DFEEE" w14:textId="77777777" w:rsidR="00FE18CB" w:rsidRPr="00FE18CB" w:rsidRDefault="00FE18CB" w:rsidP="00FE18CB">
      <w:pPr>
        <w:pStyle w:val="Bibliography"/>
      </w:pPr>
      <w:r w:rsidRPr="00FE18CB">
        <w:t xml:space="preserve">13. </w:t>
      </w:r>
      <w:r w:rsidRPr="00FE18CB">
        <w:tab/>
        <w:t xml:space="preserve">T. E. Hector, K. L. Hoang, J. Li, K. C. King, Symbiosis and host responses to heating. </w:t>
      </w:r>
      <w:r w:rsidRPr="00FE18CB">
        <w:rPr>
          <w:i/>
          <w:iCs/>
        </w:rPr>
        <w:t>Trends in Ecology &amp; Evolution</w:t>
      </w:r>
      <w:r w:rsidRPr="00FE18CB">
        <w:t xml:space="preserve"> </w:t>
      </w:r>
      <w:r w:rsidRPr="00FE18CB">
        <w:rPr>
          <w:b/>
          <w:bCs/>
        </w:rPr>
        <w:t>37</w:t>
      </w:r>
      <w:r w:rsidRPr="00FE18CB">
        <w:t>, 611–624 (2022).</w:t>
      </w:r>
    </w:p>
    <w:p w14:paraId="1D99CA4D" w14:textId="77777777" w:rsidR="00FE18CB" w:rsidRPr="00FE18CB" w:rsidRDefault="00FE18CB" w:rsidP="00FE18CB">
      <w:pPr>
        <w:pStyle w:val="Bibliography"/>
      </w:pPr>
      <w:r w:rsidRPr="00FE18CB">
        <w:t xml:space="preserve">14. </w:t>
      </w:r>
      <w:r w:rsidRPr="00FE18CB">
        <w:tab/>
        <w:t xml:space="preserve">A. Jaramillo, L. E. Castañeda, Gut Microbiota of Drosophila </w:t>
      </w:r>
      <w:proofErr w:type="spellStart"/>
      <w:r w:rsidRPr="00FE18CB">
        <w:t>subobscura</w:t>
      </w:r>
      <w:proofErr w:type="spellEnd"/>
      <w:r w:rsidRPr="00FE18CB">
        <w:t xml:space="preserve"> Contributes to Its Heat Tolerance and Is Sensitive to Transient Thermal Stress. </w:t>
      </w:r>
      <w:r w:rsidRPr="00FE18CB">
        <w:rPr>
          <w:i/>
          <w:iCs/>
        </w:rPr>
        <w:t xml:space="preserve">Front. </w:t>
      </w:r>
      <w:proofErr w:type="spellStart"/>
      <w:r w:rsidRPr="00FE18CB">
        <w:rPr>
          <w:i/>
          <w:iCs/>
        </w:rPr>
        <w:t>Microbiol</w:t>
      </w:r>
      <w:proofErr w:type="spellEnd"/>
      <w:r w:rsidRPr="00FE18CB">
        <w:rPr>
          <w:i/>
          <w:iCs/>
        </w:rPr>
        <w:t>.</w:t>
      </w:r>
      <w:r w:rsidRPr="00FE18CB">
        <w:t xml:space="preserve"> </w:t>
      </w:r>
      <w:r w:rsidRPr="00FE18CB">
        <w:rPr>
          <w:b/>
          <w:bCs/>
        </w:rPr>
        <w:t>12</w:t>
      </w:r>
      <w:r w:rsidRPr="00FE18CB">
        <w:t xml:space="preserve"> (2021).</w:t>
      </w:r>
    </w:p>
    <w:p w14:paraId="2FF2BDA5" w14:textId="77777777" w:rsidR="00FE18CB" w:rsidRPr="00FE18CB" w:rsidRDefault="00FE18CB" w:rsidP="00FE18CB">
      <w:pPr>
        <w:pStyle w:val="Bibliography"/>
      </w:pPr>
      <w:r w:rsidRPr="00FE18CB">
        <w:t xml:space="preserve">15. </w:t>
      </w:r>
      <w:r w:rsidRPr="00FE18CB">
        <w:tab/>
        <w:t xml:space="preserve">B. Zhang, S. P. Leonard, Y. Li, N. A. Moran, Obligate bacterial endosymbionts limit thermal tolerance of insect host species. </w:t>
      </w:r>
      <w:r w:rsidRPr="00FE18CB">
        <w:rPr>
          <w:i/>
          <w:iCs/>
        </w:rPr>
        <w:t>Proceedings of the National Academy of Sciences</w:t>
      </w:r>
      <w:r w:rsidRPr="00FE18CB">
        <w:t xml:space="preserve"> </w:t>
      </w:r>
      <w:r w:rsidRPr="00FE18CB">
        <w:rPr>
          <w:b/>
          <w:bCs/>
        </w:rPr>
        <w:t>116</w:t>
      </w:r>
      <w:r w:rsidRPr="00FE18CB">
        <w:t>, 24712–24718 (2019).</w:t>
      </w:r>
    </w:p>
    <w:p w14:paraId="0E623C56" w14:textId="77777777" w:rsidR="00FE18CB" w:rsidRPr="00FE18CB" w:rsidRDefault="00FE18CB" w:rsidP="00FE18CB">
      <w:pPr>
        <w:pStyle w:val="Bibliography"/>
      </w:pPr>
      <w:r w:rsidRPr="00FE18CB">
        <w:t xml:space="preserve">16. </w:t>
      </w:r>
      <w:r w:rsidRPr="00FE18CB">
        <w:tab/>
        <w:t xml:space="preserve">K. R. Amato, Incorporating the gut microbiota into models of human and non-human primate ecology and evolution. </w:t>
      </w:r>
      <w:r w:rsidRPr="00FE18CB">
        <w:rPr>
          <w:i/>
          <w:iCs/>
        </w:rPr>
        <w:t>American Journal of Physical Anthropology</w:t>
      </w:r>
      <w:r w:rsidRPr="00FE18CB">
        <w:t xml:space="preserve"> </w:t>
      </w:r>
      <w:r w:rsidRPr="00FE18CB">
        <w:rPr>
          <w:b/>
          <w:bCs/>
        </w:rPr>
        <w:t>159</w:t>
      </w:r>
      <w:r w:rsidRPr="00FE18CB">
        <w:t>, 196–215 (2016).</w:t>
      </w:r>
    </w:p>
    <w:p w14:paraId="69B1571A" w14:textId="77777777" w:rsidR="00FE18CB" w:rsidRPr="00FE18CB" w:rsidRDefault="00FE18CB" w:rsidP="00FE18CB">
      <w:pPr>
        <w:pStyle w:val="Bibliography"/>
      </w:pPr>
      <w:r w:rsidRPr="00FE18CB">
        <w:t xml:space="preserve">17. </w:t>
      </w:r>
      <w:r w:rsidRPr="00FE18CB">
        <w:tab/>
        <w:t xml:space="preserve">J. Sepulveda, A. H. Moeller, The Effects of Temperature on Animal Gut Microbiomes. </w:t>
      </w:r>
      <w:r w:rsidRPr="00FE18CB">
        <w:rPr>
          <w:i/>
          <w:iCs/>
        </w:rPr>
        <w:t xml:space="preserve">Front. </w:t>
      </w:r>
      <w:proofErr w:type="spellStart"/>
      <w:r w:rsidRPr="00FE18CB">
        <w:rPr>
          <w:i/>
          <w:iCs/>
        </w:rPr>
        <w:t>Microbiol</w:t>
      </w:r>
      <w:proofErr w:type="spellEnd"/>
      <w:r w:rsidRPr="00FE18CB">
        <w:rPr>
          <w:i/>
          <w:iCs/>
        </w:rPr>
        <w:t>.</w:t>
      </w:r>
      <w:r w:rsidRPr="00FE18CB">
        <w:t xml:space="preserve"> </w:t>
      </w:r>
      <w:r w:rsidRPr="00FE18CB">
        <w:rPr>
          <w:b/>
          <w:bCs/>
        </w:rPr>
        <w:t>11</w:t>
      </w:r>
      <w:r w:rsidRPr="00FE18CB">
        <w:t>, 384 (2020).</w:t>
      </w:r>
    </w:p>
    <w:p w14:paraId="5367728F" w14:textId="77777777" w:rsidR="00FE18CB" w:rsidRPr="00FE18CB" w:rsidRDefault="00FE18CB" w:rsidP="00FE18CB">
      <w:pPr>
        <w:pStyle w:val="Bibliography"/>
      </w:pPr>
      <w:r w:rsidRPr="00FE18CB">
        <w:t xml:space="preserve">18. </w:t>
      </w:r>
      <w:r w:rsidRPr="00FE18CB">
        <w:tab/>
        <w:t xml:space="preserve">S. Chen, J. Wang, D. Peng, G. Li, J. Chen, X. Gu, Exposure to heat-stress environment affects the physiology, circulation levels of cytokines, and microbiome in dairy cows. </w:t>
      </w:r>
      <w:r w:rsidRPr="00FE18CB">
        <w:rPr>
          <w:i/>
          <w:iCs/>
        </w:rPr>
        <w:t>Sci Rep</w:t>
      </w:r>
      <w:r w:rsidRPr="00FE18CB">
        <w:t xml:space="preserve"> </w:t>
      </w:r>
      <w:r w:rsidRPr="00FE18CB">
        <w:rPr>
          <w:b/>
          <w:bCs/>
        </w:rPr>
        <w:t>8</w:t>
      </w:r>
      <w:r w:rsidRPr="00FE18CB">
        <w:t>, 14606 (2018).</w:t>
      </w:r>
    </w:p>
    <w:p w14:paraId="42A2CA4A" w14:textId="77777777" w:rsidR="00FE18CB" w:rsidRPr="00FE18CB" w:rsidRDefault="00FE18CB" w:rsidP="00FE18CB">
      <w:pPr>
        <w:pStyle w:val="Bibliography"/>
      </w:pPr>
      <w:r w:rsidRPr="00FE18CB">
        <w:t xml:space="preserve">19. </w:t>
      </w:r>
      <w:r w:rsidRPr="00FE18CB">
        <w:tab/>
        <w:t xml:space="preserve">S. S. Fontaine, A. J. Novarro, K. D. Kohl, Environmental temperature alters the digestive performance and gut microbiota of a terrestrial amphibian. </w:t>
      </w:r>
      <w:r w:rsidRPr="00FE18CB">
        <w:rPr>
          <w:i/>
          <w:iCs/>
        </w:rPr>
        <w:t>Journal of Experimental Biology</w:t>
      </w:r>
      <w:r w:rsidRPr="00FE18CB">
        <w:t xml:space="preserve"> </w:t>
      </w:r>
      <w:r w:rsidRPr="00FE18CB">
        <w:rPr>
          <w:b/>
          <w:bCs/>
        </w:rPr>
        <w:t>221</w:t>
      </w:r>
      <w:r w:rsidRPr="00FE18CB">
        <w:t>, jeb187559 (2018).</w:t>
      </w:r>
    </w:p>
    <w:p w14:paraId="7A3759C3" w14:textId="77777777" w:rsidR="00FE18CB" w:rsidRPr="00FE18CB" w:rsidRDefault="00FE18CB" w:rsidP="00FE18CB">
      <w:pPr>
        <w:pStyle w:val="Bibliography"/>
      </w:pPr>
      <w:r w:rsidRPr="00FE18CB">
        <w:t xml:space="preserve">20. </w:t>
      </w:r>
      <w:r w:rsidRPr="00FE18CB">
        <w:tab/>
        <w:t xml:space="preserve">K. Tajima, I. Nonaka, K. Higuchi, N. </w:t>
      </w:r>
      <w:proofErr w:type="spellStart"/>
      <w:r w:rsidRPr="00FE18CB">
        <w:t>Takusari</w:t>
      </w:r>
      <w:proofErr w:type="spellEnd"/>
      <w:r w:rsidRPr="00FE18CB">
        <w:t xml:space="preserve">, M. Kurihara, A. Takenaka, M. </w:t>
      </w:r>
      <w:proofErr w:type="spellStart"/>
      <w:r w:rsidRPr="00FE18CB">
        <w:t>Mitsumori</w:t>
      </w:r>
      <w:proofErr w:type="spellEnd"/>
      <w:r w:rsidRPr="00FE18CB">
        <w:t xml:space="preserve">, H. Kajikawa, R. I. Aminov, Influence of high temperature and humidity on rumen bacterial diversity in Holstein heifers. </w:t>
      </w:r>
      <w:r w:rsidRPr="00FE18CB">
        <w:rPr>
          <w:i/>
          <w:iCs/>
        </w:rPr>
        <w:t>Anaerobe</w:t>
      </w:r>
      <w:r w:rsidRPr="00FE18CB">
        <w:t xml:space="preserve"> </w:t>
      </w:r>
      <w:r w:rsidRPr="00FE18CB">
        <w:rPr>
          <w:b/>
          <w:bCs/>
        </w:rPr>
        <w:t>13</w:t>
      </w:r>
      <w:r w:rsidRPr="00FE18CB">
        <w:t>, 57–64 (2007).</w:t>
      </w:r>
    </w:p>
    <w:p w14:paraId="387B88B9" w14:textId="77777777" w:rsidR="00FE18CB" w:rsidRPr="00FE18CB" w:rsidRDefault="00FE18CB" w:rsidP="00FE18CB">
      <w:pPr>
        <w:pStyle w:val="Bibliography"/>
      </w:pPr>
      <w:r w:rsidRPr="00FE18CB">
        <w:t xml:space="preserve">21. </w:t>
      </w:r>
      <w:r w:rsidRPr="00FE18CB">
        <w:tab/>
        <w:t xml:space="preserve">L. Zhu, R. Liao, N. Wu, G. Zhu, C. Yang, Heat stress mediates changes in fecal microbiome and functional pathways of laying hens. </w:t>
      </w:r>
      <w:r w:rsidRPr="00FE18CB">
        <w:rPr>
          <w:i/>
          <w:iCs/>
        </w:rPr>
        <w:t xml:space="preserve">Appl </w:t>
      </w:r>
      <w:proofErr w:type="spellStart"/>
      <w:r w:rsidRPr="00FE18CB">
        <w:rPr>
          <w:i/>
          <w:iCs/>
        </w:rPr>
        <w:t>Microbiol</w:t>
      </w:r>
      <w:proofErr w:type="spellEnd"/>
      <w:r w:rsidRPr="00FE18CB">
        <w:rPr>
          <w:i/>
          <w:iCs/>
        </w:rPr>
        <w:t xml:space="preserve"> </w:t>
      </w:r>
      <w:proofErr w:type="spellStart"/>
      <w:r w:rsidRPr="00FE18CB">
        <w:rPr>
          <w:i/>
          <w:iCs/>
        </w:rPr>
        <w:t>Biotechnol</w:t>
      </w:r>
      <w:proofErr w:type="spellEnd"/>
      <w:r w:rsidRPr="00FE18CB">
        <w:t xml:space="preserve"> </w:t>
      </w:r>
      <w:r w:rsidRPr="00FE18CB">
        <w:rPr>
          <w:b/>
          <w:bCs/>
        </w:rPr>
        <w:t>103</w:t>
      </w:r>
      <w:r w:rsidRPr="00FE18CB">
        <w:t>, 461–472 (2019).</w:t>
      </w:r>
    </w:p>
    <w:p w14:paraId="7638F6D9" w14:textId="77777777" w:rsidR="00FE18CB" w:rsidRPr="00FE18CB" w:rsidRDefault="00FE18CB" w:rsidP="00FE18CB">
      <w:pPr>
        <w:pStyle w:val="Bibliography"/>
      </w:pPr>
      <w:r w:rsidRPr="00FE18CB">
        <w:t xml:space="preserve">22. </w:t>
      </w:r>
      <w:r w:rsidRPr="00FE18CB">
        <w:tab/>
        <w:t xml:space="preserve">I. Belhadj </w:t>
      </w:r>
      <w:proofErr w:type="spellStart"/>
      <w:r w:rsidRPr="00FE18CB">
        <w:t>Slimen</w:t>
      </w:r>
      <w:proofErr w:type="spellEnd"/>
      <w:r w:rsidRPr="00FE18CB">
        <w:t xml:space="preserve">, N. Taha, G. </w:t>
      </w:r>
      <w:proofErr w:type="spellStart"/>
      <w:r w:rsidRPr="00FE18CB">
        <w:t>Abdeljelil</w:t>
      </w:r>
      <w:proofErr w:type="spellEnd"/>
      <w:r w:rsidRPr="00FE18CB">
        <w:t xml:space="preserve">, D. Hajer, B. M. Moncef, A. Manef, Reactive oxygen species, heat stress and oxidative-induced mitochondrial damage. A review. </w:t>
      </w:r>
      <w:r w:rsidRPr="00FE18CB">
        <w:rPr>
          <w:i/>
          <w:iCs/>
        </w:rPr>
        <w:t>International Journal of Hyperthermia</w:t>
      </w:r>
      <w:r w:rsidRPr="00FE18CB">
        <w:t xml:space="preserve"> </w:t>
      </w:r>
      <w:r w:rsidRPr="00FE18CB">
        <w:rPr>
          <w:b/>
          <w:bCs/>
        </w:rPr>
        <w:t>30</w:t>
      </w:r>
      <w:r w:rsidRPr="00FE18CB">
        <w:t>, 513–523 (2014).</w:t>
      </w:r>
    </w:p>
    <w:p w14:paraId="0262D447" w14:textId="77777777" w:rsidR="00FE18CB" w:rsidRPr="00FE18CB" w:rsidRDefault="00FE18CB" w:rsidP="00FE18CB">
      <w:pPr>
        <w:pStyle w:val="Bibliography"/>
      </w:pPr>
      <w:r w:rsidRPr="00FE18CB">
        <w:t xml:space="preserve">23. </w:t>
      </w:r>
      <w:r w:rsidRPr="00FE18CB">
        <w:tab/>
        <w:t xml:space="preserve">M. Dodson, R. Castro-Portuguez, D. D. Zhang, NRF2 plays a critical role in mitigating lipid peroxidation and ferroptosis. </w:t>
      </w:r>
      <w:r w:rsidRPr="00FE18CB">
        <w:rPr>
          <w:i/>
          <w:iCs/>
        </w:rPr>
        <w:t>Redox Biology</w:t>
      </w:r>
      <w:r w:rsidRPr="00FE18CB">
        <w:t xml:space="preserve"> </w:t>
      </w:r>
      <w:r w:rsidRPr="00FE18CB">
        <w:rPr>
          <w:b/>
          <w:bCs/>
        </w:rPr>
        <w:t>23</w:t>
      </w:r>
      <w:r w:rsidRPr="00FE18CB">
        <w:t>, 101107 (2019).</w:t>
      </w:r>
    </w:p>
    <w:p w14:paraId="24765B6C" w14:textId="77777777" w:rsidR="00FE18CB" w:rsidRPr="00FE18CB" w:rsidRDefault="00FE18CB" w:rsidP="00FE18CB">
      <w:pPr>
        <w:pStyle w:val="Bibliography"/>
      </w:pPr>
      <w:r w:rsidRPr="00FE18CB">
        <w:lastRenderedPageBreak/>
        <w:t xml:space="preserve">24. </w:t>
      </w:r>
      <w:r w:rsidRPr="00FE18CB">
        <w:tab/>
        <w:t xml:space="preserve">G. P. Lambert, C. V. </w:t>
      </w:r>
      <w:proofErr w:type="spellStart"/>
      <w:r w:rsidRPr="00FE18CB">
        <w:t>Gisolfi</w:t>
      </w:r>
      <w:proofErr w:type="spellEnd"/>
      <w:r w:rsidRPr="00FE18CB">
        <w:t xml:space="preserve">, D. J. Berg, P. L. Moseley, L. W. Oberley, K. C. Kregel, Selected Contribution: Hyperthermia-induced intestinal  permeability and the role of oxidative  and nitrosative stress. </w:t>
      </w:r>
      <w:r w:rsidRPr="00FE18CB">
        <w:rPr>
          <w:i/>
          <w:iCs/>
        </w:rPr>
        <w:t>Journal of Applied Physiology</w:t>
      </w:r>
      <w:r w:rsidRPr="00FE18CB">
        <w:t xml:space="preserve"> </w:t>
      </w:r>
      <w:r w:rsidRPr="00FE18CB">
        <w:rPr>
          <w:b/>
          <w:bCs/>
        </w:rPr>
        <w:t>92</w:t>
      </w:r>
      <w:r w:rsidRPr="00FE18CB">
        <w:t>, 1750–1761 (2002).</w:t>
      </w:r>
    </w:p>
    <w:p w14:paraId="6B9DF77B" w14:textId="77777777" w:rsidR="00FE18CB" w:rsidRPr="00FE18CB" w:rsidRDefault="00FE18CB" w:rsidP="00FE18CB">
      <w:pPr>
        <w:pStyle w:val="Bibliography"/>
      </w:pPr>
      <w:r w:rsidRPr="00FE18CB">
        <w:t xml:space="preserve">25. </w:t>
      </w:r>
      <w:r w:rsidRPr="00FE18CB">
        <w:tab/>
        <w:t xml:space="preserve">F. Koch, U. Thom, E. Albrecht, R. </w:t>
      </w:r>
      <w:proofErr w:type="spellStart"/>
      <w:r w:rsidRPr="00FE18CB">
        <w:t>Weikard</w:t>
      </w:r>
      <w:proofErr w:type="spellEnd"/>
      <w:r w:rsidRPr="00FE18CB">
        <w:t xml:space="preserve">, W. Nolte, B. </w:t>
      </w:r>
      <w:proofErr w:type="spellStart"/>
      <w:r w:rsidRPr="00FE18CB">
        <w:t>Kuhla</w:t>
      </w:r>
      <w:proofErr w:type="spellEnd"/>
      <w:r w:rsidRPr="00FE18CB">
        <w:t xml:space="preserve">, C. Kuehn, Heat stress directly impairs gut integrity and recruits distinct immune cell populations into the bovine intestine. </w:t>
      </w:r>
      <w:r w:rsidRPr="00FE18CB">
        <w:rPr>
          <w:i/>
          <w:iCs/>
        </w:rPr>
        <w:t>Proceedings of the National Academy of Sciences</w:t>
      </w:r>
      <w:r w:rsidRPr="00FE18CB">
        <w:t xml:space="preserve"> </w:t>
      </w:r>
      <w:r w:rsidRPr="00FE18CB">
        <w:rPr>
          <w:b/>
          <w:bCs/>
        </w:rPr>
        <w:t>116</w:t>
      </w:r>
      <w:r w:rsidRPr="00FE18CB">
        <w:t>, 10333–10338 (2019).</w:t>
      </w:r>
    </w:p>
    <w:p w14:paraId="262C11D6" w14:textId="77777777" w:rsidR="00FE18CB" w:rsidRPr="00FE18CB" w:rsidRDefault="00FE18CB" w:rsidP="00FE18CB">
      <w:pPr>
        <w:pStyle w:val="Bibliography"/>
      </w:pPr>
      <w:r w:rsidRPr="00FE18CB">
        <w:t xml:space="preserve">26. </w:t>
      </w:r>
      <w:r w:rsidRPr="00FE18CB">
        <w:tab/>
        <w:t xml:space="preserve">C. Kunst, S. Schmid, M. Michalski, D. Tümen, J. </w:t>
      </w:r>
      <w:proofErr w:type="spellStart"/>
      <w:r w:rsidRPr="00FE18CB">
        <w:t>Buttenschön</w:t>
      </w:r>
      <w:proofErr w:type="spellEnd"/>
      <w:r w:rsidRPr="00FE18CB">
        <w:t xml:space="preserve">, M. Müller, K. </w:t>
      </w:r>
      <w:proofErr w:type="spellStart"/>
      <w:r w:rsidRPr="00FE18CB">
        <w:t>Gülow</w:t>
      </w:r>
      <w:proofErr w:type="spellEnd"/>
      <w:r w:rsidRPr="00FE18CB">
        <w:t xml:space="preserve">, The Influence of Gut Microbiota on Oxidative Stress and the Immune System. </w:t>
      </w:r>
      <w:r w:rsidRPr="00FE18CB">
        <w:rPr>
          <w:i/>
          <w:iCs/>
        </w:rPr>
        <w:t>Biomedicines</w:t>
      </w:r>
      <w:r w:rsidRPr="00FE18CB">
        <w:t xml:space="preserve"> </w:t>
      </w:r>
      <w:r w:rsidRPr="00FE18CB">
        <w:rPr>
          <w:b/>
          <w:bCs/>
        </w:rPr>
        <w:t>11</w:t>
      </w:r>
      <w:r w:rsidRPr="00FE18CB">
        <w:t>, 1388 (2023).</w:t>
      </w:r>
    </w:p>
    <w:p w14:paraId="03B504A7" w14:textId="77777777" w:rsidR="00FE18CB" w:rsidRPr="00FE18CB" w:rsidRDefault="00FE18CB" w:rsidP="00FE18CB">
      <w:pPr>
        <w:pStyle w:val="Bibliography"/>
      </w:pPr>
      <w:r w:rsidRPr="00FE18CB">
        <w:t xml:space="preserve">27. </w:t>
      </w:r>
      <w:r w:rsidRPr="00FE18CB">
        <w:tab/>
        <w:t xml:space="preserve">Y. Sun, X. Wang, L. Li, C. Zhong, Y. Zhang, X. Yang, M. Li, C. Yang, The role of gut microbiota in intestinal disease: from an oxidative stress perspective. </w:t>
      </w:r>
      <w:r w:rsidRPr="00FE18CB">
        <w:rPr>
          <w:i/>
          <w:iCs/>
        </w:rPr>
        <w:t xml:space="preserve">Front. </w:t>
      </w:r>
      <w:proofErr w:type="spellStart"/>
      <w:r w:rsidRPr="00FE18CB">
        <w:rPr>
          <w:i/>
          <w:iCs/>
        </w:rPr>
        <w:t>Microbiol</w:t>
      </w:r>
      <w:proofErr w:type="spellEnd"/>
      <w:r w:rsidRPr="00FE18CB">
        <w:rPr>
          <w:i/>
          <w:iCs/>
        </w:rPr>
        <w:t>.</w:t>
      </w:r>
      <w:r w:rsidRPr="00FE18CB">
        <w:t xml:space="preserve"> </w:t>
      </w:r>
      <w:r w:rsidRPr="00FE18CB">
        <w:rPr>
          <w:b/>
          <w:bCs/>
        </w:rPr>
        <w:t>15</w:t>
      </w:r>
      <w:r w:rsidRPr="00FE18CB">
        <w:t xml:space="preserve"> (2024).</w:t>
      </w:r>
    </w:p>
    <w:p w14:paraId="52804033" w14:textId="77777777" w:rsidR="00FE18CB" w:rsidRPr="00FE18CB" w:rsidRDefault="00FE18CB" w:rsidP="00FE18CB">
      <w:pPr>
        <w:pStyle w:val="Bibliography"/>
      </w:pPr>
      <w:r w:rsidRPr="00FE18CB">
        <w:t xml:space="preserve">28. </w:t>
      </w:r>
      <w:r w:rsidRPr="00FE18CB">
        <w:tab/>
        <w:t xml:space="preserve">T. Yardeni, C. E. Tanes, K. Bittinger, L. M. Mattei, P. M. Schaefer, L. N. Singh, G. D. Wu, D. G. Murdock, D. C. Wallace, Host mitochondria influence gut microbiome diversity: A role for ROS. </w:t>
      </w:r>
      <w:r w:rsidRPr="00FE18CB">
        <w:rPr>
          <w:i/>
          <w:iCs/>
        </w:rPr>
        <w:t>Science Signaling</w:t>
      </w:r>
      <w:r w:rsidRPr="00FE18CB">
        <w:t xml:space="preserve"> </w:t>
      </w:r>
      <w:r w:rsidRPr="00FE18CB">
        <w:rPr>
          <w:b/>
          <w:bCs/>
        </w:rPr>
        <w:t>12</w:t>
      </w:r>
      <w:r w:rsidRPr="00FE18CB">
        <w:t>, eaaw3159 (2019).</w:t>
      </w:r>
    </w:p>
    <w:p w14:paraId="1D2BD3F3" w14:textId="77777777" w:rsidR="00FE18CB" w:rsidRPr="00FE18CB" w:rsidRDefault="00FE18CB" w:rsidP="00FE18CB">
      <w:pPr>
        <w:pStyle w:val="Bibliography"/>
      </w:pPr>
      <w:r w:rsidRPr="00FE18CB">
        <w:t xml:space="preserve">29. </w:t>
      </w:r>
      <w:r w:rsidRPr="00FE18CB">
        <w:tab/>
        <w:t xml:space="preserve">M. Fang, Z. Lei, M. </w:t>
      </w:r>
      <w:proofErr w:type="spellStart"/>
      <w:r w:rsidRPr="00FE18CB">
        <w:t>Ruilin</w:t>
      </w:r>
      <w:proofErr w:type="spellEnd"/>
      <w:r w:rsidRPr="00FE18CB">
        <w:t xml:space="preserve">, W. Jing, D. </w:t>
      </w:r>
      <w:proofErr w:type="spellStart"/>
      <w:r w:rsidRPr="00FE18CB">
        <w:t>Leqiang</w:t>
      </w:r>
      <w:proofErr w:type="spellEnd"/>
      <w:r w:rsidRPr="00FE18CB">
        <w:t xml:space="preserve">, High temperature stress induced oxidative stress, gut inflammation and disordered metabolome and microbiome in </w:t>
      </w:r>
      <w:proofErr w:type="spellStart"/>
      <w:r w:rsidRPr="00FE18CB">
        <w:t>tsinling</w:t>
      </w:r>
      <w:proofErr w:type="spellEnd"/>
      <w:r w:rsidRPr="00FE18CB">
        <w:t xml:space="preserve"> </w:t>
      </w:r>
      <w:proofErr w:type="spellStart"/>
      <w:r w:rsidRPr="00FE18CB">
        <w:t>lenok</w:t>
      </w:r>
      <w:proofErr w:type="spellEnd"/>
      <w:r w:rsidRPr="00FE18CB">
        <w:t xml:space="preserve"> trout. </w:t>
      </w:r>
      <w:r w:rsidRPr="00FE18CB">
        <w:rPr>
          <w:i/>
          <w:iCs/>
        </w:rPr>
        <w:t>Ecotoxicology and Environmental Safety</w:t>
      </w:r>
      <w:r w:rsidRPr="00FE18CB">
        <w:t xml:space="preserve"> </w:t>
      </w:r>
      <w:r w:rsidRPr="00FE18CB">
        <w:rPr>
          <w:b/>
          <w:bCs/>
        </w:rPr>
        <w:t>266</w:t>
      </w:r>
      <w:r w:rsidRPr="00FE18CB">
        <w:t>, 115607 (2023).</w:t>
      </w:r>
    </w:p>
    <w:p w14:paraId="356EC893" w14:textId="77777777" w:rsidR="00FE18CB" w:rsidRPr="00FE18CB" w:rsidRDefault="00FE18CB" w:rsidP="00FE18CB">
      <w:pPr>
        <w:pStyle w:val="Bibliography"/>
      </w:pPr>
      <w:r w:rsidRPr="00FE18CB">
        <w:t xml:space="preserve">30. </w:t>
      </w:r>
      <w:r w:rsidRPr="00FE18CB">
        <w:tab/>
        <w:t xml:space="preserve">X. Liu, Z. Ma, Y. Wang, H. Jia, Z. Wang, L. Zhang, Heat stress exposure cause alterations in intestinal microbiota, transcriptome, and metabolome of broilers. </w:t>
      </w:r>
      <w:r w:rsidRPr="00FE18CB">
        <w:rPr>
          <w:i/>
          <w:iCs/>
        </w:rPr>
        <w:t xml:space="preserve">Front. </w:t>
      </w:r>
      <w:proofErr w:type="spellStart"/>
      <w:r w:rsidRPr="00FE18CB">
        <w:rPr>
          <w:i/>
          <w:iCs/>
        </w:rPr>
        <w:t>Microbiol</w:t>
      </w:r>
      <w:proofErr w:type="spellEnd"/>
      <w:r w:rsidRPr="00FE18CB">
        <w:rPr>
          <w:i/>
          <w:iCs/>
        </w:rPr>
        <w:t>.</w:t>
      </w:r>
      <w:r w:rsidRPr="00FE18CB">
        <w:t xml:space="preserve"> </w:t>
      </w:r>
      <w:r w:rsidRPr="00FE18CB">
        <w:rPr>
          <w:b/>
          <w:bCs/>
        </w:rPr>
        <w:t>14</w:t>
      </w:r>
      <w:r w:rsidRPr="00FE18CB">
        <w:t xml:space="preserve"> (2023).</w:t>
      </w:r>
    </w:p>
    <w:p w14:paraId="76118B30" w14:textId="77777777" w:rsidR="00FE18CB" w:rsidRPr="00FE18CB" w:rsidRDefault="00FE18CB" w:rsidP="00FE18CB">
      <w:pPr>
        <w:pStyle w:val="Bibliography"/>
      </w:pPr>
      <w:r w:rsidRPr="00FE18CB">
        <w:t xml:space="preserve">31. </w:t>
      </w:r>
      <w:r w:rsidRPr="00FE18CB">
        <w:tab/>
        <w:t xml:space="preserve">B. Xia, W. Wu, W. Fang, X. Wen, J. Xie, H. Zhang, Heat stress-induced mucosal barrier dysfunction is potentially associated with gut microbiota dysbiosis in pigs. </w:t>
      </w:r>
      <w:r w:rsidRPr="00FE18CB">
        <w:rPr>
          <w:i/>
          <w:iCs/>
        </w:rPr>
        <w:t>Animal Nutrition</w:t>
      </w:r>
      <w:r w:rsidRPr="00FE18CB">
        <w:t xml:space="preserve"> </w:t>
      </w:r>
      <w:r w:rsidRPr="00FE18CB">
        <w:rPr>
          <w:b/>
          <w:bCs/>
        </w:rPr>
        <w:t>8</w:t>
      </w:r>
      <w:r w:rsidRPr="00FE18CB">
        <w:t>, 289–299 (2022).</w:t>
      </w:r>
    </w:p>
    <w:p w14:paraId="1A159DD6" w14:textId="77777777" w:rsidR="00FE18CB" w:rsidRPr="00FE18CB" w:rsidRDefault="00FE18CB" w:rsidP="00FE18CB">
      <w:pPr>
        <w:pStyle w:val="Bibliography"/>
      </w:pPr>
      <w:r w:rsidRPr="00FE18CB">
        <w:t xml:space="preserve">32. </w:t>
      </w:r>
      <w:r w:rsidRPr="00FE18CB">
        <w:tab/>
        <w:t xml:space="preserve">X. Bai, Y. Shi, L. Tang, L. Chen, H. Fan, H. Wang, J. Wang, X. Jia, S. Chen, S. Lai, Heat Stress Affects </w:t>
      </w:r>
      <w:proofErr w:type="spellStart"/>
      <w:r w:rsidRPr="00FE18CB">
        <w:t>Faecal</w:t>
      </w:r>
      <w:proofErr w:type="spellEnd"/>
      <w:r w:rsidRPr="00FE18CB">
        <w:t xml:space="preserve"> Microbial and Metabolic Alterations of Rabbits. </w:t>
      </w:r>
      <w:r w:rsidRPr="00FE18CB">
        <w:rPr>
          <w:i/>
          <w:iCs/>
        </w:rPr>
        <w:t xml:space="preserve">Front. </w:t>
      </w:r>
      <w:proofErr w:type="spellStart"/>
      <w:r w:rsidRPr="00FE18CB">
        <w:rPr>
          <w:i/>
          <w:iCs/>
        </w:rPr>
        <w:t>Microbiol</w:t>
      </w:r>
      <w:proofErr w:type="spellEnd"/>
      <w:r w:rsidRPr="00FE18CB">
        <w:rPr>
          <w:i/>
          <w:iCs/>
        </w:rPr>
        <w:t>.</w:t>
      </w:r>
      <w:r w:rsidRPr="00FE18CB">
        <w:t xml:space="preserve"> </w:t>
      </w:r>
      <w:r w:rsidRPr="00FE18CB">
        <w:rPr>
          <w:b/>
          <w:bCs/>
        </w:rPr>
        <w:t>12</w:t>
      </w:r>
      <w:r w:rsidRPr="00FE18CB">
        <w:t xml:space="preserve"> (2022).</w:t>
      </w:r>
    </w:p>
    <w:p w14:paraId="4A54D5B6" w14:textId="77777777" w:rsidR="00FE18CB" w:rsidRPr="00FE18CB" w:rsidRDefault="00FE18CB" w:rsidP="00FE18CB">
      <w:pPr>
        <w:pStyle w:val="Bibliography"/>
      </w:pPr>
      <w:r w:rsidRPr="00FE18CB">
        <w:t xml:space="preserve">33. </w:t>
      </w:r>
      <w:r w:rsidRPr="00FE18CB">
        <w:tab/>
        <w:t xml:space="preserve">E. </w:t>
      </w:r>
      <w:proofErr w:type="spellStart"/>
      <w:r w:rsidRPr="00FE18CB">
        <w:t>Bestion</w:t>
      </w:r>
      <w:proofErr w:type="spellEnd"/>
      <w:r w:rsidRPr="00FE18CB">
        <w:t xml:space="preserve">, S. Jacob, L. Zinger, L. Di Gesu, M. Richard, J. White, J. Cote, Climate warming reduces gut microbiota diversity in a vertebrate ectotherm. </w:t>
      </w:r>
      <w:r w:rsidRPr="00FE18CB">
        <w:rPr>
          <w:i/>
          <w:iCs/>
        </w:rPr>
        <w:t xml:space="preserve">Nat </w:t>
      </w:r>
      <w:proofErr w:type="spellStart"/>
      <w:r w:rsidRPr="00FE18CB">
        <w:rPr>
          <w:i/>
          <w:iCs/>
        </w:rPr>
        <w:t>Ecol</w:t>
      </w:r>
      <w:proofErr w:type="spellEnd"/>
      <w:r w:rsidRPr="00FE18CB">
        <w:rPr>
          <w:i/>
          <w:iCs/>
        </w:rPr>
        <w:t xml:space="preserve"> Evol</w:t>
      </w:r>
      <w:r w:rsidRPr="00FE18CB">
        <w:t xml:space="preserve"> </w:t>
      </w:r>
      <w:r w:rsidRPr="00FE18CB">
        <w:rPr>
          <w:b/>
          <w:bCs/>
        </w:rPr>
        <w:t>1</w:t>
      </w:r>
      <w:r w:rsidRPr="00FE18CB">
        <w:t>, 1–3 (2017).</w:t>
      </w:r>
    </w:p>
    <w:p w14:paraId="33977F16" w14:textId="77777777" w:rsidR="00FE18CB" w:rsidRPr="00FE18CB" w:rsidRDefault="00FE18CB" w:rsidP="00FE18CB">
      <w:pPr>
        <w:pStyle w:val="Bibliography"/>
      </w:pPr>
      <w:r w:rsidRPr="00FE18CB">
        <w:t xml:space="preserve">34. </w:t>
      </w:r>
      <w:r w:rsidRPr="00FE18CB">
        <w:tab/>
        <w:t xml:space="preserve">Z. Lu, R. Sethu, J. A. Imlay, Endogenous superoxide is a key effector of the oxygen sensitivity of a model obligate anaerobe. </w:t>
      </w:r>
      <w:r w:rsidRPr="00FE18CB">
        <w:rPr>
          <w:i/>
          <w:iCs/>
        </w:rPr>
        <w:t>Proceedings of the National Academy of Sciences</w:t>
      </w:r>
      <w:r w:rsidRPr="00FE18CB">
        <w:t xml:space="preserve"> </w:t>
      </w:r>
      <w:r w:rsidRPr="00FE18CB">
        <w:rPr>
          <w:b/>
          <w:bCs/>
        </w:rPr>
        <w:t>115</w:t>
      </w:r>
      <w:r w:rsidRPr="00FE18CB">
        <w:t>, E3266–E3275 (2018).</w:t>
      </w:r>
    </w:p>
    <w:p w14:paraId="55F32BE8" w14:textId="77777777" w:rsidR="00FE18CB" w:rsidRPr="00FE18CB" w:rsidRDefault="00FE18CB" w:rsidP="00FE18CB">
      <w:pPr>
        <w:pStyle w:val="Bibliography"/>
      </w:pPr>
      <w:r w:rsidRPr="00FE18CB">
        <w:t xml:space="preserve">35. </w:t>
      </w:r>
      <w:r w:rsidRPr="00FE18CB">
        <w:tab/>
        <w:t xml:space="preserve">J. M. McCord, B. B. Keele, I. </w:t>
      </w:r>
      <w:proofErr w:type="spellStart"/>
      <w:r w:rsidRPr="00FE18CB">
        <w:t>Fridovich</w:t>
      </w:r>
      <w:proofErr w:type="spellEnd"/>
      <w:r w:rsidRPr="00FE18CB">
        <w:t xml:space="preserve">, An Enzyme-Based Theory of Obligate Anaerobiosis: The Physiological Function of Superoxide Dismutase. </w:t>
      </w:r>
      <w:r w:rsidRPr="00FE18CB">
        <w:rPr>
          <w:i/>
          <w:iCs/>
        </w:rPr>
        <w:t>Proceedings of the National Academy of Sciences</w:t>
      </w:r>
      <w:r w:rsidRPr="00FE18CB">
        <w:t xml:space="preserve"> </w:t>
      </w:r>
      <w:r w:rsidRPr="00FE18CB">
        <w:rPr>
          <w:b/>
          <w:bCs/>
        </w:rPr>
        <w:t>68</w:t>
      </w:r>
      <w:r w:rsidRPr="00FE18CB">
        <w:t>, 1024–1027 (1971).</w:t>
      </w:r>
    </w:p>
    <w:p w14:paraId="6CE856F8" w14:textId="77777777" w:rsidR="00FE18CB" w:rsidRPr="00FE18CB" w:rsidRDefault="00FE18CB" w:rsidP="00FE18CB">
      <w:pPr>
        <w:pStyle w:val="Bibliography"/>
      </w:pPr>
      <w:r w:rsidRPr="00FE18CB">
        <w:lastRenderedPageBreak/>
        <w:t xml:space="preserve">36. </w:t>
      </w:r>
      <w:r w:rsidRPr="00FE18CB">
        <w:tab/>
        <w:t xml:space="preserve">L. </w:t>
      </w:r>
      <w:proofErr w:type="spellStart"/>
      <w:r w:rsidRPr="00FE18CB">
        <w:t>Albenberg</w:t>
      </w:r>
      <w:proofErr w:type="spellEnd"/>
      <w:r w:rsidRPr="00FE18CB">
        <w:t xml:space="preserve">, T. V. </w:t>
      </w:r>
      <w:proofErr w:type="spellStart"/>
      <w:r w:rsidRPr="00FE18CB">
        <w:t>Esipova</w:t>
      </w:r>
      <w:proofErr w:type="spellEnd"/>
      <w:r w:rsidRPr="00FE18CB">
        <w:t xml:space="preserve">, C. P. Judge, K. Bittinger, J. Chen, A. Laughlin, S. Grunberg, R. N. Baldassano, J. D. Lewis, H. Li, S. R. Thom, F. D. Bushman, S. A. Vinogradov, G. D. Wu, Correlation Between Intraluminal Oxygen Gradient and Radial Partitioning of Intestinal Microbiota. </w:t>
      </w:r>
      <w:r w:rsidRPr="00FE18CB">
        <w:rPr>
          <w:i/>
          <w:iCs/>
        </w:rPr>
        <w:t>Gastroenterology</w:t>
      </w:r>
      <w:r w:rsidRPr="00FE18CB">
        <w:t xml:space="preserve"> </w:t>
      </w:r>
      <w:r w:rsidRPr="00FE18CB">
        <w:rPr>
          <w:b/>
          <w:bCs/>
        </w:rPr>
        <w:t>147</w:t>
      </w:r>
      <w:r w:rsidRPr="00FE18CB">
        <w:t>, 1055-1063.e8 (2014).</w:t>
      </w:r>
    </w:p>
    <w:p w14:paraId="285D5351" w14:textId="77777777" w:rsidR="00FE18CB" w:rsidRPr="00FE18CB" w:rsidRDefault="00FE18CB" w:rsidP="00FE18CB">
      <w:pPr>
        <w:pStyle w:val="Bibliography"/>
      </w:pPr>
      <w:r w:rsidRPr="00FE18CB">
        <w:t xml:space="preserve">37. </w:t>
      </w:r>
      <w:r w:rsidRPr="00FE18CB">
        <w:tab/>
        <w:t xml:space="preserve">N.-R. Shin, T. W. </w:t>
      </w:r>
      <w:proofErr w:type="spellStart"/>
      <w:r w:rsidRPr="00FE18CB">
        <w:t>Whon</w:t>
      </w:r>
      <w:proofErr w:type="spellEnd"/>
      <w:r w:rsidRPr="00FE18CB">
        <w:t xml:space="preserve">, J.-W. Bae, </w:t>
      </w:r>
      <w:r w:rsidRPr="00FE18CB">
        <w:rPr>
          <w:i/>
          <w:iCs/>
        </w:rPr>
        <w:t>Proteobacteria</w:t>
      </w:r>
      <w:r w:rsidRPr="00FE18CB">
        <w:t xml:space="preserve">: microbial signature of dysbiosis in gut microbiota. </w:t>
      </w:r>
      <w:r w:rsidRPr="00FE18CB">
        <w:rPr>
          <w:i/>
          <w:iCs/>
        </w:rPr>
        <w:t>Trends in Biotechnology</w:t>
      </w:r>
      <w:r w:rsidRPr="00FE18CB">
        <w:t xml:space="preserve"> </w:t>
      </w:r>
      <w:r w:rsidRPr="00FE18CB">
        <w:rPr>
          <w:b/>
          <w:bCs/>
        </w:rPr>
        <w:t>33</w:t>
      </w:r>
      <w:r w:rsidRPr="00FE18CB">
        <w:t>, 496–503 (2015).</w:t>
      </w:r>
    </w:p>
    <w:p w14:paraId="1F522192" w14:textId="77777777" w:rsidR="00FE18CB" w:rsidRPr="00FE18CB" w:rsidRDefault="00FE18CB" w:rsidP="00FE18CB">
      <w:pPr>
        <w:pStyle w:val="Bibliography"/>
      </w:pPr>
      <w:r w:rsidRPr="00FE18CB">
        <w:t xml:space="preserve">38. </w:t>
      </w:r>
      <w:r w:rsidRPr="00FE18CB">
        <w:tab/>
        <w:t xml:space="preserve">H. J. Flint, Scott ,Karen P., Duncan ,Sylvia H., Louis ,Petra, E. and </w:t>
      </w:r>
      <w:proofErr w:type="spellStart"/>
      <w:r w:rsidRPr="00FE18CB">
        <w:t>Forano</w:t>
      </w:r>
      <w:proofErr w:type="spellEnd"/>
      <w:r w:rsidRPr="00FE18CB">
        <w:t xml:space="preserve">, Microbial degradation of complex carbohydrates in the gut. </w:t>
      </w:r>
      <w:r w:rsidRPr="00FE18CB">
        <w:rPr>
          <w:i/>
          <w:iCs/>
        </w:rPr>
        <w:t>Gut Microbes</w:t>
      </w:r>
      <w:r w:rsidRPr="00FE18CB">
        <w:t xml:space="preserve"> </w:t>
      </w:r>
      <w:r w:rsidRPr="00FE18CB">
        <w:rPr>
          <w:b/>
          <w:bCs/>
        </w:rPr>
        <w:t>3</w:t>
      </w:r>
      <w:r w:rsidRPr="00FE18CB">
        <w:t>, 289–306 (2012).</w:t>
      </w:r>
    </w:p>
    <w:p w14:paraId="2CDE9B08" w14:textId="77777777" w:rsidR="00FE18CB" w:rsidRPr="00FE18CB" w:rsidRDefault="00FE18CB" w:rsidP="00FE18CB">
      <w:pPr>
        <w:pStyle w:val="Bibliography"/>
      </w:pPr>
      <w:r w:rsidRPr="00FE18CB">
        <w:t xml:space="preserve">39. </w:t>
      </w:r>
      <w:r w:rsidRPr="00FE18CB">
        <w:tab/>
        <w:t xml:space="preserve">L. V. Hooper, T. </w:t>
      </w:r>
      <w:proofErr w:type="spellStart"/>
      <w:r w:rsidRPr="00FE18CB">
        <w:t>Midtvedt</w:t>
      </w:r>
      <w:proofErr w:type="spellEnd"/>
      <w:r w:rsidRPr="00FE18CB">
        <w:t xml:space="preserve">, J. I. Gordon, How host-microbial interactions shape the nutrient environment of the mammalian intestine. </w:t>
      </w:r>
      <w:r w:rsidRPr="00FE18CB">
        <w:rPr>
          <w:i/>
          <w:iCs/>
        </w:rPr>
        <w:t>Annual Review of Nutrition</w:t>
      </w:r>
      <w:r w:rsidRPr="00FE18CB">
        <w:t xml:space="preserve"> </w:t>
      </w:r>
      <w:r w:rsidRPr="00FE18CB">
        <w:rPr>
          <w:b/>
          <w:bCs/>
        </w:rPr>
        <w:t>22</w:t>
      </w:r>
      <w:r w:rsidRPr="00FE18CB">
        <w:t>, 283–307 (2002).</w:t>
      </w:r>
    </w:p>
    <w:p w14:paraId="72EE5633" w14:textId="77777777" w:rsidR="00FE18CB" w:rsidRPr="00FE18CB" w:rsidRDefault="00FE18CB" w:rsidP="00FE18CB">
      <w:pPr>
        <w:pStyle w:val="Bibliography"/>
      </w:pPr>
      <w:r w:rsidRPr="00FE18CB">
        <w:t xml:space="preserve">40. </w:t>
      </w:r>
      <w:r w:rsidRPr="00FE18CB">
        <w:tab/>
        <w:t xml:space="preserve">E. Maier, R. C. Anderson, N. C. Roy, Understanding How Commensal Obligate Anaerobic Bacteria Regulate Immune Functions in the Large Intestine. </w:t>
      </w:r>
      <w:r w:rsidRPr="00FE18CB">
        <w:rPr>
          <w:i/>
          <w:iCs/>
        </w:rPr>
        <w:t>Nutrients</w:t>
      </w:r>
      <w:r w:rsidRPr="00FE18CB">
        <w:t xml:space="preserve"> </w:t>
      </w:r>
      <w:r w:rsidRPr="00FE18CB">
        <w:rPr>
          <w:b/>
          <w:bCs/>
        </w:rPr>
        <w:t>7</w:t>
      </w:r>
      <w:r w:rsidRPr="00FE18CB">
        <w:t>, 45–73 (2014).</w:t>
      </w:r>
    </w:p>
    <w:p w14:paraId="3C6DC9A1" w14:textId="77777777" w:rsidR="00FE18CB" w:rsidRPr="00FE18CB" w:rsidRDefault="00FE18CB" w:rsidP="00FE18CB">
      <w:pPr>
        <w:pStyle w:val="Bibliography"/>
      </w:pPr>
      <w:r w:rsidRPr="00FE18CB">
        <w:t xml:space="preserve">41. </w:t>
      </w:r>
      <w:r w:rsidRPr="00FE18CB">
        <w:tab/>
        <w:t xml:space="preserve">R. Corrêa-Oliveira, J. L. </w:t>
      </w:r>
      <w:proofErr w:type="spellStart"/>
      <w:r w:rsidRPr="00FE18CB">
        <w:t>Fachi</w:t>
      </w:r>
      <w:proofErr w:type="spellEnd"/>
      <w:r w:rsidRPr="00FE18CB">
        <w:t xml:space="preserve">, A. Vieira, F. T. Sato, M. A. R. </w:t>
      </w:r>
      <w:proofErr w:type="spellStart"/>
      <w:r w:rsidRPr="00FE18CB">
        <w:t>Vinolo</w:t>
      </w:r>
      <w:proofErr w:type="spellEnd"/>
      <w:r w:rsidRPr="00FE18CB">
        <w:t xml:space="preserve">, Regulation of immune cell function by short-chain fatty acids. </w:t>
      </w:r>
      <w:r w:rsidRPr="00FE18CB">
        <w:rPr>
          <w:i/>
          <w:iCs/>
        </w:rPr>
        <w:t>Clinical &amp; Translational Immunology</w:t>
      </w:r>
      <w:r w:rsidRPr="00FE18CB">
        <w:t xml:space="preserve"> </w:t>
      </w:r>
      <w:r w:rsidRPr="00FE18CB">
        <w:rPr>
          <w:b/>
          <w:bCs/>
        </w:rPr>
        <w:t>5</w:t>
      </w:r>
      <w:r w:rsidRPr="00FE18CB">
        <w:t>, e73 (2016).</w:t>
      </w:r>
    </w:p>
    <w:p w14:paraId="5ADCFCEE" w14:textId="77777777" w:rsidR="00FE18CB" w:rsidRPr="00FE18CB" w:rsidRDefault="00FE18CB" w:rsidP="00FE18CB">
      <w:pPr>
        <w:pStyle w:val="Bibliography"/>
      </w:pPr>
      <w:r w:rsidRPr="00FE18CB">
        <w:t xml:space="preserve">42. </w:t>
      </w:r>
      <w:r w:rsidRPr="00FE18CB">
        <w:tab/>
        <w:t xml:space="preserve">Y. Furusawa, Y. Obata, S. Fukuda, T. A. Endo, G. Nakato, D. Takahashi, Y. Nakanishi, C. </w:t>
      </w:r>
      <w:proofErr w:type="spellStart"/>
      <w:r w:rsidRPr="00FE18CB">
        <w:t>Uetake</w:t>
      </w:r>
      <w:proofErr w:type="spellEnd"/>
      <w:r w:rsidRPr="00FE18CB">
        <w:t xml:space="preserve">, K. Kato, T. Kato, M. Takahashi, N. N. Fukuda, S. Murakami, E. Miyauchi, S. Hino, K. </w:t>
      </w:r>
      <w:proofErr w:type="spellStart"/>
      <w:r w:rsidRPr="00FE18CB">
        <w:t>Atarashi</w:t>
      </w:r>
      <w:proofErr w:type="spellEnd"/>
      <w:r w:rsidRPr="00FE18CB">
        <w:t xml:space="preserve">, S. Onawa, Y. Fujimura, T. Lockett, J. M. Clarke, D. L. Topping, M. Tomita, S. Hori, O. Ohara, T. Morita, H. Koseki, J. Kikuchi, K. Honda, K. Hase, H. Ohno, Commensal microbe-derived butyrate induces the differentiation of colonic regulatory T cells. </w:t>
      </w:r>
      <w:r w:rsidRPr="00FE18CB">
        <w:rPr>
          <w:i/>
          <w:iCs/>
        </w:rPr>
        <w:t>Nature</w:t>
      </w:r>
      <w:r w:rsidRPr="00FE18CB">
        <w:t xml:space="preserve"> </w:t>
      </w:r>
      <w:r w:rsidRPr="00FE18CB">
        <w:rPr>
          <w:b/>
          <w:bCs/>
        </w:rPr>
        <w:t>504</w:t>
      </w:r>
      <w:r w:rsidRPr="00FE18CB">
        <w:t>, 446–450 (2013).</w:t>
      </w:r>
    </w:p>
    <w:p w14:paraId="6AE00F53" w14:textId="77777777" w:rsidR="00FE18CB" w:rsidRPr="00FE18CB" w:rsidRDefault="00FE18CB" w:rsidP="00FE18CB">
      <w:pPr>
        <w:pStyle w:val="Bibliography"/>
      </w:pPr>
      <w:r w:rsidRPr="00FE18CB">
        <w:t xml:space="preserve">43. </w:t>
      </w:r>
      <w:r w:rsidRPr="00FE18CB">
        <w:tab/>
        <w:t xml:space="preserve">L. </w:t>
      </w:r>
      <w:proofErr w:type="spellStart"/>
      <w:r w:rsidRPr="00FE18CB">
        <w:t>Klampfer</w:t>
      </w:r>
      <w:proofErr w:type="spellEnd"/>
      <w:r w:rsidRPr="00FE18CB">
        <w:t xml:space="preserve">, J. Huang, T. </w:t>
      </w:r>
      <w:proofErr w:type="spellStart"/>
      <w:r w:rsidRPr="00FE18CB">
        <w:t>Sasazuki</w:t>
      </w:r>
      <w:proofErr w:type="spellEnd"/>
      <w:r w:rsidRPr="00FE18CB">
        <w:t xml:space="preserve">, S. </w:t>
      </w:r>
      <w:proofErr w:type="spellStart"/>
      <w:r w:rsidRPr="00FE18CB">
        <w:t>Shirasawa</w:t>
      </w:r>
      <w:proofErr w:type="spellEnd"/>
      <w:r w:rsidRPr="00FE18CB">
        <w:t xml:space="preserve">, L. </w:t>
      </w:r>
      <w:proofErr w:type="spellStart"/>
      <w:r w:rsidRPr="00FE18CB">
        <w:t>Augenlicht</w:t>
      </w:r>
      <w:proofErr w:type="spellEnd"/>
      <w:r w:rsidRPr="00FE18CB">
        <w:t xml:space="preserve">, Inhibition of Interferon γ Signaling by the Short Chain Fatty Acid Butyrate1. </w:t>
      </w:r>
      <w:r w:rsidRPr="00FE18CB">
        <w:rPr>
          <w:i/>
          <w:iCs/>
        </w:rPr>
        <w:t>Molecular Cancer Research</w:t>
      </w:r>
      <w:r w:rsidRPr="00FE18CB">
        <w:t xml:space="preserve"> </w:t>
      </w:r>
      <w:r w:rsidRPr="00FE18CB">
        <w:rPr>
          <w:b/>
          <w:bCs/>
        </w:rPr>
        <w:t>1</w:t>
      </w:r>
      <w:r w:rsidRPr="00FE18CB">
        <w:t>, 855–862 (2003).</w:t>
      </w:r>
    </w:p>
    <w:p w14:paraId="30B8CD54" w14:textId="77777777" w:rsidR="00FE18CB" w:rsidRPr="00FE18CB" w:rsidRDefault="00FE18CB" w:rsidP="00FE18CB">
      <w:pPr>
        <w:pStyle w:val="Bibliography"/>
      </w:pPr>
      <w:r w:rsidRPr="00FE18CB">
        <w:t xml:space="preserve">44. </w:t>
      </w:r>
      <w:r w:rsidRPr="00FE18CB">
        <w:tab/>
        <w:t xml:space="preserve">X. Liu, J. Shao, Y.-T. Liao, L.-N. Wang, Y. Jia, P. Dong, Z. Liu, D. He, C. Li, X. Zhang, Regulation of short-chain fatty acids in the immune system. </w:t>
      </w:r>
      <w:r w:rsidRPr="00FE18CB">
        <w:rPr>
          <w:i/>
          <w:iCs/>
        </w:rPr>
        <w:t>Front Immunol</w:t>
      </w:r>
      <w:r w:rsidRPr="00FE18CB">
        <w:t xml:space="preserve"> </w:t>
      </w:r>
      <w:r w:rsidRPr="00FE18CB">
        <w:rPr>
          <w:b/>
          <w:bCs/>
        </w:rPr>
        <w:t>14</w:t>
      </w:r>
      <w:r w:rsidRPr="00FE18CB">
        <w:t>, 1186892 (2023).</w:t>
      </w:r>
    </w:p>
    <w:p w14:paraId="3CA9D1D4" w14:textId="77777777" w:rsidR="00FE18CB" w:rsidRPr="00FE18CB" w:rsidRDefault="00FE18CB" w:rsidP="00FE18CB">
      <w:pPr>
        <w:pStyle w:val="Bibliography"/>
      </w:pPr>
      <w:r w:rsidRPr="00FE18CB">
        <w:t xml:space="preserve">45. </w:t>
      </w:r>
      <w:r w:rsidRPr="00FE18CB">
        <w:tab/>
        <w:t xml:space="preserve">Z. Yu, J. M. </w:t>
      </w:r>
      <w:proofErr w:type="spellStart"/>
      <w:r w:rsidRPr="00FE18CB">
        <w:t>Cantet</w:t>
      </w:r>
      <w:proofErr w:type="spellEnd"/>
      <w:r w:rsidRPr="00FE18CB">
        <w:t xml:space="preserve">, H. A. Paz, J. D. Kaufman, M. S. Orellano, I. R. </w:t>
      </w:r>
      <w:proofErr w:type="spellStart"/>
      <w:r w:rsidRPr="00FE18CB">
        <w:t>Ipharraguerre</w:t>
      </w:r>
      <w:proofErr w:type="spellEnd"/>
      <w:r w:rsidRPr="00FE18CB">
        <w:t xml:space="preserve">, A. G. Ríus, Heat stress–associated changes in the intestinal barrier, inflammatory signals, and microbiome communities in dairy calves. </w:t>
      </w:r>
      <w:r w:rsidRPr="00FE18CB">
        <w:rPr>
          <w:i/>
          <w:iCs/>
        </w:rPr>
        <w:t>Journal of Dairy Science</w:t>
      </w:r>
      <w:r w:rsidRPr="00FE18CB">
        <w:t xml:space="preserve"> </w:t>
      </w:r>
      <w:r w:rsidRPr="00FE18CB">
        <w:rPr>
          <w:b/>
          <w:bCs/>
        </w:rPr>
        <w:t>107</w:t>
      </w:r>
      <w:r w:rsidRPr="00FE18CB">
        <w:t>, 1175–1196 (2024).</w:t>
      </w:r>
    </w:p>
    <w:p w14:paraId="59E38256" w14:textId="77777777" w:rsidR="00FE18CB" w:rsidRPr="00FE18CB" w:rsidRDefault="00FE18CB" w:rsidP="00FE18CB">
      <w:pPr>
        <w:pStyle w:val="Bibliography"/>
      </w:pPr>
      <w:r w:rsidRPr="00FE18CB">
        <w:t xml:space="preserve">46. </w:t>
      </w:r>
      <w:r w:rsidRPr="00FE18CB">
        <w:tab/>
        <w:t xml:space="preserve">J. He, Y. He, D. Pan, J. Cao, Y. Sun, X. Zeng, Associations of Gut Microbiota With Heat Stress-Induced Changes of Growth, Fat Deposition, Intestinal Morphology, and Antioxidant Capacity in Ducks. </w:t>
      </w:r>
      <w:r w:rsidRPr="00FE18CB">
        <w:rPr>
          <w:i/>
          <w:iCs/>
        </w:rPr>
        <w:t xml:space="preserve">Front. </w:t>
      </w:r>
      <w:proofErr w:type="spellStart"/>
      <w:r w:rsidRPr="00FE18CB">
        <w:rPr>
          <w:i/>
          <w:iCs/>
        </w:rPr>
        <w:t>Microbiol</w:t>
      </w:r>
      <w:proofErr w:type="spellEnd"/>
      <w:r w:rsidRPr="00FE18CB">
        <w:rPr>
          <w:i/>
          <w:iCs/>
        </w:rPr>
        <w:t>.</w:t>
      </w:r>
      <w:r w:rsidRPr="00FE18CB">
        <w:t xml:space="preserve"> </w:t>
      </w:r>
      <w:r w:rsidRPr="00FE18CB">
        <w:rPr>
          <w:b/>
          <w:bCs/>
        </w:rPr>
        <w:t>10</w:t>
      </w:r>
      <w:r w:rsidRPr="00FE18CB">
        <w:t xml:space="preserve"> (2019).</w:t>
      </w:r>
    </w:p>
    <w:p w14:paraId="080C12A9" w14:textId="77777777" w:rsidR="00FE18CB" w:rsidRPr="00FE18CB" w:rsidRDefault="00FE18CB" w:rsidP="00FE18CB">
      <w:pPr>
        <w:pStyle w:val="Bibliography"/>
      </w:pPr>
      <w:r w:rsidRPr="00FE18CB">
        <w:lastRenderedPageBreak/>
        <w:t xml:space="preserve">47. </w:t>
      </w:r>
      <w:r w:rsidRPr="00FE18CB">
        <w:tab/>
        <w:t xml:space="preserve">Y.-J. Seo, L. </w:t>
      </w:r>
      <w:proofErr w:type="spellStart"/>
      <w:r w:rsidRPr="00FE18CB">
        <w:t>Chiwoong</w:t>
      </w:r>
      <w:proofErr w:type="spellEnd"/>
      <w:r w:rsidRPr="00FE18CB">
        <w:t xml:space="preserve">, L. </w:t>
      </w:r>
      <w:proofErr w:type="spellStart"/>
      <w:r w:rsidRPr="00FE18CB">
        <w:t>Byeonghwi</w:t>
      </w:r>
      <w:proofErr w:type="spellEnd"/>
      <w:r w:rsidRPr="00FE18CB">
        <w:t xml:space="preserve">, K. Jun-Mo, Microbial-transcriptome integrative analysis of heat stress effects on amino acid metabolism and lipid peroxidation in poultry jejunum. </w:t>
      </w:r>
      <w:r w:rsidRPr="00FE18CB">
        <w:rPr>
          <w:i/>
          <w:iCs/>
        </w:rPr>
        <w:t>Animal Biotechnology</w:t>
      </w:r>
      <w:r w:rsidRPr="00FE18CB">
        <w:t xml:space="preserve"> </w:t>
      </w:r>
      <w:r w:rsidRPr="00FE18CB">
        <w:rPr>
          <w:b/>
          <w:bCs/>
        </w:rPr>
        <w:t>35</w:t>
      </w:r>
      <w:r w:rsidRPr="00FE18CB">
        <w:t>, 2331179 (2024).</w:t>
      </w:r>
    </w:p>
    <w:p w14:paraId="523482B5" w14:textId="77777777" w:rsidR="00FE18CB" w:rsidRPr="00FE18CB" w:rsidRDefault="00FE18CB" w:rsidP="00FE18CB">
      <w:pPr>
        <w:pStyle w:val="Bibliography"/>
      </w:pPr>
      <w:r w:rsidRPr="00FE18CB">
        <w:t xml:space="preserve">48. </w:t>
      </w:r>
      <w:r w:rsidRPr="00FE18CB">
        <w:tab/>
        <w:t xml:space="preserve">K. J. Emerson, S. S. Fontaine, K. D. Kohl, S. K. Woodley, Temperature and the microbial environment alter brain morphology in a larval amphibian. </w:t>
      </w:r>
      <w:r w:rsidRPr="00FE18CB">
        <w:rPr>
          <w:i/>
          <w:iCs/>
        </w:rPr>
        <w:t>Journal of Experimental Biology</w:t>
      </w:r>
      <w:r w:rsidRPr="00FE18CB">
        <w:t xml:space="preserve"> </w:t>
      </w:r>
      <w:r w:rsidRPr="00FE18CB">
        <w:rPr>
          <w:b/>
          <w:bCs/>
        </w:rPr>
        <w:t>226</w:t>
      </w:r>
      <w:r w:rsidRPr="00FE18CB">
        <w:t>, jeb245333 (2023).</w:t>
      </w:r>
    </w:p>
    <w:p w14:paraId="43874520" w14:textId="77777777" w:rsidR="00FE18CB" w:rsidRPr="00FE18CB" w:rsidRDefault="00FE18CB" w:rsidP="00FE18CB">
      <w:pPr>
        <w:pStyle w:val="Bibliography"/>
      </w:pPr>
      <w:r w:rsidRPr="00FE18CB">
        <w:t xml:space="preserve">49. </w:t>
      </w:r>
      <w:r w:rsidRPr="00FE18CB">
        <w:tab/>
        <w:t xml:space="preserve">A. H. Moeller, K. Ivey, M. B. Cornwall, K. Herr, J. Rede, E. N. Taylor, A. R. Gunderson, The Lizard Gut Microbiome Changes with Temperature and Is Associated with Heat Tolerance. </w:t>
      </w:r>
      <w:r w:rsidRPr="00FE18CB">
        <w:rPr>
          <w:i/>
          <w:iCs/>
        </w:rPr>
        <w:t>Applied and Environmental Microbiology</w:t>
      </w:r>
      <w:r w:rsidRPr="00FE18CB">
        <w:t xml:space="preserve"> </w:t>
      </w:r>
      <w:r w:rsidRPr="00FE18CB">
        <w:rPr>
          <w:b/>
          <w:bCs/>
        </w:rPr>
        <w:t>86</w:t>
      </w:r>
      <w:r w:rsidRPr="00FE18CB">
        <w:t>, e01181-20 (2020).</w:t>
      </w:r>
    </w:p>
    <w:p w14:paraId="3773C1A1" w14:textId="77777777" w:rsidR="00FE18CB" w:rsidRPr="00FE18CB" w:rsidRDefault="00FE18CB" w:rsidP="00FE18CB">
      <w:pPr>
        <w:pStyle w:val="Bibliography"/>
      </w:pPr>
      <w:r w:rsidRPr="00FE18CB">
        <w:t xml:space="preserve">50. </w:t>
      </w:r>
      <w:r w:rsidRPr="00FE18CB">
        <w:tab/>
        <w:t xml:space="preserve">G. Wang, X. Li, Y. Zhou, J. Feng, M. Zhang, Effects of Heat Stress on Gut-Microbial Metabolites, Gastrointestinal Peptides, Glycolipid Metabolism, and Performance of Broilers. </w:t>
      </w:r>
      <w:r w:rsidRPr="00FE18CB">
        <w:rPr>
          <w:i/>
          <w:iCs/>
        </w:rPr>
        <w:t>Animals</w:t>
      </w:r>
      <w:r w:rsidRPr="00FE18CB">
        <w:t xml:space="preserve"> </w:t>
      </w:r>
      <w:r w:rsidRPr="00FE18CB">
        <w:rPr>
          <w:b/>
          <w:bCs/>
        </w:rPr>
        <w:t>11</w:t>
      </w:r>
      <w:r w:rsidRPr="00FE18CB">
        <w:t>, 1286 (2021).</w:t>
      </w:r>
    </w:p>
    <w:p w14:paraId="6ED811A1" w14:textId="77777777" w:rsidR="00FE18CB" w:rsidRPr="00FE18CB" w:rsidRDefault="00FE18CB" w:rsidP="00FE18CB">
      <w:pPr>
        <w:pStyle w:val="Bibliography"/>
      </w:pPr>
      <w:r w:rsidRPr="00FE18CB">
        <w:t xml:space="preserve">51. </w:t>
      </w:r>
      <w:r w:rsidRPr="00FE18CB">
        <w:tab/>
        <w:t xml:space="preserve">A. </w:t>
      </w:r>
      <w:proofErr w:type="spellStart"/>
      <w:r w:rsidRPr="00FE18CB">
        <w:t>Baniel</w:t>
      </w:r>
      <w:proofErr w:type="spellEnd"/>
      <w:r w:rsidRPr="00FE18CB">
        <w:t xml:space="preserve">, K. R. Amato, J. C. Beehner, T. J. Bergman, A. Mercer, R. F. Perlman, L. Petrullo, L. </w:t>
      </w:r>
      <w:proofErr w:type="spellStart"/>
      <w:r w:rsidRPr="00FE18CB">
        <w:t>Reitsema</w:t>
      </w:r>
      <w:proofErr w:type="spellEnd"/>
      <w:r w:rsidRPr="00FE18CB">
        <w:t xml:space="preserve">, S. Sams, A. Lu, N. Snyder-Mackler, Seasonal shifts in the gut microbiome indicate plastic responses to diet in wild geladas. </w:t>
      </w:r>
      <w:r w:rsidRPr="00FE18CB">
        <w:rPr>
          <w:i/>
          <w:iCs/>
        </w:rPr>
        <w:t>Microbiome</w:t>
      </w:r>
      <w:r w:rsidRPr="00FE18CB">
        <w:t xml:space="preserve"> </w:t>
      </w:r>
      <w:r w:rsidRPr="00FE18CB">
        <w:rPr>
          <w:b/>
          <w:bCs/>
        </w:rPr>
        <w:t>9</w:t>
      </w:r>
      <w:r w:rsidRPr="00FE18CB">
        <w:t>, 26 (2021).</w:t>
      </w:r>
    </w:p>
    <w:p w14:paraId="72294D03" w14:textId="77777777" w:rsidR="00FE18CB" w:rsidRPr="00FE18CB" w:rsidRDefault="00FE18CB" w:rsidP="00FE18CB">
      <w:pPr>
        <w:pStyle w:val="Bibliography"/>
      </w:pPr>
      <w:r w:rsidRPr="00FE18CB">
        <w:t xml:space="preserve">52. </w:t>
      </w:r>
      <w:r w:rsidRPr="00FE18CB">
        <w:tab/>
        <w:t xml:space="preserve">J. D. Orkin, F. A. Campos, M. S. Myers, S. E. Cheves Hernandez, A. Guadamuz, A. D. Melin, Seasonality of the gut microbiota of free-ranging white-faced capuchins in a tropical dry forest. </w:t>
      </w:r>
      <w:r w:rsidRPr="00FE18CB">
        <w:rPr>
          <w:i/>
          <w:iCs/>
        </w:rPr>
        <w:t>The ISME Journal</w:t>
      </w:r>
      <w:r w:rsidRPr="00FE18CB">
        <w:t xml:space="preserve"> </w:t>
      </w:r>
      <w:r w:rsidRPr="00FE18CB">
        <w:rPr>
          <w:b/>
          <w:bCs/>
        </w:rPr>
        <w:t>13</w:t>
      </w:r>
      <w:r w:rsidRPr="00FE18CB">
        <w:t>, 183–196 (2019).</w:t>
      </w:r>
    </w:p>
    <w:p w14:paraId="357C7223" w14:textId="77777777" w:rsidR="00FE18CB" w:rsidRPr="00FE18CB" w:rsidRDefault="00FE18CB" w:rsidP="00FE18CB">
      <w:pPr>
        <w:pStyle w:val="Bibliography"/>
      </w:pPr>
      <w:r w:rsidRPr="00FE18CB">
        <w:t xml:space="preserve">53. </w:t>
      </w:r>
      <w:r w:rsidRPr="00FE18CB">
        <w:tab/>
        <w:t xml:space="preserve">K. R. Amato, C. J. Yeoman, A. Kent, N. </w:t>
      </w:r>
      <w:proofErr w:type="spellStart"/>
      <w:r w:rsidRPr="00FE18CB">
        <w:t>Righini</w:t>
      </w:r>
      <w:proofErr w:type="spellEnd"/>
      <w:r w:rsidRPr="00FE18CB">
        <w:t xml:space="preserve">, F. Carbonero, A. Estrada, H. Rex Gaskins, R. M. Stumpf, S. Yildirim, M. Torralba, M. Gillis, B. A. Wilson, K. E. Nelson, B. A. White, S. R. Leigh, Habitat degradation impacts black howler monkey (Alouatta </w:t>
      </w:r>
      <w:proofErr w:type="spellStart"/>
      <w:r w:rsidRPr="00FE18CB">
        <w:t>pigra</w:t>
      </w:r>
      <w:proofErr w:type="spellEnd"/>
      <w:r w:rsidRPr="00FE18CB">
        <w:t xml:space="preserve">) gastrointestinal microbiomes. </w:t>
      </w:r>
      <w:r w:rsidRPr="00FE18CB">
        <w:rPr>
          <w:i/>
          <w:iCs/>
        </w:rPr>
        <w:t>ISME J</w:t>
      </w:r>
      <w:r w:rsidRPr="00FE18CB">
        <w:t xml:space="preserve"> </w:t>
      </w:r>
      <w:r w:rsidRPr="00FE18CB">
        <w:rPr>
          <w:b/>
          <w:bCs/>
        </w:rPr>
        <w:t>7</w:t>
      </w:r>
      <w:r w:rsidRPr="00FE18CB">
        <w:t>, 1344–1353 (2013).</w:t>
      </w:r>
    </w:p>
    <w:p w14:paraId="023380E9" w14:textId="77777777" w:rsidR="00FE18CB" w:rsidRPr="00FE18CB" w:rsidRDefault="00FE18CB" w:rsidP="00FE18CB">
      <w:pPr>
        <w:pStyle w:val="Bibliography"/>
      </w:pPr>
      <w:r w:rsidRPr="00FE18CB">
        <w:t xml:space="preserve">54. </w:t>
      </w:r>
      <w:r w:rsidRPr="00FE18CB">
        <w:tab/>
        <w:t xml:space="preserve">C. Barelli, D. Albanese, C. Donati, M. </w:t>
      </w:r>
      <w:proofErr w:type="spellStart"/>
      <w:r w:rsidRPr="00FE18CB">
        <w:t>Pindo</w:t>
      </w:r>
      <w:proofErr w:type="spellEnd"/>
      <w:r w:rsidRPr="00FE18CB">
        <w:t xml:space="preserve">, C. Dallago, F. Rovero, D. Cavalieri, K. M. Tuohy, H. C. Hauffe, C. De Filippo, Habitat fragmentation is associated to gut microbiota diversity of an endangered primate: implications for conservation. </w:t>
      </w:r>
      <w:r w:rsidRPr="00FE18CB">
        <w:rPr>
          <w:i/>
          <w:iCs/>
        </w:rPr>
        <w:t>Sci Rep</w:t>
      </w:r>
      <w:r w:rsidRPr="00FE18CB">
        <w:t xml:space="preserve"> </w:t>
      </w:r>
      <w:r w:rsidRPr="00FE18CB">
        <w:rPr>
          <w:b/>
          <w:bCs/>
        </w:rPr>
        <w:t>5</w:t>
      </w:r>
      <w:r w:rsidRPr="00FE18CB">
        <w:t>, 14862 (2015).</w:t>
      </w:r>
    </w:p>
    <w:p w14:paraId="0CE5161B" w14:textId="77777777" w:rsidR="00FE18CB" w:rsidRPr="00FE18CB" w:rsidRDefault="00FE18CB" w:rsidP="00FE18CB">
      <w:pPr>
        <w:pStyle w:val="Bibliography"/>
      </w:pPr>
      <w:r w:rsidRPr="00FE18CB">
        <w:t xml:space="preserve">55. </w:t>
      </w:r>
      <w:r w:rsidRPr="00FE18CB">
        <w:tab/>
        <w:t xml:space="preserve">K. R. Amato, R. Martinez-Mota, N. </w:t>
      </w:r>
      <w:proofErr w:type="spellStart"/>
      <w:r w:rsidRPr="00FE18CB">
        <w:t>Righini</w:t>
      </w:r>
      <w:proofErr w:type="spellEnd"/>
      <w:r w:rsidRPr="00FE18CB">
        <w:t xml:space="preserve">, M. </w:t>
      </w:r>
      <w:proofErr w:type="spellStart"/>
      <w:r w:rsidRPr="00FE18CB">
        <w:t>Raguet</w:t>
      </w:r>
      <w:proofErr w:type="spellEnd"/>
      <w:r w:rsidRPr="00FE18CB">
        <w:t xml:space="preserve">-Schofield, F. P. Corcione, E. Marini, G. Humphrey, G. </w:t>
      </w:r>
      <w:proofErr w:type="spellStart"/>
      <w:r w:rsidRPr="00FE18CB">
        <w:t>Gogul</w:t>
      </w:r>
      <w:proofErr w:type="spellEnd"/>
      <w:r w:rsidRPr="00FE18CB">
        <w:t xml:space="preserve">, J. Gaffney, E. Lovelace, L. Williams, A. Luong, M. G. Dominguez-Bello, R. M. Stumpf, B. White, K. E. Nelson, R. Knight, S. R. Leigh, Phylogenetic and ecological factors impact the gut microbiota of two Neotropical primate species. </w:t>
      </w:r>
      <w:proofErr w:type="spellStart"/>
      <w:r w:rsidRPr="00FE18CB">
        <w:rPr>
          <w:i/>
          <w:iCs/>
        </w:rPr>
        <w:t>Oecologia</w:t>
      </w:r>
      <w:proofErr w:type="spellEnd"/>
      <w:r w:rsidRPr="00FE18CB">
        <w:t xml:space="preserve"> </w:t>
      </w:r>
      <w:r w:rsidRPr="00FE18CB">
        <w:rPr>
          <w:b/>
          <w:bCs/>
        </w:rPr>
        <w:t>180</w:t>
      </w:r>
      <w:r w:rsidRPr="00FE18CB">
        <w:t>, 717–733 (2016).</w:t>
      </w:r>
    </w:p>
    <w:p w14:paraId="4B8DCAC6" w14:textId="77777777" w:rsidR="00FE18CB" w:rsidRPr="00FE18CB" w:rsidRDefault="00FE18CB" w:rsidP="00FE18CB">
      <w:pPr>
        <w:pStyle w:val="Bibliography"/>
      </w:pPr>
      <w:r w:rsidRPr="00FE18CB">
        <w:t xml:space="preserve">56. </w:t>
      </w:r>
      <w:r w:rsidRPr="00FE18CB">
        <w:tab/>
        <w:t xml:space="preserve">C. P. Bueno De Mesquita, L. M. Nichols, M. J. Gebert, C. Vanderburgh, G. </w:t>
      </w:r>
      <w:proofErr w:type="spellStart"/>
      <w:r w:rsidRPr="00FE18CB">
        <w:t>Bocksberger</w:t>
      </w:r>
      <w:proofErr w:type="spellEnd"/>
      <w:r w:rsidRPr="00FE18CB">
        <w:t xml:space="preserve">, J. D. Lester, A. K. Kalan, P. Dieguez, M. S. McCarthy, A. Agbor, P. Álvarez Varona, A. E. </w:t>
      </w:r>
      <w:proofErr w:type="spellStart"/>
      <w:r w:rsidRPr="00FE18CB">
        <w:t>Ayimisin</w:t>
      </w:r>
      <w:proofErr w:type="spellEnd"/>
      <w:r w:rsidRPr="00FE18CB">
        <w:t xml:space="preserve">, M. Bessone, R. Chancellor, H. Cohen, C. Coupland, T. Deschner, V. E. Egbe, A. </w:t>
      </w:r>
      <w:proofErr w:type="spellStart"/>
      <w:r w:rsidRPr="00FE18CB">
        <w:t>Goedmakers</w:t>
      </w:r>
      <w:proofErr w:type="spellEnd"/>
      <w:r w:rsidRPr="00FE18CB">
        <w:t xml:space="preserve">, A.-C. Granjon, C. C. Grueter, J. Head, R. A. Hernandez-Aguilar, K. J. Jeffery, S. Jones, P. Kadam, M. Kaiser, J. Lapuente, B. Larson, S. </w:t>
      </w:r>
      <w:proofErr w:type="spellStart"/>
      <w:r w:rsidRPr="00FE18CB">
        <w:t>Marrocoli</w:t>
      </w:r>
      <w:proofErr w:type="spellEnd"/>
      <w:r w:rsidRPr="00FE18CB">
        <w:t xml:space="preserve">, D. Morgan, B. Mugerwa, F. </w:t>
      </w:r>
      <w:proofErr w:type="spellStart"/>
      <w:r w:rsidRPr="00FE18CB">
        <w:t>Mulindahabi</w:t>
      </w:r>
      <w:proofErr w:type="spellEnd"/>
      <w:r w:rsidRPr="00FE18CB">
        <w:t xml:space="preserve">, E. Neil, P. </w:t>
      </w:r>
      <w:proofErr w:type="spellStart"/>
      <w:r w:rsidRPr="00FE18CB">
        <w:t>Niyigaba</w:t>
      </w:r>
      <w:proofErr w:type="spellEnd"/>
      <w:r w:rsidRPr="00FE18CB">
        <w:t xml:space="preserve">, L. Pacheco, A. K. Piel, M. M. Robbins, A. </w:t>
      </w:r>
      <w:proofErr w:type="spellStart"/>
      <w:r w:rsidRPr="00FE18CB">
        <w:t>Rundus</w:t>
      </w:r>
      <w:proofErr w:type="spellEnd"/>
      <w:r w:rsidRPr="00FE18CB">
        <w:t xml:space="preserve">, C. M. Sanz, L. </w:t>
      </w:r>
      <w:proofErr w:type="spellStart"/>
      <w:r w:rsidRPr="00FE18CB">
        <w:t>Sciaky</w:t>
      </w:r>
      <w:proofErr w:type="spellEnd"/>
      <w:r w:rsidRPr="00FE18CB">
        <w:t xml:space="preserve">, D. Sheil, V. Sommer, F. A. Stewart, E. Ton, J. Van </w:t>
      </w:r>
      <w:proofErr w:type="spellStart"/>
      <w:r w:rsidRPr="00FE18CB">
        <w:t>Schijndel</w:t>
      </w:r>
      <w:proofErr w:type="spellEnd"/>
      <w:r w:rsidRPr="00FE18CB">
        <w:t xml:space="preserve">, V. </w:t>
      </w:r>
      <w:proofErr w:type="spellStart"/>
      <w:r w:rsidRPr="00FE18CB">
        <w:t>Vergnes</w:t>
      </w:r>
      <w:proofErr w:type="spellEnd"/>
      <w:r w:rsidRPr="00FE18CB">
        <w:t xml:space="preserve">, E. G. Wessling, R. M. Wittig, Y. Ginath Yuh, K. </w:t>
      </w:r>
      <w:proofErr w:type="spellStart"/>
      <w:r w:rsidRPr="00FE18CB">
        <w:t>Yurkiw</w:t>
      </w:r>
      <w:proofErr w:type="spellEnd"/>
      <w:r w:rsidRPr="00FE18CB">
        <w:t xml:space="preserve">, </w:t>
      </w:r>
      <w:r w:rsidRPr="00FE18CB">
        <w:lastRenderedPageBreak/>
        <w:t xml:space="preserve">K. </w:t>
      </w:r>
      <w:proofErr w:type="spellStart"/>
      <w:r w:rsidRPr="00FE18CB">
        <w:t>Zuberbühler</w:t>
      </w:r>
      <w:proofErr w:type="spellEnd"/>
      <w:r w:rsidRPr="00FE18CB">
        <w:t xml:space="preserve">, J. F. </w:t>
      </w:r>
      <w:proofErr w:type="spellStart"/>
      <w:r w:rsidRPr="00FE18CB">
        <w:t>Gogarten</w:t>
      </w:r>
      <w:proofErr w:type="spellEnd"/>
      <w:r w:rsidRPr="00FE18CB">
        <w:t>, A. Heintz-</w:t>
      </w:r>
      <w:proofErr w:type="spellStart"/>
      <w:r w:rsidRPr="00FE18CB">
        <w:t>Buschart</w:t>
      </w:r>
      <w:proofErr w:type="spellEnd"/>
      <w:r w:rsidRPr="00FE18CB">
        <w:t xml:space="preserve">, A. N. Muellner-Riehl, C. Boesch, H. S. Kühl, N. Fierer, M. </w:t>
      </w:r>
      <w:proofErr w:type="spellStart"/>
      <w:r w:rsidRPr="00FE18CB">
        <w:t>Arandjelovic</w:t>
      </w:r>
      <w:proofErr w:type="spellEnd"/>
      <w:r w:rsidRPr="00FE18CB">
        <w:t xml:space="preserve">, R. R. Dunn, Structure of Chimpanzee Gut Microbiomes across Tropical Africa. </w:t>
      </w:r>
      <w:proofErr w:type="spellStart"/>
      <w:r w:rsidRPr="00FE18CB">
        <w:rPr>
          <w:i/>
          <w:iCs/>
        </w:rPr>
        <w:t>mSystems</w:t>
      </w:r>
      <w:proofErr w:type="spellEnd"/>
      <w:r w:rsidRPr="00FE18CB">
        <w:t xml:space="preserve"> </w:t>
      </w:r>
      <w:r w:rsidRPr="00FE18CB">
        <w:rPr>
          <w:b/>
          <w:bCs/>
        </w:rPr>
        <w:t>6</w:t>
      </w:r>
      <w:r w:rsidRPr="00FE18CB">
        <w:t>, e01269-20 (2021).</w:t>
      </w:r>
    </w:p>
    <w:p w14:paraId="19A8EAE9" w14:textId="77777777" w:rsidR="00FE18CB" w:rsidRPr="00FE18CB" w:rsidRDefault="00FE18CB" w:rsidP="00FE18CB">
      <w:pPr>
        <w:pStyle w:val="Bibliography"/>
      </w:pPr>
      <w:r w:rsidRPr="00FE18CB">
        <w:t xml:space="preserve">57. </w:t>
      </w:r>
      <w:r w:rsidRPr="00FE18CB">
        <w:tab/>
        <w:t xml:space="preserve">C. Murr, B. Widner, B. </w:t>
      </w:r>
      <w:proofErr w:type="spellStart"/>
      <w:r w:rsidRPr="00FE18CB">
        <w:t>Wirleitner</w:t>
      </w:r>
      <w:proofErr w:type="spellEnd"/>
      <w:r w:rsidRPr="00FE18CB">
        <w:t xml:space="preserve">, D. Fuchs, Neopterin as a marker for immune system activation. </w:t>
      </w:r>
      <w:r w:rsidRPr="00FE18CB">
        <w:rPr>
          <w:i/>
          <w:iCs/>
        </w:rPr>
        <w:t xml:space="preserve">Curr Drug </w:t>
      </w:r>
      <w:proofErr w:type="spellStart"/>
      <w:r w:rsidRPr="00FE18CB">
        <w:rPr>
          <w:i/>
          <w:iCs/>
        </w:rPr>
        <w:t>Metab</w:t>
      </w:r>
      <w:proofErr w:type="spellEnd"/>
      <w:r w:rsidRPr="00FE18CB">
        <w:t xml:space="preserve"> </w:t>
      </w:r>
      <w:r w:rsidRPr="00FE18CB">
        <w:rPr>
          <w:b/>
          <w:bCs/>
        </w:rPr>
        <w:t>3</w:t>
      </w:r>
      <w:r w:rsidRPr="00FE18CB">
        <w:t>, 175–187 (2002).</w:t>
      </w:r>
    </w:p>
    <w:p w14:paraId="0048A0CD" w14:textId="77777777" w:rsidR="00FE18CB" w:rsidRPr="00FE18CB" w:rsidRDefault="00FE18CB" w:rsidP="00FE18CB">
      <w:pPr>
        <w:pStyle w:val="Bibliography"/>
      </w:pPr>
      <w:r w:rsidRPr="00FE18CB">
        <w:t xml:space="preserve">58. </w:t>
      </w:r>
      <w:r w:rsidRPr="00FE18CB">
        <w:tab/>
        <w:t xml:space="preserve">B. Kelsall, Recent progress in understanding the phenotype and function of intestinal dendritic cells and macrophages. </w:t>
      </w:r>
      <w:r w:rsidRPr="00FE18CB">
        <w:rPr>
          <w:i/>
          <w:iCs/>
        </w:rPr>
        <w:t>Mucosal Immunology</w:t>
      </w:r>
      <w:r w:rsidRPr="00FE18CB">
        <w:t xml:space="preserve"> </w:t>
      </w:r>
      <w:r w:rsidRPr="00FE18CB">
        <w:rPr>
          <w:b/>
          <w:bCs/>
        </w:rPr>
        <w:t>1</w:t>
      </w:r>
      <w:r w:rsidRPr="00FE18CB">
        <w:t>, 460–469 (2008).</w:t>
      </w:r>
    </w:p>
    <w:p w14:paraId="7D4D75C4" w14:textId="77777777" w:rsidR="00FE18CB" w:rsidRPr="00FE18CB" w:rsidRDefault="00FE18CB" w:rsidP="00FE18CB">
      <w:pPr>
        <w:pStyle w:val="Bibliography"/>
      </w:pPr>
      <w:r w:rsidRPr="00FE18CB">
        <w:t xml:space="preserve">59. </w:t>
      </w:r>
      <w:r w:rsidRPr="00FE18CB">
        <w:tab/>
        <w:t xml:space="preserve">J. Wang, W.-D. Chen, Y.-D. Wang, The Relationship Between Gut Microbiota and Inflammatory Diseases: The Role of Macrophages. </w:t>
      </w:r>
      <w:r w:rsidRPr="00FE18CB">
        <w:rPr>
          <w:i/>
          <w:iCs/>
        </w:rPr>
        <w:t xml:space="preserve">Front. </w:t>
      </w:r>
      <w:proofErr w:type="spellStart"/>
      <w:r w:rsidRPr="00FE18CB">
        <w:rPr>
          <w:i/>
          <w:iCs/>
        </w:rPr>
        <w:t>Microbiol</w:t>
      </w:r>
      <w:proofErr w:type="spellEnd"/>
      <w:r w:rsidRPr="00FE18CB">
        <w:rPr>
          <w:i/>
          <w:iCs/>
        </w:rPr>
        <w:t>.</w:t>
      </w:r>
      <w:r w:rsidRPr="00FE18CB">
        <w:t xml:space="preserve"> </w:t>
      </w:r>
      <w:r w:rsidRPr="00FE18CB">
        <w:rPr>
          <w:b/>
          <w:bCs/>
        </w:rPr>
        <w:t>11</w:t>
      </w:r>
      <w:r w:rsidRPr="00FE18CB">
        <w:t xml:space="preserve"> (2020).</w:t>
      </w:r>
    </w:p>
    <w:p w14:paraId="1FABE13C" w14:textId="77777777" w:rsidR="00FE18CB" w:rsidRPr="00FE18CB" w:rsidRDefault="00FE18CB" w:rsidP="00FE18CB">
      <w:pPr>
        <w:pStyle w:val="Bibliography"/>
      </w:pPr>
      <w:r w:rsidRPr="00FE18CB">
        <w:t xml:space="preserve">60. </w:t>
      </w:r>
      <w:r w:rsidRPr="00FE18CB">
        <w:tab/>
        <w:t xml:space="preserve">C. A. Portillo-Quintero, G. A. Sánchez-Azofeifa, Extent and conservation of tropical dry forests in the Americas. </w:t>
      </w:r>
      <w:r w:rsidRPr="00FE18CB">
        <w:rPr>
          <w:i/>
          <w:iCs/>
        </w:rPr>
        <w:t>Biological Conservation</w:t>
      </w:r>
      <w:r w:rsidRPr="00FE18CB">
        <w:t xml:space="preserve"> </w:t>
      </w:r>
      <w:r w:rsidRPr="00FE18CB">
        <w:rPr>
          <w:b/>
          <w:bCs/>
        </w:rPr>
        <w:t>143</w:t>
      </w:r>
      <w:r w:rsidRPr="00FE18CB">
        <w:t>, 144–155 (2010).</w:t>
      </w:r>
    </w:p>
    <w:p w14:paraId="1FEC746B" w14:textId="77777777" w:rsidR="00FE18CB" w:rsidRPr="00FE18CB" w:rsidRDefault="00FE18CB" w:rsidP="00FE18CB">
      <w:pPr>
        <w:pStyle w:val="Bibliography"/>
      </w:pPr>
      <w:r w:rsidRPr="00FE18CB">
        <w:t xml:space="preserve">61. </w:t>
      </w:r>
      <w:r w:rsidRPr="00FE18CB">
        <w:tab/>
        <w:t xml:space="preserve">P. G. Murphy, A. E. Lugo, Ecology of Tropical Dry Forest. </w:t>
      </w:r>
      <w:r w:rsidRPr="00FE18CB">
        <w:rPr>
          <w:i/>
          <w:iCs/>
        </w:rPr>
        <w:t>Annual Review of Ecology and Systematics</w:t>
      </w:r>
      <w:r w:rsidRPr="00FE18CB">
        <w:t xml:space="preserve"> </w:t>
      </w:r>
      <w:r w:rsidRPr="00FE18CB">
        <w:rPr>
          <w:b/>
          <w:bCs/>
        </w:rPr>
        <w:t>17</w:t>
      </w:r>
      <w:r w:rsidRPr="00FE18CB">
        <w:t>, 67–88 (1986).</w:t>
      </w:r>
    </w:p>
    <w:p w14:paraId="4D3AFA7F" w14:textId="77777777" w:rsidR="00FE18CB" w:rsidRPr="00FE18CB" w:rsidRDefault="00FE18CB" w:rsidP="00FE18CB">
      <w:pPr>
        <w:pStyle w:val="Bibliography"/>
      </w:pPr>
      <w:r w:rsidRPr="00FE18CB">
        <w:t xml:space="preserve">62. </w:t>
      </w:r>
      <w:r w:rsidRPr="00FE18CB">
        <w:tab/>
        <w:t xml:space="preserve">M. C. Mansilla, L. E. Cybulski, D. Albanesi, D. de Mendoza, Control of Membrane Lipid Fluidity by Molecular </w:t>
      </w:r>
      <w:proofErr w:type="spellStart"/>
      <w:r w:rsidRPr="00FE18CB">
        <w:t>Thermosensors</w:t>
      </w:r>
      <w:proofErr w:type="spellEnd"/>
      <w:r w:rsidRPr="00FE18CB">
        <w:t xml:space="preserve">. </w:t>
      </w:r>
      <w:r w:rsidRPr="00FE18CB">
        <w:rPr>
          <w:i/>
          <w:iCs/>
        </w:rPr>
        <w:t>Journal of Bacteriology</w:t>
      </w:r>
      <w:r w:rsidRPr="00FE18CB">
        <w:t xml:space="preserve"> </w:t>
      </w:r>
      <w:r w:rsidRPr="00FE18CB">
        <w:rPr>
          <w:b/>
          <w:bCs/>
        </w:rPr>
        <w:t>186</w:t>
      </w:r>
      <w:r w:rsidRPr="00FE18CB">
        <w:t>, 6681–6688 (2004).</w:t>
      </w:r>
    </w:p>
    <w:p w14:paraId="6AA8BADE" w14:textId="77777777" w:rsidR="00FE18CB" w:rsidRPr="00FE18CB" w:rsidRDefault="00FE18CB" w:rsidP="00FE18CB">
      <w:pPr>
        <w:pStyle w:val="Bibliography"/>
      </w:pPr>
      <w:r w:rsidRPr="00FE18CB">
        <w:t xml:space="preserve">63. </w:t>
      </w:r>
      <w:r w:rsidRPr="00FE18CB">
        <w:tab/>
        <w:t xml:space="preserve">Y.-M. Zhang, C. O. Rock, Membrane lipid homeostasis in bacteria. </w:t>
      </w:r>
      <w:r w:rsidRPr="00FE18CB">
        <w:rPr>
          <w:i/>
          <w:iCs/>
        </w:rPr>
        <w:t xml:space="preserve">Nat Rev </w:t>
      </w:r>
      <w:proofErr w:type="spellStart"/>
      <w:r w:rsidRPr="00FE18CB">
        <w:rPr>
          <w:i/>
          <w:iCs/>
        </w:rPr>
        <w:t>Microbiol</w:t>
      </w:r>
      <w:proofErr w:type="spellEnd"/>
      <w:r w:rsidRPr="00FE18CB">
        <w:t xml:space="preserve"> </w:t>
      </w:r>
      <w:r w:rsidRPr="00FE18CB">
        <w:rPr>
          <w:b/>
          <w:bCs/>
        </w:rPr>
        <w:t>6</w:t>
      </w:r>
      <w:r w:rsidRPr="00FE18CB">
        <w:t>, 222–233 (2008).</w:t>
      </w:r>
    </w:p>
    <w:p w14:paraId="6615C398" w14:textId="77777777" w:rsidR="00FE18CB" w:rsidRPr="00FE18CB" w:rsidRDefault="00FE18CB" w:rsidP="00FE18CB">
      <w:pPr>
        <w:pStyle w:val="Bibliography"/>
      </w:pPr>
      <w:r w:rsidRPr="00FE18CB">
        <w:t xml:space="preserve">64. </w:t>
      </w:r>
      <w:r w:rsidRPr="00FE18CB">
        <w:tab/>
        <w:t xml:space="preserve">E. A. Dennis, Diversity of group types, regulation, and function of phospholipase A2. </w:t>
      </w:r>
      <w:r w:rsidRPr="00FE18CB">
        <w:rPr>
          <w:i/>
          <w:iCs/>
        </w:rPr>
        <w:t>Journal of Biological Chemistry</w:t>
      </w:r>
      <w:r w:rsidRPr="00FE18CB">
        <w:t xml:space="preserve"> </w:t>
      </w:r>
      <w:r w:rsidRPr="00FE18CB">
        <w:rPr>
          <w:b/>
          <w:bCs/>
        </w:rPr>
        <w:t>269</w:t>
      </w:r>
      <w:r w:rsidRPr="00FE18CB">
        <w:t>, 13057–13060 (1994).</w:t>
      </w:r>
    </w:p>
    <w:p w14:paraId="6BFD7C1A" w14:textId="77777777" w:rsidR="00FE18CB" w:rsidRPr="00FE18CB" w:rsidRDefault="00FE18CB" w:rsidP="00FE18CB">
      <w:pPr>
        <w:pStyle w:val="Bibliography"/>
      </w:pPr>
      <w:r w:rsidRPr="00FE18CB">
        <w:t xml:space="preserve">65. </w:t>
      </w:r>
      <w:r w:rsidRPr="00FE18CB">
        <w:tab/>
        <w:t xml:space="preserve">D. M. Hall, K. R. Baumgardner, T. D. Oberley, C. V. </w:t>
      </w:r>
      <w:proofErr w:type="spellStart"/>
      <w:r w:rsidRPr="00FE18CB">
        <w:t>Gisolfi</w:t>
      </w:r>
      <w:proofErr w:type="spellEnd"/>
      <w:r w:rsidRPr="00FE18CB">
        <w:t xml:space="preserve">, Splanchnic tissues undergo hypoxic stress  during whole body hyperthermia. </w:t>
      </w:r>
      <w:r w:rsidRPr="00FE18CB">
        <w:rPr>
          <w:i/>
          <w:iCs/>
        </w:rPr>
        <w:t>American Journal of Physiology-Gastrointestinal and Liver Physiology</w:t>
      </w:r>
      <w:r w:rsidRPr="00FE18CB">
        <w:t xml:space="preserve"> </w:t>
      </w:r>
      <w:r w:rsidRPr="00FE18CB">
        <w:rPr>
          <w:b/>
          <w:bCs/>
        </w:rPr>
        <w:t>276</w:t>
      </w:r>
      <w:r w:rsidRPr="00FE18CB">
        <w:t>, G1195–G1203 (1999).</w:t>
      </w:r>
    </w:p>
    <w:p w14:paraId="768EE222" w14:textId="77777777" w:rsidR="00FE18CB" w:rsidRPr="00FE18CB" w:rsidRDefault="00FE18CB" w:rsidP="00FE18CB">
      <w:pPr>
        <w:pStyle w:val="Bibliography"/>
      </w:pPr>
      <w:r w:rsidRPr="00FE18CB">
        <w:t xml:space="preserve">66. </w:t>
      </w:r>
      <w:r w:rsidRPr="00FE18CB">
        <w:tab/>
        <w:t xml:space="preserve">H. Hellmann, S. Mooney, Vitamin B6: A Molecule for Human Health? </w:t>
      </w:r>
      <w:r w:rsidRPr="00FE18CB">
        <w:rPr>
          <w:i/>
          <w:iCs/>
        </w:rPr>
        <w:t>Molecules</w:t>
      </w:r>
      <w:r w:rsidRPr="00FE18CB">
        <w:t xml:space="preserve"> </w:t>
      </w:r>
      <w:r w:rsidRPr="00FE18CB">
        <w:rPr>
          <w:b/>
          <w:bCs/>
        </w:rPr>
        <w:t>15</w:t>
      </w:r>
      <w:r w:rsidRPr="00FE18CB">
        <w:t>, 442–459 (2010).</w:t>
      </w:r>
    </w:p>
    <w:p w14:paraId="628639BF" w14:textId="77777777" w:rsidR="00FE18CB" w:rsidRPr="00FE18CB" w:rsidRDefault="00FE18CB" w:rsidP="00FE18CB">
      <w:pPr>
        <w:pStyle w:val="Bibliography"/>
      </w:pPr>
      <w:r w:rsidRPr="00FE18CB">
        <w:t xml:space="preserve">67. </w:t>
      </w:r>
      <w:r w:rsidRPr="00FE18CB">
        <w:tab/>
        <w:t xml:space="preserve">H. J. Powers, Riboflavin (vitamin B-2) and health12. </w:t>
      </w:r>
      <w:r w:rsidRPr="00FE18CB">
        <w:rPr>
          <w:i/>
          <w:iCs/>
        </w:rPr>
        <w:t>The American Journal of Clinical Nutrition</w:t>
      </w:r>
      <w:r w:rsidRPr="00FE18CB">
        <w:t xml:space="preserve"> </w:t>
      </w:r>
      <w:r w:rsidRPr="00FE18CB">
        <w:rPr>
          <w:b/>
          <w:bCs/>
        </w:rPr>
        <w:t>77</w:t>
      </w:r>
      <w:r w:rsidRPr="00FE18CB">
        <w:t>, 1352–1360 (2003).</w:t>
      </w:r>
    </w:p>
    <w:p w14:paraId="526236EB" w14:textId="77777777" w:rsidR="00FE18CB" w:rsidRPr="00FE18CB" w:rsidRDefault="00FE18CB" w:rsidP="00FE18CB">
      <w:pPr>
        <w:pStyle w:val="Bibliography"/>
      </w:pPr>
      <w:r w:rsidRPr="00FE18CB">
        <w:t xml:space="preserve">68. </w:t>
      </w:r>
      <w:r w:rsidRPr="00FE18CB">
        <w:tab/>
        <w:t xml:space="preserve">I. Gout, Coenzyme A, protein </w:t>
      </w:r>
      <w:proofErr w:type="spellStart"/>
      <w:r w:rsidRPr="00FE18CB">
        <w:t>CoAlation</w:t>
      </w:r>
      <w:proofErr w:type="spellEnd"/>
      <w:r w:rsidRPr="00FE18CB">
        <w:t xml:space="preserve"> and redox regulation in mammalian cells. </w:t>
      </w:r>
      <w:r w:rsidRPr="00FE18CB">
        <w:rPr>
          <w:i/>
          <w:iCs/>
        </w:rPr>
        <w:t>Biochemical Society Transactions</w:t>
      </w:r>
      <w:r w:rsidRPr="00FE18CB">
        <w:t xml:space="preserve"> </w:t>
      </w:r>
      <w:r w:rsidRPr="00FE18CB">
        <w:rPr>
          <w:b/>
          <w:bCs/>
        </w:rPr>
        <w:t>46</w:t>
      </w:r>
      <w:r w:rsidRPr="00FE18CB">
        <w:t>, 721–728 (2018).</w:t>
      </w:r>
    </w:p>
    <w:p w14:paraId="1CE1A9BE" w14:textId="77777777" w:rsidR="00FE18CB" w:rsidRPr="00FE18CB" w:rsidRDefault="00FE18CB" w:rsidP="00FE18CB">
      <w:pPr>
        <w:pStyle w:val="Bibliography"/>
      </w:pPr>
      <w:r w:rsidRPr="00FE18CB">
        <w:t xml:space="preserve">69. </w:t>
      </w:r>
      <w:r w:rsidRPr="00FE18CB">
        <w:tab/>
        <w:t xml:space="preserve">S. C. Lu, Glutathione synthesis. </w:t>
      </w:r>
      <w:proofErr w:type="spellStart"/>
      <w:r w:rsidRPr="00FE18CB">
        <w:rPr>
          <w:i/>
          <w:iCs/>
        </w:rPr>
        <w:t>Biochimica</w:t>
      </w:r>
      <w:proofErr w:type="spellEnd"/>
      <w:r w:rsidRPr="00FE18CB">
        <w:rPr>
          <w:i/>
          <w:iCs/>
        </w:rPr>
        <w:t xml:space="preserve"> et </w:t>
      </w:r>
      <w:proofErr w:type="spellStart"/>
      <w:r w:rsidRPr="00FE18CB">
        <w:rPr>
          <w:i/>
          <w:iCs/>
        </w:rPr>
        <w:t>Biophysica</w:t>
      </w:r>
      <w:proofErr w:type="spellEnd"/>
      <w:r w:rsidRPr="00FE18CB">
        <w:rPr>
          <w:i/>
          <w:iCs/>
        </w:rPr>
        <w:t xml:space="preserve"> Acta (BBA) - General Subjects</w:t>
      </w:r>
      <w:r w:rsidRPr="00FE18CB">
        <w:t xml:space="preserve"> </w:t>
      </w:r>
      <w:r w:rsidRPr="00FE18CB">
        <w:rPr>
          <w:b/>
          <w:bCs/>
        </w:rPr>
        <w:t>1830</w:t>
      </w:r>
      <w:r w:rsidRPr="00FE18CB">
        <w:t>, 3143–3153 (2013).</w:t>
      </w:r>
    </w:p>
    <w:p w14:paraId="1839A5BC" w14:textId="77777777" w:rsidR="00FE18CB" w:rsidRPr="00FE18CB" w:rsidRDefault="00FE18CB" w:rsidP="00FE18CB">
      <w:pPr>
        <w:pStyle w:val="Bibliography"/>
      </w:pPr>
      <w:r w:rsidRPr="00FE18CB">
        <w:t xml:space="preserve">70. </w:t>
      </w:r>
      <w:r w:rsidRPr="00FE18CB">
        <w:tab/>
        <w:t xml:space="preserve">S. Dhungana, A. L. and Crumbliss, Coordination Chemistry and Redox Processes in Siderophore-Mediated Iron Transport. </w:t>
      </w:r>
      <w:r w:rsidRPr="00FE18CB">
        <w:rPr>
          <w:i/>
          <w:iCs/>
        </w:rPr>
        <w:t>Geomicrobiology Journal</w:t>
      </w:r>
      <w:r w:rsidRPr="00FE18CB">
        <w:t xml:space="preserve"> </w:t>
      </w:r>
      <w:r w:rsidRPr="00FE18CB">
        <w:rPr>
          <w:b/>
          <w:bCs/>
        </w:rPr>
        <w:t>22</w:t>
      </w:r>
      <w:r w:rsidRPr="00FE18CB">
        <w:t>, 87–98 (2005).</w:t>
      </w:r>
    </w:p>
    <w:p w14:paraId="7697CA40" w14:textId="77777777" w:rsidR="00FE18CB" w:rsidRPr="00FE18CB" w:rsidRDefault="00FE18CB" w:rsidP="00FE18CB">
      <w:pPr>
        <w:pStyle w:val="Bibliography"/>
      </w:pPr>
      <w:r w:rsidRPr="00FE18CB">
        <w:lastRenderedPageBreak/>
        <w:t xml:space="preserve">71. </w:t>
      </w:r>
      <w:r w:rsidRPr="00FE18CB">
        <w:tab/>
        <w:t>W. Ying, NAD</w:t>
      </w:r>
      <w:r w:rsidRPr="00FE18CB">
        <w:rPr>
          <w:vertAlign w:val="superscript"/>
        </w:rPr>
        <w:t>+</w:t>
      </w:r>
      <w:r w:rsidRPr="00FE18CB">
        <w:t xml:space="preserve"> /NADH and NADP</w:t>
      </w:r>
      <w:r w:rsidRPr="00FE18CB">
        <w:rPr>
          <w:vertAlign w:val="superscript"/>
        </w:rPr>
        <w:t>+</w:t>
      </w:r>
      <w:r w:rsidRPr="00FE18CB">
        <w:t xml:space="preserve"> /NADPH in Cellular Functions and Cell Death: Regulation and Biological Consequences. </w:t>
      </w:r>
      <w:r w:rsidRPr="00FE18CB">
        <w:rPr>
          <w:i/>
          <w:iCs/>
        </w:rPr>
        <w:t>Antioxidants &amp; Redox Signaling</w:t>
      </w:r>
      <w:r w:rsidRPr="00FE18CB">
        <w:t xml:space="preserve"> </w:t>
      </w:r>
      <w:r w:rsidRPr="00FE18CB">
        <w:rPr>
          <w:b/>
          <w:bCs/>
        </w:rPr>
        <w:t>10</w:t>
      </w:r>
      <w:r w:rsidRPr="00FE18CB">
        <w:t>, 179–206 (2008).</w:t>
      </w:r>
    </w:p>
    <w:p w14:paraId="3836F8DB" w14:textId="77777777" w:rsidR="00FE18CB" w:rsidRPr="00FE18CB" w:rsidRDefault="00FE18CB" w:rsidP="00FE18CB">
      <w:pPr>
        <w:pStyle w:val="Bibliography"/>
      </w:pPr>
      <w:r w:rsidRPr="00FE18CB">
        <w:t xml:space="preserve">72. </w:t>
      </w:r>
      <w:r w:rsidRPr="00FE18CB">
        <w:tab/>
        <w:t xml:space="preserve">M. P. Kalapos, Methylglyoxal in living organisms: Chemistry, biochemistry, toxicology and biological implications. </w:t>
      </w:r>
      <w:r w:rsidRPr="00FE18CB">
        <w:rPr>
          <w:i/>
          <w:iCs/>
        </w:rPr>
        <w:t>Toxicology Letters</w:t>
      </w:r>
      <w:r w:rsidRPr="00FE18CB">
        <w:t xml:space="preserve"> </w:t>
      </w:r>
      <w:r w:rsidRPr="00FE18CB">
        <w:rPr>
          <w:b/>
          <w:bCs/>
        </w:rPr>
        <w:t>110</w:t>
      </w:r>
      <w:r w:rsidRPr="00FE18CB">
        <w:t>, 145–175 (1999).</w:t>
      </w:r>
    </w:p>
    <w:p w14:paraId="2FF5A9EC" w14:textId="77777777" w:rsidR="00FE18CB" w:rsidRPr="00FE18CB" w:rsidRDefault="00FE18CB" w:rsidP="00FE18CB">
      <w:pPr>
        <w:pStyle w:val="Bibliography"/>
      </w:pPr>
      <w:r w:rsidRPr="00FE18CB">
        <w:t xml:space="preserve">73. </w:t>
      </w:r>
      <w:r w:rsidRPr="00FE18CB">
        <w:tab/>
        <w:t xml:space="preserve">M. Kilstrup, K. Hammer, P. </w:t>
      </w:r>
      <w:proofErr w:type="spellStart"/>
      <w:r w:rsidRPr="00FE18CB">
        <w:t>Ruhdal</w:t>
      </w:r>
      <w:proofErr w:type="spellEnd"/>
      <w:r w:rsidRPr="00FE18CB">
        <w:t xml:space="preserve"> Jensen, J. Martinussen, Nucleotide metabolism and its control in lactic acid bacteria. </w:t>
      </w:r>
      <w:r w:rsidRPr="00FE18CB">
        <w:rPr>
          <w:i/>
          <w:iCs/>
        </w:rPr>
        <w:t xml:space="preserve">FEMS </w:t>
      </w:r>
      <w:proofErr w:type="spellStart"/>
      <w:r w:rsidRPr="00FE18CB">
        <w:rPr>
          <w:i/>
          <w:iCs/>
        </w:rPr>
        <w:t>Microbiol</w:t>
      </w:r>
      <w:proofErr w:type="spellEnd"/>
      <w:r w:rsidRPr="00FE18CB">
        <w:rPr>
          <w:i/>
          <w:iCs/>
        </w:rPr>
        <w:t xml:space="preserve"> Rev</w:t>
      </w:r>
      <w:r w:rsidRPr="00FE18CB">
        <w:t xml:space="preserve"> </w:t>
      </w:r>
      <w:r w:rsidRPr="00FE18CB">
        <w:rPr>
          <w:b/>
          <w:bCs/>
        </w:rPr>
        <w:t>29</w:t>
      </w:r>
      <w:r w:rsidRPr="00FE18CB">
        <w:t>, 555–590 (2005).</w:t>
      </w:r>
    </w:p>
    <w:p w14:paraId="7E849DB2" w14:textId="77777777" w:rsidR="00FE18CB" w:rsidRPr="00FE18CB" w:rsidRDefault="00FE18CB" w:rsidP="00FE18CB">
      <w:pPr>
        <w:pStyle w:val="Bibliography"/>
      </w:pPr>
      <w:r w:rsidRPr="00FE18CB">
        <w:t xml:space="preserve">74. </w:t>
      </w:r>
      <w:r w:rsidRPr="00FE18CB">
        <w:tab/>
        <w:t xml:space="preserve">A. N. Lane, T. W.-M. Fan, Regulation of mammalian nucleotide metabolism and biosynthesis. </w:t>
      </w:r>
      <w:r w:rsidRPr="00FE18CB">
        <w:rPr>
          <w:i/>
          <w:iCs/>
        </w:rPr>
        <w:t>Nucleic Acids Research</w:t>
      </w:r>
      <w:r w:rsidRPr="00FE18CB">
        <w:t xml:space="preserve"> </w:t>
      </w:r>
      <w:r w:rsidRPr="00FE18CB">
        <w:rPr>
          <w:b/>
          <w:bCs/>
        </w:rPr>
        <w:t>43</w:t>
      </w:r>
      <w:r w:rsidRPr="00FE18CB">
        <w:t>, 2466–2485 (2015).</w:t>
      </w:r>
    </w:p>
    <w:p w14:paraId="40A2A322" w14:textId="77777777" w:rsidR="00FE18CB" w:rsidRPr="00FE18CB" w:rsidRDefault="00FE18CB" w:rsidP="00FE18CB">
      <w:pPr>
        <w:pStyle w:val="Bibliography"/>
      </w:pPr>
      <w:r w:rsidRPr="00FE18CB">
        <w:t xml:space="preserve">75. </w:t>
      </w:r>
      <w:r w:rsidRPr="00FE18CB">
        <w:tab/>
        <w:t xml:space="preserve">M. Vinayak, C. Pathak, </w:t>
      </w:r>
      <w:proofErr w:type="spellStart"/>
      <w:r w:rsidRPr="00FE18CB">
        <w:t>Queuosine</w:t>
      </w:r>
      <w:proofErr w:type="spellEnd"/>
      <w:r w:rsidRPr="00FE18CB">
        <w:t xml:space="preserve"> modification of tRNA: its divergent role in cellular machinery. </w:t>
      </w:r>
      <w:r w:rsidRPr="00FE18CB">
        <w:rPr>
          <w:i/>
          <w:iCs/>
        </w:rPr>
        <w:t>Bioscience Reports</w:t>
      </w:r>
      <w:r w:rsidRPr="00FE18CB">
        <w:t xml:space="preserve"> </w:t>
      </w:r>
      <w:r w:rsidRPr="00FE18CB">
        <w:rPr>
          <w:b/>
          <w:bCs/>
        </w:rPr>
        <w:t>30</w:t>
      </w:r>
      <w:r w:rsidRPr="00FE18CB">
        <w:t>, 135–148 (2009).</w:t>
      </w:r>
    </w:p>
    <w:p w14:paraId="3A5937BA" w14:textId="77777777" w:rsidR="00FE18CB" w:rsidRPr="00FE18CB" w:rsidRDefault="00FE18CB" w:rsidP="00FE18CB">
      <w:pPr>
        <w:pStyle w:val="Bibliography"/>
      </w:pPr>
      <w:r w:rsidRPr="00FE18CB">
        <w:t xml:space="preserve">76. </w:t>
      </w:r>
      <w:r w:rsidRPr="00FE18CB">
        <w:tab/>
        <w:t xml:space="preserve">J. A. Imlay, The molecular mechanisms and physiological consequences of oxidative stress: lessons from a model bacterium. </w:t>
      </w:r>
      <w:r w:rsidRPr="00FE18CB">
        <w:rPr>
          <w:i/>
          <w:iCs/>
        </w:rPr>
        <w:t xml:space="preserve">Nat Rev </w:t>
      </w:r>
      <w:proofErr w:type="spellStart"/>
      <w:r w:rsidRPr="00FE18CB">
        <w:rPr>
          <w:i/>
          <w:iCs/>
        </w:rPr>
        <w:t>Microbiol</w:t>
      </w:r>
      <w:proofErr w:type="spellEnd"/>
      <w:r w:rsidRPr="00FE18CB">
        <w:t xml:space="preserve"> </w:t>
      </w:r>
      <w:r w:rsidRPr="00FE18CB">
        <w:rPr>
          <w:b/>
          <w:bCs/>
        </w:rPr>
        <w:t>11</w:t>
      </w:r>
      <w:r w:rsidRPr="00FE18CB">
        <w:t>, 443–454 (2013).</w:t>
      </w:r>
    </w:p>
    <w:p w14:paraId="0BBBB563" w14:textId="77777777" w:rsidR="00FE18CB" w:rsidRPr="00FE18CB" w:rsidRDefault="00FE18CB" w:rsidP="00FE18CB">
      <w:pPr>
        <w:pStyle w:val="Bibliography"/>
      </w:pPr>
      <w:r w:rsidRPr="00FE18CB">
        <w:t xml:space="preserve">77. </w:t>
      </w:r>
      <w:r w:rsidRPr="00FE18CB">
        <w:tab/>
        <w:t xml:space="preserve">J.-H. Martens, H. Barg, M. Warren, D. Jahn, Microbial production of vitamin B12. </w:t>
      </w:r>
      <w:r w:rsidRPr="00FE18CB">
        <w:rPr>
          <w:i/>
          <w:iCs/>
        </w:rPr>
        <w:t xml:space="preserve">Appl </w:t>
      </w:r>
      <w:proofErr w:type="spellStart"/>
      <w:r w:rsidRPr="00FE18CB">
        <w:rPr>
          <w:i/>
          <w:iCs/>
        </w:rPr>
        <w:t>Microbiol</w:t>
      </w:r>
      <w:proofErr w:type="spellEnd"/>
      <w:r w:rsidRPr="00FE18CB">
        <w:rPr>
          <w:i/>
          <w:iCs/>
        </w:rPr>
        <w:t xml:space="preserve"> </w:t>
      </w:r>
      <w:proofErr w:type="spellStart"/>
      <w:r w:rsidRPr="00FE18CB">
        <w:rPr>
          <w:i/>
          <w:iCs/>
        </w:rPr>
        <w:t>Biotechnol</w:t>
      </w:r>
      <w:proofErr w:type="spellEnd"/>
      <w:r w:rsidRPr="00FE18CB">
        <w:t xml:space="preserve"> </w:t>
      </w:r>
      <w:r w:rsidRPr="00FE18CB">
        <w:rPr>
          <w:b/>
          <w:bCs/>
        </w:rPr>
        <w:t>58</w:t>
      </w:r>
      <w:r w:rsidRPr="00FE18CB">
        <w:t>, 275–285 (2002).</w:t>
      </w:r>
    </w:p>
    <w:p w14:paraId="3B2A5023" w14:textId="77777777" w:rsidR="00FE18CB" w:rsidRPr="00FE18CB" w:rsidRDefault="00FE18CB" w:rsidP="00FE18CB">
      <w:pPr>
        <w:pStyle w:val="Bibliography"/>
      </w:pPr>
      <w:r w:rsidRPr="00FE18CB">
        <w:t xml:space="preserve">78. </w:t>
      </w:r>
      <w:r w:rsidRPr="00FE18CB">
        <w:tab/>
        <w:t xml:space="preserve">P. Belenky, K. L. Bogan, C. Brenner, NAD+ metabolism in health and disease. </w:t>
      </w:r>
      <w:r w:rsidRPr="00FE18CB">
        <w:rPr>
          <w:i/>
          <w:iCs/>
        </w:rPr>
        <w:t>Trends in Biochemical Sciences</w:t>
      </w:r>
      <w:r w:rsidRPr="00FE18CB">
        <w:t xml:space="preserve"> </w:t>
      </w:r>
      <w:r w:rsidRPr="00FE18CB">
        <w:rPr>
          <w:b/>
          <w:bCs/>
        </w:rPr>
        <w:t>32</w:t>
      </w:r>
      <w:r w:rsidRPr="00FE18CB">
        <w:t>, 12–19 (2007).</w:t>
      </w:r>
    </w:p>
    <w:p w14:paraId="615118E4" w14:textId="77777777" w:rsidR="00FE18CB" w:rsidRPr="00FE18CB" w:rsidRDefault="00FE18CB" w:rsidP="00FE18CB">
      <w:pPr>
        <w:pStyle w:val="Bibliography"/>
      </w:pPr>
      <w:r w:rsidRPr="00FE18CB">
        <w:t xml:space="preserve">79. </w:t>
      </w:r>
      <w:r w:rsidRPr="00FE18CB">
        <w:tab/>
        <w:t xml:space="preserve">C. L. Linster, E. Van </w:t>
      </w:r>
      <w:proofErr w:type="spellStart"/>
      <w:r w:rsidRPr="00FE18CB">
        <w:t>Schaftingen</w:t>
      </w:r>
      <w:proofErr w:type="spellEnd"/>
      <w:r w:rsidRPr="00FE18CB">
        <w:t xml:space="preserve">, Vitamin C. </w:t>
      </w:r>
      <w:r w:rsidRPr="00FE18CB">
        <w:rPr>
          <w:i/>
          <w:iCs/>
        </w:rPr>
        <w:t>The FEBS Journal</w:t>
      </w:r>
      <w:r w:rsidRPr="00FE18CB">
        <w:t xml:space="preserve"> </w:t>
      </w:r>
      <w:r w:rsidRPr="00FE18CB">
        <w:rPr>
          <w:b/>
          <w:bCs/>
        </w:rPr>
        <w:t>274</w:t>
      </w:r>
      <w:r w:rsidRPr="00FE18CB">
        <w:t>, 1–22 (2007).</w:t>
      </w:r>
    </w:p>
    <w:p w14:paraId="7F34DC49" w14:textId="77777777" w:rsidR="00FE18CB" w:rsidRPr="00FE18CB" w:rsidRDefault="00FE18CB" w:rsidP="00FE18CB">
      <w:pPr>
        <w:pStyle w:val="Bibliography"/>
      </w:pPr>
      <w:r w:rsidRPr="00FE18CB">
        <w:t xml:space="preserve">80. </w:t>
      </w:r>
      <w:r w:rsidRPr="00FE18CB">
        <w:tab/>
        <w:t xml:space="preserve">N. Arpaia, C. Campbell, X. Fan, S. </w:t>
      </w:r>
      <w:proofErr w:type="spellStart"/>
      <w:r w:rsidRPr="00FE18CB">
        <w:t>Dikiy</w:t>
      </w:r>
      <w:proofErr w:type="spellEnd"/>
      <w:r w:rsidRPr="00FE18CB">
        <w:t xml:space="preserve">, J. van der </w:t>
      </w:r>
      <w:proofErr w:type="spellStart"/>
      <w:r w:rsidRPr="00FE18CB">
        <w:t>Veeken</w:t>
      </w:r>
      <w:proofErr w:type="spellEnd"/>
      <w:r w:rsidRPr="00FE18CB">
        <w:t xml:space="preserve">, P. </w:t>
      </w:r>
      <w:proofErr w:type="spellStart"/>
      <w:r w:rsidRPr="00FE18CB">
        <w:t>deRoos</w:t>
      </w:r>
      <w:proofErr w:type="spellEnd"/>
      <w:r w:rsidRPr="00FE18CB">
        <w:t xml:space="preserve">, H. Liu, J. R. Cross, K. Pfeffer, P. J. Coffer, A. Y. </w:t>
      </w:r>
      <w:proofErr w:type="spellStart"/>
      <w:r w:rsidRPr="00FE18CB">
        <w:t>Rudensky</w:t>
      </w:r>
      <w:proofErr w:type="spellEnd"/>
      <w:r w:rsidRPr="00FE18CB">
        <w:t xml:space="preserve">, Metabolites produced by commensal bacteria promote peripheral regulatory T-cell generation. </w:t>
      </w:r>
      <w:r w:rsidRPr="00FE18CB">
        <w:rPr>
          <w:i/>
          <w:iCs/>
        </w:rPr>
        <w:t>Nature</w:t>
      </w:r>
      <w:r w:rsidRPr="00FE18CB">
        <w:t xml:space="preserve"> </w:t>
      </w:r>
      <w:r w:rsidRPr="00FE18CB">
        <w:rPr>
          <w:b/>
          <w:bCs/>
        </w:rPr>
        <w:t>504</w:t>
      </w:r>
      <w:r w:rsidRPr="00FE18CB">
        <w:t>, 451–455 (2013).</w:t>
      </w:r>
    </w:p>
    <w:p w14:paraId="29F3C738" w14:textId="77777777" w:rsidR="00FE18CB" w:rsidRPr="00FE18CB" w:rsidRDefault="00FE18CB" w:rsidP="00FE18CB">
      <w:pPr>
        <w:pStyle w:val="Bibliography"/>
      </w:pPr>
      <w:r w:rsidRPr="00FE18CB">
        <w:t xml:space="preserve">81. </w:t>
      </w:r>
      <w:r w:rsidRPr="00FE18CB">
        <w:tab/>
        <w:t xml:space="preserve">H.-C. Hung, S.-F. Tsai, H.-W. Chou, M.-J. Tsai, P.-L. Hsu, Y.-M. Kuo, Dietary fatty acids differentially affect secretion of pro-inflammatory cytokines in human THP-1 monocytes. </w:t>
      </w:r>
      <w:r w:rsidRPr="00FE18CB">
        <w:rPr>
          <w:i/>
          <w:iCs/>
        </w:rPr>
        <w:t>Sci Rep</w:t>
      </w:r>
      <w:r w:rsidRPr="00FE18CB">
        <w:t xml:space="preserve"> </w:t>
      </w:r>
      <w:r w:rsidRPr="00FE18CB">
        <w:rPr>
          <w:b/>
          <w:bCs/>
        </w:rPr>
        <w:t>13</w:t>
      </w:r>
      <w:r w:rsidRPr="00FE18CB">
        <w:t>, 5511 (2023).</w:t>
      </w:r>
    </w:p>
    <w:p w14:paraId="082E7C00" w14:textId="77777777" w:rsidR="00FE18CB" w:rsidRPr="00FE18CB" w:rsidRDefault="00FE18CB" w:rsidP="00FE18CB">
      <w:pPr>
        <w:pStyle w:val="Bibliography"/>
      </w:pPr>
      <w:r w:rsidRPr="00FE18CB">
        <w:t xml:space="preserve">82. </w:t>
      </w:r>
      <w:r w:rsidRPr="00FE18CB">
        <w:tab/>
        <w:t xml:space="preserve">A. Nakamura, M. Matsumoto, Role of polyamines in intestinal mucosal barrier function. </w:t>
      </w:r>
      <w:r w:rsidRPr="00FE18CB">
        <w:rPr>
          <w:i/>
          <w:iCs/>
        </w:rPr>
        <w:t xml:space="preserve">Semin </w:t>
      </w:r>
      <w:proofErr w:type="spellStart"/>
      <w:r w:rsidRPr="00FE18CB">
        <w:rPr>
          <w:i/>
          <w:iCs/>
        </w:rPr>
        <w:t>Immunopathol</w:t>
      </w:r>
      <w:proofErr w:type="spellEnd"/>
      <w:r w:rsidRPr="00FE18CB">
        <w:t xml:space="preserve"> </w:t>
      </w:r>
      <w:r w:rsidRPr="00FE18CB">
        <w:rPr>
          <w:b/>
          <w:bCs/>
        </w:rPr>
        <w:t>47</w:t>
      </w:r>
      <w:r w:rsidRPr="00FE18CB">
        <w:t>, 9 (2025).</w:t>
      </w:r>
    </w:p>
    <w:p w14:paraId="7A57B881" w14:textId="77777777" w:rsidR="00FE18CB" w:rsidRPr="00FE18CB" w:rsidRDefault="00FE18CB" w:rsidP="00FE18CB">
      <w:pPr>
        <w:pStyle w:val="Bibliography"/>
      </w:pPr>
      <w:r w:rsidRPr="00FE18CB">
        <w:t xml:space="preserve">83. </w:t>
      </w:r>
      <w:r w:rsidRPr="00FE18CB">
        <w:tab/>
        <w:t xml:space="preserve">P. Konopelski, I. </w:t>
      </w:r>
      <w:proofErr w:type="spellStart"/>
      <w:r w:rsidRPr="00FE18CB">
        <w:t>Mogilnicka</w:t>
      </w:r>
      <w:proofErr w:type="spellEnd"/>
      <w:r w:rsidRPr="00FE18CB">
        <w:t xml:space="preserve">, Biological Effects of Indole-3-Propionic Acid, a Gut Microbiota-Derived Metabolite, and Its Precursor Tryptophan in Mammals’ Health and Disease. </w:t>
      </w:r>
      <w:r w:rsidRPr="00FE18CB">
        <w:rPr>
          <w:i/>
          <w:iCs/>
        </w:rPr>
        <w:t>International Journal of Molecular Sciences</w:t>
      </w:r>
      <w:r w:rsidRPr="00FE18CB">
        <w:t xml:space="preserve"> </w:t>
      </w:r>
      <w:r w:rsidRPr="00FE18CB">
        <w:rPr>
          <w:b/>
          <w:bCs/>
        </w:rPr>
        <w:t>23</w:t>
      </w:r>
      <w:r w:rsidRPr="00FE18CB">
        <w:t>, 1222 (2022).</w:t>
      </w:r>
    </w:p>
    <w:p w14:paraId="124E2906" w14:textId="77777777" w:rsidR="00FE18CB" w:rsidRPr="00FE18CB" w:rsidRDefault="00FE18CB" w:rsidP="00FE18CB">
      <w:pPr>
        <w:pStyle w:val="Bibliography"/>
      </w:pPr>
      <w:r w:rsidRPr="00FE18CB">
        <w:t xml:space="preserve">84. </w:t>
      </w:r>
      <w:r w:rsidRPr="00FE18CB">
        <w:tab/>
        <w:t xml:space="preserve">K. </w:t>
      </w:r>
      <w:proofErr w:type="spellStart"/>
      <w:r w:rsidRPr="00FE18CB">
        <w:t>Hiippala</w:t>
      </w:r>
      <w:proofErr w:type="spellEnd"/>
      <w:r w:rsidRPr="00FE18CB">
        <w:t xml:space="preserve">, V. Kainulainen, M. </w:t>
      </w:r>
      <w:proofErr w:type="spellStart"/>
      <w:r w:rsidRPr="00FE18CB">
        <w:t>Suutarinen</w:t>
      </w:r>
      <w:proofErr w:type="spellEnd"/>
      <w:r w:rsidRPr="00FE18CB">
        <w:t xml:space="preserve">, T. Heini, J. R. Bowers, D. Jasso-Selles, D. Lemmer, M. Valentine, R. Barnes, D. M. </w:t>
      </w:r>
      <w:proofErr w:type="spellStart"/>
      <w:r w:rsidRPr="00FE18CB">
        <w:t>Engelthaler</w:t>
      </w:r>
      <w:proofErr w:type="spellEnd"/>
      <w:r w:rsidRPr="00FE18CB">
        <w:t xml:space="preserve">, R. </w:t>
      </w:r>
      <w:proofErr w:type="spellStart"/>
      <w:r w:rsidRPr="00FE18CB">
        <w:t>Satokari</w:t>
      </w:r>
      <w:proofErr w:type="spellEnd"/>
      <w:r w:rsidRPr="00FE18CB">
        <w:t xml:space="preserve">, Isolation of Anti-Inflammatory and Epithelium Reinforcing Bacteroides and Parabacteroides Spp. from A Healthy Fecal Donor. </w:t>
      </w:r>
      <w:r w:rsidRPr="00FE18CB">
        <w:rPr>
          <w:i/>
          <w:iCs/>
        </w:rPr>
        <w:t>Nutrients</w:t>
      </w:r>
      <w:r w:rsidRPr="00FE18CB">
        <w:t xml:space="preserve"> </w:t>
      </w:r>
      <w:r w:rsidRPr="00FE18CB">
        <w:rPr>
          <w:b/>
          <w:bCs/>
        </w:rPr>
        <w:t>12</w:t>
      </w:r>
      <w:r w:rsidRPr="00FE18CB">
        <w:t>, 935 (2020).</w:t>
      </w:r>
    </w:p>
    <w:p w14:paraId="5B887DE8" w14:textId="77777777" w:rsidR="00FE18CB" w:rsidRPr="00FE18CB" w:rsidRDefault="00FE18CB" w:rsidP="00FE18CB">
      <w:pPr>
        <w:pStyle w:val="Bibliography"/>
      </w:pPr>
      <w:r w:rsidRPr="00FE18CB">
        <w:lastRenderedPageBreak/>
        <w:t xml:space="preserve">85. </w:t>
      </w:r>
      <w:r w:rsidRPr="00FE18CB">
        <w:tab/>
        <w:t xml:space="preserve">B. J. Parker, P. A. Wearsch, A. C. M. </w:t>
      </w:r>
      <w:proofErr w:type="spellStart"/>
      <w:r w:rsidRPr="00FE18CB">
        <w:t>Veloo</w:t>
      </w:r>
      <w:proofErr w:type="spellEnd"/>
      <w:r w:rsidRPr="00FE18CB">
        <w:t xml:space="preserve">, A. Rodriguez-Palacios, The Genus </w:t>
      </w:r>
      <w:proofErr w:type="spellStart"/>
      <w:r w:rsidRPr="00FE18CB">
        <w:t>Alistipes</w:t>
      </w:r>
      <w:proofErr w:type="spellEnd"/>
      <w:r w:rsidRPr="00FE18CB">
        <w:t xml:space="preserve">: Gut Bacteria With Emerging Implications to Inflammation, Cancer, and Mental Health. </w:t>
      </w:r>
      <w:r w:rsidRPr="00FE18CB">
        <w:rPr>
          <w:i/>
          <w:iCs/>
        </w:rPr>
        <w:t>Front. Immunol.</w:t>
      </w:r>
      <w:r w:rsidRPr="00FE18CB">
        <w:t xml:space="preserve"> </w:t>
      </w:r>
      <w:r w:rsidRPr="00FE18CB">
        <w:rPr>
          <w:b/>
          <w:bCs/>
        </w:rPr>
        <w:t>11</w:t>
      </w:r>
      <w:r w:rsidRPr="00FE18CB">
        <w:t xml:space="preserve"> (2020).</w:t>
      </w:r>
    </w:p>
    <w:p w14:paraId="1E530600" w14:textId="77777777" w:rsidR="00FE18CB" w:rsidRPr="00FE18CB" w:rsidRDefault="00FE18CB" w:rsidP="00FE18CB">
      <w:pPr>
        <w:pStyle w:val="Bibliography"/>
      </w:pPr>
      <w:r w:rsidRPr="00FE18CB">
        <w:t xml:space="preserve">86. </w:t>
      </w:r>
      <w:r w:rsidRPr="00FE18CB">
        <w:tab/>
        <w:t xml:space="preserve">P. Louis, H. J. Flint, Formation of propionate and butyrate by the human colonic microbiota. </w:t>
      </w:r>
      <w:r w:rsidRPr="00FE18CB">
        <w:rPr>
          <w:i/>
          <w:iCs/>
        </w:rPr>
        <w:t>Environmental Microbiology</w:t>
      </w:r>
      <w:r w:rsidRPr="00FE18CB">
        <w:t xml:space="preserve"> </w:t>
      </w:r>
      <w:r w:rsidRPr="00FE18CB">
        <w:rPr>
          <w:b/>
          <w:bCs/>
        </w:rPr>
        <w:t>19</w:t>
      </w:r>
      <w:r w:rsidRPr="00FE18CB">
        <w:t>, 29–41 (2017).</w:t>
      </w:r>
    </w:p>
    <w:p w14:paraId="7219E3DF" w14:textId="77777777" w:rsidR="00FE18CB" w:rsidRPr="00FE18CB" w:rsidRDefault="00FE18CB" w:rsidP="00FE18CB">
      <w:pPr>
        <w:pStyle w:val="Bibliography"/>
      </w:pPr>
      <w:r w:rsidRPr="00FE18CB">
        <w:t xml:space="preserve">87. </w:t>
      </w:r>
      <w:r w:rsidRPr="00FE18CB">
        <w:tab/>
        <w:t xml:space="preserve">F. Wu, X. Guo, J. Zhang, M. Zhang, Z. Ou, Y. Peng, </w:t>
      </w:r>
      <w:proofErr w:type="spellStart"/>
      <w:r w:rsidRPr="00FE18CB">
        <w:t>Phascolarctobacterium</w:t>
      </w:r>
      <w:proofErr w:type="spellEnd"/>
      <w:r w:rsidRPr="00FE18CB">
        <w:t xml:space="preserve"> faecium abundant colonization in human gastrointestinal tract. </w:t>
      </w:r>
      <w:r w:rsidRPr="00FE18CB">
        <w:rPr>
          <w:i/>
          <w:iCs/>
        </w:rPr>
        <w:t>Experimental and Therapeutic Medicine</w:t>
      </w:r>
      <w:r w:rsidRPr="00FE18CB">
        <w:t xml:space="preserve"> </w:t>
      </w:r>
      <w:r w:rsidRPr="00FE18CB">
        <w:rPr>
          <w:b/>
          <w:bCs/>
        </w:rPr>
        <w:t>14</w:t>
      </w:r>
      <w:r w:rsidRPr="00FE18CB">
        <w:t>, 3122–3126 (2017).</w:t>
      </w:r>
    </w:p>
    <w:p w14:paraId="6647D2DA" w14:textId="77777777" w:rsidR="00FE18CB" w:rsidRPr="00FE18CB" w:rsidRDefault="00FE18CB" w:rsidP="00FE18CB">
      <w:pPr>
        <w:pStyle w:val="Bibliography"/>
      </w:pPr>
      <w:r w:rsidRPr="00FE18CB">
        <w:t xml:space="preserve">88. </w:t>
      </w:r>
      <w:r w:rsidRPr="00FE18CB">
        <w:tab/>
        <w:t xml:space="preserve">K. O. </w:t>
      </w:r>
      <w:proofErr w:type="spellStart"/>
      <w:r w:rsidRPr="00FE18CB">
        <w:t>Alfarouk</w:t>
      </w:r>
      <w:proofErr w:type="spellEnd"/>
      <w:r w:rsidRPr="00FE18CB">
        <w:t xml:space="preserve">, A. H. H. Bashir, A. N. </w:t>
      </w:r>
      <w:proofErr w:type="spellStart"/>
      <w:r w:rsidRPr="00FE18CB">
        <w:t>Aljarbou</w:t>
      </w:r>
      <w:proofErr w:type="spellEnd"/>
      <w:r w:rsidRPr="00FE18CB">
        <w:t xml:space="preserve">, A. M. Ramadan, A. K. </w:t>
      </w:r>
      <w:proofErr w:type="spellStart"/>
      <w:r w:rsidRPr="00FE18CB">
        <w:t>Muddathir</w:t>
      </w:r>
      <w:proofErr w:type="spellEnd"/>
      <w:r w:rsidRPr="00FE18CB">
        <w:t xml:space="preserve">, S. T. S. </w:t>
      </w:r>
      <w:proofErr w:type="spellStart"/>
      <w:r w:rsidRPr="00FE18CB">
        <w:t>AlHoufie</w:t>
      </w:r>
      <w:proofErr w:type="spellEnd"/>
      <w:r w:rsidRPr="00FE18CB">
        <w:t xml:space="preserve">, A. </w:t>
      </w:r>
      <w:proofErr w:type="spellStart"/>
      <w:r w:rsidRPr="00FE18CB">
        <w:t>Hifny</w:t>
      </w:r>
      <w:proofErr w:type="spellEnd"/>
      <w:r w:rsidRPr="00FE18CB">
        <w:t xml:space="preserve">, G. O. Elhassan, M. E. Ibrahim, S. S. Alqahtani, S. D. </w:t>
      </w:r>
      <w:proofErr w:type="spellStart"/>
      <w:r w:rsidRPr="00FE18CB">
        <w:t>AlSharari</w:t>
      </w:r>
      <w:proofErr w:type="spellEnd"/>
      <w:r w:rsidRPr="00FE18CB">
        <w:t xml:space="preserve">, C. T. </w:t>
      </w:r>
      <w:proofErr w:type="spellStart"/>
      <w:r w:rsidRPr="00FE18CB">
        <w:t>Supuran</w:t>
      </w:r>
      <w:proofErr w:type="spellEnd"/>
      <w:r w:rsidRPr="00FE18CB">
        <w:t xml:space="preserve">, C. Rauch, R. A. Cardone, S. J. </w:t>
      </w:r>
      <w:proofErr w:type="spellStart"/>
      <w:r w:rsidRPr="00FE18CB">
        <w:t>Reshkin</w:t>
      </w:r>
      <w:proofErr w:type="spellEnd"/>
      <w:r w:rsidRPr="00FE18CB">
        <w:t xml:space="preserve">, S. Fais, S. </w:t>
      </w:r>
      <w:proofErr w:type="spellStart"/>
      <w:r w:rsidRPr="00FE18CB">
        <w:t>Harguindey</w:t>
      </w:r>
      <w:proofErr w:type="spellEnd"/>
      <w:r w:rsidRPr="00FE18CB">
        <w:t xml:space="preserve">, The Possible Role of Helicobacter pylori in Gastric Cancer and Its Management. </w:t>
      </w:r>
      <w:r w:rsidRPr="00FE18CB">
        <w:rPr>
          <w:i/>
          <w:iCs/>
        </w:rPr>
        <w:t>Front. Oncol.</w:t>
      </w:r>
      <w:r w:rsidRPr="00FE18CB">
        <w:t xml:space="preserve"> </w:t>
      </w:r>
      <w:r w:rsidRPr="00FE18CB">
        <w:rPr>
          <w:b/>
          <w:bCs/>
        </w:rPr>
        <w:t>9</w:t>
      </w:r>
      <w:r w:rsidRPr="00FE18CB">
        <w:t xml:space="preserve"> (2019).</w:t>
      </w:r>
    </w:p>
    <w:p w14:paraId="6C70E429" w14:textId="77777777" w:rsidR="00FE18CB" w:rsidRPr="00FE18CB" w:rsidRDefault="00FE18CB" w:rsidP="00FE18CB">
      <w:pPr>
        <w:pStyle w:val="Bibliography"/>
      </w:pPr>
      <w:r w:rsidRPr="00FE18CB">
        <w:t xml:space="preserve">89. </w:t>
      </w:r>
      <w:r w:rsidRPr="00FE18CB">
        <w:tab/>
        <w:t xml:space="preserve">M. </w:t>
      </w:r>
      <w:proofErr w:type="spellStart"/>
      <w:r w:rsidRPr="00FE18CB">
        <w:t>Rajilić</w:t>
      </w:r>
      <w:proofErr w:type="spellEnd"/>
      <w:r w:rsidRPr="00FE18CB">
        <w:t xml:space="preserve">-Stojanović, W. M. de Vos, The first 1000 cultured species of the human gastrointestinal microbiota. </w:t>
      </w:r>
      <w:r w:rsidRPr="00FE18CB">
        <w:rPr>
          <w:i/>
          <w:iCs/>
        </w:rPr>
        <w:t>FEMS Microbiology Reviews</w:t>
      </w:r>
      <w:r w:rsidRPr="00FE18CB">
        <w:t xml:space="preserve"> </w:t>
      </w:r>
      <w:r w:rsidRPr="00FE18CB">
        <w:rPr>
          <w:b/>
          <w:bCs/>
        </w:rPr>
        <w:t>38</w:t>
      </w:r>
      <w:r w:rsidRPr="00FE18CB">
        <w:t>, 996–1047 (2014).</w:t>
      </w:r>
    </w:p>
    <w:p w14:paraId="41EDF979" w14:textId="77777777" w:rsidR="00FE18CB" w:rsidRPr="00FE18CB" w:rsidRDefault="00FE18CB" w:rsidP="00FE18CB">
      <w:pPr>
        <w:pStyle w:val="Bibliography"/>
      </w:pPr>
      <w:r w:rsidRPr="00FE18CB">
        <w:t xml:space="preserve">90. </w:t>
      </w:r>
      <w:r w:rsidRPr="00FE18CB">
        <w:tab/>
        <w:t xml:space="preserve">S. Ahn, J. Jung, I.-A. Jang, E. L. Madsen, W. Park, Role of Glyoxylate Shunt in Oxidative Stress Response. </w:t>
      </w:r>
      <w:r w:rsidRPr="00FE18CB">
        <w:rPr>
          <w:i/>
          <w:iCs/>
        </w:rPr>
        <w:t>Journal of Biological Chemistry</w:t>
      </w:r>
      <w:r w:rsidRPr="00FE18CB">
        <w:t xml:space="preserve"> </w:t>
      </w:r>
      <w:r w:rsidRPr="00FE18CB">
        <w:rPr>
          <w:b/>
          <w:bCs/>
        </w:rPr>
        <w:t>291</w:t>
      </w:r>
      <w:r w:rsidRPr="00FE18CB">
        <w:t>, 11928–11938 (2016).</w:t>
      </w:r>
    </w:p>
    <w:p w14:paraId="6188651B" w14:textId="77777777" w:rsidR="00FE18CB" w:rsidRPr="00FE18CB" w:rsidRDefault="00FE18CB" w:rsidP="00FE18CB">
      <w:pPr>
        <w:pStyle w:val="Bibliography"/>
      </w:pPr>
      <w:r w:rsidRPr="00FE18CB">
        <w:t xml:space="preserve">91. </w:t>
      </w:r>
      <w:r w:rsidRPr="00FE18CB">
        <w:tab/>
        <w:t xml:space="preserve">M. R. Badger, E. J. Bek, Multiple Rubisco forms in proteobacteria: their functional significance in relation to CO2 acquisition by the CBB cycle. </w:t>
      </w:r>
      <w:r w:rsidRPr="00FE18CB">
        <w:rPr>
          <w:i/>
          <w:iCs/>
        </w:rPr>
        <w:t>Journal of Experimental Botany</w:t>
      </w:r>
      <w:r w:rsidRPr="00FE18CB">
        <w:t xml:space="preserve"> </w:t>
      </w:r>
      <w:r w:rsidRPr="00FE18CB">
        <w:rPr>
          <w:b/>
          <w:bCs/>
        </w:rPr>
        <w:t>59</w:t>
      </w:r>
      <w:r w:rsidRPr="00FE18CB">
        <w:t>, 1525–1541 (2008).</w:t>
      </w:r>
    </w:p>
    <w:p w14:paraId="489BA7F5" w14:textId="77777777" w:rsidR="00FE18CB" w:rsidRPr="00FE18CB" w:rsidRDefault="00FE18CB" w:rsidP="00FE18CB">
      <w:pPr>
        <w:pStyle w:val="Bibliography"/>
      </w:pPr>
      <w:r w:rsidRPr="00FE18CB">
        <w:t xml:space="preserve">92. </w:t>
      </w:r>
      <w:r w:rsidRPr="00FE18CB">
        <w:tab/>
        <w:t xml:space="preserve">M. Bekker, G. Kramer, A. F. Hartog, M. J. Wagner, C. G. De Koster, K. J. </w:t>
      </w:r>
      <w:proofErr w:type="spellStart"/>
      <w:r w:rsidRPr="00FE18CB">
        <w:t>Hellingwerf</w:t>
      </w:r>
      <w:proofErr w:type="spellEnd"/>
      <w:r w:rsidRPr="00FE18CB">
        <w:t xml:space="preserve">, M. J. Teixeira De Mattos, Changes in the redox state and composition of the quinone pool of Escherichia coli during aerobic batch-culture growth. </w:t>
      </w:r>
      <w:r w:rsidRPr="00FE18CB">
        <w:rPr>
          <w:i/>
          <w:iCs/>
        </w:rPr>
        <w:t>Microbiology</w:t>
      </w:r>
      <w:r w:rsidRPr="00FE18CB">
        <w:t xml:space="preserve"> </w:t>
      </w:r>
      <w:r w:rsidRPr="00FE18CB">
        <w:rPr>
          <w:b/>
          <w:bCs/>
        </w:rPr>
        <w:t>153</w:t>
      </w:r>
      <w:r w:rsidRPr="00FE18CB">
        <w:t>, 1974–1980 (2007).</w:t>
      </w:r>
    </w:p>
    <w:p w14:paraId="1687321B" w14:textId="77777777" w:rsidR="00FE18CB" w:rsidRPr="00FE18CB" w:rsidRDefault="00FE18CB" w:rsidP="00FE18CB">
      <w:pPr>
        <w:pStyle w:val="Bibliography"/>
      </w:pPr>
      <w:r w:rsidRPr="00FE18CB">
        <w:t xml:space="preserve">93. </w:t>
      </w:r>
      <w:r w:rsidRPr="00FE18CB">
        <w:tab/>
        <w:t xml:space="preserve">H.-M. Kuhn, U. Meier-Dieter, H. Mayer, ECA, the enterobacterial common antigen*. </w:t>
      </w:r>
      <w:r w:rsidRPr="00FE18CB">
        <w:rPr>
          <w:i/>
          <w:iCs/>
        </w:rPr>
        <w:t>FEMS Microbiology Reviews</w:t>
      </w:r>
      <w:r w:rsidRPr="00FE18CB">
        <w:t xml:space="preserve"> </w:t>
      </w:r>
      <w:r w:rsidRPr="00FE18CB">
        <w:rPr>
          <w:b/>
          <w:bCs/>
        </w:rPr>
        <w:t>4</w:t>
      </w:r>
      <w:r w:rsidRPr="00FE18CB">
        <w:t>, 195–222 (1988).</w:t>
      </w:r>
    </w:p>
    <w:p w14:paraId="5B99EFF4" w14:textId="77777777" w:rsidR="00FE18CB" w:rsidRPr="00FE18CB" w:rsidRDefault="00FE18CB" w:rsidP="00FE18CB">
      <w:pPr>
        <w:pStyle w:val="Bibliography"/>
      </w:pPr>
      <w:r w:rsidRPr="00FE18CB">
        <w:t xml:space="preserve">94. </w:t>
      </w:r>
      <w:r w:rsidRPr="00FE18CB">
        <w:tab/>
        <w:t xml:space="preserve">C. R. H. Raetz, C. Whitfield, Lipopolysaccharide endotoxins. </w:t>
      </w:r>
      <w:r w:rsidRPr="00FE18CB">
        <w:rPr>
          <w:i/>
          <w:iCs/>
        </w:rPr>
        <w:t>Annual Review of Biochemistry</w:t>
      </w:r>
      <w:r w:rsidRPr="00FE18CB">
        <w:t xml:space="preserve"> </w:t>
      </w:r>
      <w:r w:rsidRPr="00FE18CB">
        <w:rPr>
          <w:b/>
          <w:bCs/>
        </w:rPr>
        <w:t>71</w:t>
      </w:r>
      <w:r w:rsidRPr="00FE18CB">
        <w:t>, 635 (2002).</w:t>
      </w:r>
    </w:p>
    <w:p w14:paraId="3B973BAF" w14:textId="77777777" w:rsidR="00FE18CB" w:rsidRPr="00FE18CB" w:rsidRDefault="00FE18CB" w:rsidP="00FE18CB">
      <w:pPr>
        <w:pStyle w:val="Bibliography"/>
      </w:pPr>
      <w:r w:rsidRPr="00FE18CB">
        <w:t xml:space="preserve">95. </w:t>
      </w:r>
      <w:r w:rsidRPr="00FE18CB">
        <w:tab/>
        <w:t xml:space="preserve">G. Caballero-Flores, J. M. Pickard, G. Núñez, Microbiota-mediated colonization resistance: mechanisms and regulation. </w:t>
      </w:r>
      <w:r w:rsidRPr="00FE18CB">
        <w:rPr>
          <w:i/>
          <w:iCs/>
        </w:rPr>
        <w:t xml:space="preserve">Nat Rev </w:t>
      </w:r>
      <w:proofErr w:type="spellStart"/>
      <w:r w:rsidRPr="00FE18CB">
        <w:rPr>
          <w:i/>
          <w:iCs/>
        </w:rPr>
        <w:t>Microbiol</w:t>
      </w:r>
      <w:proofErr w:type="spellEnd"/>
      <w:r w:rsidRPr="00FE18CB">
        <w:t xml:space="preserve"> </w:t>
      </w:r>
      <w:r w:rsidRPr="00FE18CB">
        <w:rPr>
          <w:b/>
          <w:bCs/>
        </w:rPr>
        <w:t>21</w:t>
      </w:r>
      <w:r w:rsidRPr="00FE18CB">
        <w:t>, 347–360 (2023).</w:t>
      </w:r>
    </w:p>
    <w:p w14:paraId="33D96C76" w14:textId="77777777" w:rsidR="00FE18CB" w:rsidRPr="00FE18CB" w:rsidRDefault="00FE18CB" w:rsidP="00FE18CB">
      <w:pPr>
        <w:pStyle w:val="Bibliography"/>
      </w:pPr>
      <w:r w:rsidRPr="00FE18CB">
        <w:t xml:space="preserve">96. </w:t>
      </w:r>
      <w:r w:rsidRPr="00FE18CB">
        <w:tab/>
        <w:t xml:space="preserve">F. </w:t>
      </w:r>
      <w:proofErr w:type="spellStart"/>
      <w:r w:rsidRPr="00FE18CB">
        <w:t>Spragge</w:t>
      </w:r>
      <w:proofErr w:type="spellEnd"/>
      <w:r w:rsidRPr="00FE18CB">
        <w:t xml:space="preserve">, E. </w:t>
      </w:r>
      <w:proofErr w:type="spellStart"/>
      <w:r w:rsidRPr="00FE18CB">
        <w:t>Bakkeren</w:t>
      </w:r>
      <w:proofErr w:type="spellEnd"/>
      <w:r w:rsidRPr="00FE18CB">
        <w:t xml:space="preserve">, M. T. Jahn, E. B. N. Araujo, C. F. Pearson, X. Wang, L. Pankhurst, O. </w:t>
      </w:r>
      <w:proofErr w:type="spellStart"/>
      <w:r w:rsidRPr="00FE18CB">
        <w:t>Cunrath</w:t>
      </w:r>
      <w:proofErr w:type="spellEnd"/>
      <w:r w:rsidRPr="00FE18CB">
        <w:t xml:space="preserve">, K. R. Foster, Microbiome diversity protects against pathogens by nutrient blocking. </w:t>
      </w:r>
      <w:r w:rsidRPr="00FE18CB">
        <w:rPr>
          <w:i/>
          <w:iCs/>
        </w:rPr>
        <w:t>Science</w:t>
      </w:r>
      <w:r w:rsidRPr="00FE18CB">
        <w:t xml:space="preserve"> </w:t>
      </w:r>
      <w:r w:rsidRPr="00FE18CB">
        <w:rPr>
          <w:b/>
          <w:bCs/>
        </w:rPr>
        <w:t>382</w:t>
      </w:r>
      <w:r w:rsidRPr="00FE18CB">
        <w:t>, eadj3502 (2023).</w:t>
      </w:r>
    </w:p>
    <w:p w14:paraId="3722B413" w14:textId="77777777" w:rsidR="00FE18CB" w:rsidRPr="00FE18CB" w:rsidRDefault="00FE18CB" w:rsidP="00FE18CB">
      <w:pPr>
        <w:pStyle w:val="Bibliography"/>
      </w:pPr>
      <w:r w:rsidRPr="00FE18CB">
        <w:t xml:space="preserve">97. </w:t>
      </w:r>
      <w:r w:rsidRPr="00FE18CB">
        <w:tab/>
        <w:t xml:space="preserve">C. G. Buffie, E. G. Pamer, Microbiota-mediated colonization resistance against intestinal pathogens. </w:t>
      </w:r>
      <w:r w:rsidRPr="00FE18CB">
        <w:rPr>
          <w:i/>
          <w:iCs/>
        </w:rPr>
        <w:t>Nat Rev Immunol</w:t>
      </w:r>
      <w:r w:rsidRPr="00FE18CB">
        <w:t xml:space="preserve"> </w:t>
      </w:r>
      <w:r w:rsidRPr="00FE18CB">
        <w:rPr>
          <w:b/>
          <w:bCs/>
        </w:rPr>
        <w:t>13</w:t>
      </w:r>
      <w:r w:rsidRPr="00FE18CB">
        <w:t>, 790–801 (2013).</w:t>
      </w:r>
    </w:p>
    <w:p w14:paraId="49630223" w14:textId="77777777" w:rsidR="00FE18CB" w:rsidRPr="00FE18CB" w:rsidRDefault="00FE18CB" w:rsidP="00FE18CB">
      <w:pPr>
        <w:pStyle w:val="Bibliography"/>
      </w:pPr>
      <w:r w:rsidRPr="00FE18CB">
        <w:lastRenderedPageBreak/>
        <w:t xml:space="preserve">98. </w:t>
      </w:r>
      <w:r w:rsidRPr="00FE18CB">
        <w:tab/>
        <w:t xml:space="preserve">S. Louca, M. F. Polz, F. Mazel, M. B. N. Albright, J. A. Huber, M. I. O’Connor, M. Ackermann, A. S. Hahn, D. S. Srivastava, S. A. Crowe, M. </w:t>
      </w:r>
      <w:proofErr w:type="spellStart"/>
      <w:r w:rsidRPr="00FE18CB">
        <w:t>Doebeli</w:t>
      </w:r>
      <w:proofErr w:type="spellEnd"/>
      <w:r w:rsidRPr="00FE18CB">
        <w:t xml:space="preserve">, L. W. Parfrey, Function and functional redundancy in microbial systems. </w:t>
      </w:r>
      <w:r w:rsidRPr="00FE18CB">
        <w:rPr>
          <w:i/>
          <w:iCs/>
        </w:rPr>
        <w:t xml:space="preserve">Nat </w:t>
      </w:r>
      <w:proofErr w:type="spellStart"/>
      <w:r w:rsidRPr="00FE18CB">
        <w:rPr>
          <w:i/>
          <w:iCs/>
        </w:rPr>
        <w:t>Ecol</w:t>
      </w:r>
      <w:proofErr w:type="spellEnd"/>
      <w:r w:rsidRPr="00FE18CB">
        <w:rPr>
          <w:i/>
          <w:iCs/>
        </w:rPr>
        <w:t xml:space="preserve"> Evol</w:t>
      </w:r>
      <w:r w:rsidRPr="00FE18CB">
        <w:t xml:space="preserve"> </w:t>
      </w:r>
      <w:r w:rsidRPr="00FE18CB">
        <w:rPr>
          <w:b/>
          <w:bCs/>
        </w:rPr>
        <w:t>2</w:t>
      </w:r>
      <w:r w:rsidRPr="00FE18CB">
        <w:t>, 936–943 (2018).</w:t>
      </w:r>
    </w:p>
    <w:p w14:paraId="7655CC42" w14:textId="77777777" w:rsidR="00FE18CB" w:rsidRPr="00FE18CB" w:rsidRDefault="00FE18CB" w:rsidP="00FE18CB">
      <w:pPr>
        <w:pStyle w:val="Bibliography"/>
      </w:pPr>
      <w:r w:rsidRPr="00FE18CB">
        <w:t xml:space="preserve">99. </w:t>
      </w:r>
      <w:r w:rsidRPr="00FE18CB">
        <w:tab/>
        <w:t xml:space="preserve">N. O. </w:t>
      </w:r>
      <w:proofErr w:type="spellStart"/>
      <w:r w:rsidRPr="00FE18CB">
        <w:t>Kaakoush</w:t>
      </w:r>
      <w:proofErr w:type="spellEnd"/>
      <w:r w:rsidRPr="00FE18CB">
        <w:t xml:space="preserve">, N. Castaño-Rodríguez, H. M. Mitchell, S. M. Man, Global Epidemiology of Campylobacter Infection. </w:t>
      </w:r>
      <w:r w:rsidRPr="00FE18CB">
        <w:rPr>
          <w:i/>
          <w:iCs/>
        </w:rPr>
        <w:t>Clinical Microbiology Reviews</w:t>
      </w:r>
      <w:r w:rsidRPr="00FE18CB">
        <w:t xml:space="preserve"> </w:t>
      </w:r>
      <w:r w:rsidRPr="00FE18CB">
        <w:rPr>
          <w:b/>
          <w:bCs/>
        </w:rPr>
        <w:t>28</w:t>
      </w:r>
      <w:r w:rsidRPr="00FE18CB">
        <w:t>, 687–720 (2015).</w:t>
      </w:r>
    </w:p>
    <w:p w14:paraId="5489EE1F" w14:textId="77777777" w:rsidR="00FE18CB" w:rsidRPr="00FE18CB" w:rsidRDefault="00FE18CB" w:rsidP="00FE18CB">
      <w:pPr>
        <w:pStyle w:val="Bibliography"/>
      </w:pPr>
      <w:r w:rsidRPr="00FE18CB">
        <w:t xml:space="preserve">100. </w:t>
      </w:r>
      <w:r w:rsidRPr="00FE18CB">
        <w:tab/>
        <w:t xml:space="preserve">J. Sáenz, Hopanoids as functional analogues of cholesterol in bacterial membranes. </w:t>
      </w:r>
      <w:r w:rsidRPr="00FE18CB">
        <w:rPr>
          <w:i/>
          <w:iCs/>
        </w:rPr>
        <w:t>PNAS</w:t>
      </w:r>
      <w:r w:rsidRPr="00FE18CB">
        <w:t xml:space="preserve"> </w:t>
      </w:r>
      <w:r w:rsidRPr="00FE18CB">
        <w:rPr>
          <w:b/>
          <w:bCs/>
        </w:rPr>
        <w:t>112</w:t>
      </w:r>
      <w:r w:rsidRPr="00FE18CB">
        <w:t>, 11971–11976 (2015).</w:t>
      </w:r>
    </w:p>
    <w:p w14:paraId="4A80F58D" w14:textId="77777777" w:rsidR="00FE18CB" w:rsidRPr="00FE18CB" w:rsidRDefault="00FE18CB" w:rsidP="00FE18CB">
      <w:pPr>
        <w:pStyle w:val="Bibliography"/>
      </w:pPr>
      <w:r w:rsidRPr="00FE18CB">
        <w:t xml:space="preserve">101. </w:t>
      </w:r>
      <w:r w:rsidRPr="00FE18CB">
        <w:tab/>
        <w:t xml:space="preserve">H. Lin, E. </w:t>
      </w:r>
      <w:proofErr w:type="spellStart"/>
      <w:r w:rsidRPr="00FE18CB">
        <w:t>Decuypere</w:t>
      </w:r>
      <w:proofErr w:type="spellEnd"/>
      <w:r w:rsidRPr="00FE18CB">
        <w:t xml:space="preserve">, J. </w:t>
      </w:r>
      <w:proofErr w:type="spellStart"/>
      <w:r w:rsidRPr="00FE18CB">
        <w:t>Buyse</w:t>
      </w:r>
      <w:proofErr w:type="spellEnd"/>
      <w:r w:rsidRPr="00FE18CB">
        <w:t xml:space="preserve">, Acute heat stress induces oxidative stress in broiler chickens. </w:t>
      </w:r>
      <w:r w:rsidRPr="00FE18CB">
        <w:rPr>
          <w:i/>
          <w:iCs/>
        </w:rPr>
        <w:t>Comparative Biochemistry and Physiology Part A: Molecular &amp; Integrative Physiology</w:t>
      </w:r>
      <w:r w:rsidRPr="00FE18CB">
        <w:t xml:space="preserve"> </w:t>
      </w:r>
      <w:r w:rsidRPr="00FE18CB">
        <w:rPr>
          <w:b/>
          <w:bCs/>
        </w:rPr>
        <w:t>144</w:t>
      </w:r>
      <w:r w:rsidRPr="00FE18CB">
        <w:t>, 11–17 (2006).</w:t>
      </w:r>
    </w:p>
    <w:p w14:paraId="5058F757" w14:textId="77777777" w:rsidR="00FE18CB" w:rsidRPr="00FE18CB" w:rsidRDefault="00FE18CB" w:rsidP="00FE18CB">
      <w:pPr>
        <w:pStyle w:val="Bibliography"/>
      </w:pPr>
      <w:r w:rsidRPr="00FE18CB">
        <w:t xml:space="preserve">102. </w:t>
      </w:r>
      <w:r w:rsidRPr="00FE18CB">
        <w:tab/>
        <w:t xml:space="preserve">K. M. Ng, J. A. Ferreyra, S. K. Higginbottom, J. B. Lynch, P. C. Kashyap, S. Gopinath, N. Naidu, B. Choudhury, B. C. Weimer, D. M. Monack, J. L. Sonnenburg, Microbiota-liberated host sugars facilitate post-antibiotic expansion of enteric pathogens. </w:t>
      </w:r>
      <w:r w:rsidRPr="00FE18CB">
        <w:rPr>
          <w:i/>
          <w:iCs/>
        </w:rPr>
        <w:t>Nature</w:t>
      </w:r>
      <w:r w:rsidRPr="00FE18CB">
        <w:t xml:space="preserve"> </w:t>
      </w:r>
      <w:r w:rsidRPr="00FE18CB">
        <w:rPr>
          <w:b/>
          <w:bCs/>
        </w:rPr>
        <w:t>502</w:t>
      </w:r>
      <w:r w:rsidRPr="00FE18CB">
        <w:t>, 96–99 (2013).</w:t>
      </w:r>
    </w:p>
    <w:p w14:paraId="0015ABA3" w14:textId="77777777" w:rsidR="00FE18CB" w:rsidRPr="00FE18CB" w:rsidRDefault="00FE18CB" w:rsidP="00FE18CB">
      <w:pPr>
        <w:pStyle w:val="Bibliography"/>
      </w:pPr>
      <w:r w:rsidRPr="00FE18CB">
        <w:t xml:space="preserve">103. </w:t>
      </w:r>
      <w:r w:rsidRPr="00FE18CB">
        <w:tab/>
        <w:t xml:space="preserve">M. Y. Zeng, N. </w:t>
      </w:r>
      <w:proofErr w:type="spellStart"/>
      <w:r w:rsidRPr="00FE18CB">
        <w:t>Inohara</w:t>
      </w:r>
      <w:proofErr w:type="spellEnd"/>
      <w:r w:rsidRPr="00FE18CB">
        <w:t xml:space="preserve">, G. Nuñez, Mechanisms of inflammation-driven bacterial dysbiosis in the gut. </w:t>
      </w:r>
      <w:r w:rsidRPr="00FE18CB">
        <w:rPr>
          <w:i/>
          <w:iCs/>
        </w:rPr>
        <w:t>Mucosal Immunology</w:t>
      </w:r>
      <w:r w:rsidRPr="00FE18CB">
        <w:t xml:space="preserve"> </w:t>
      </w:r>
      <w:r w:rsidRPr="00FE18CB">
        <w:rPr>
          <w:b/>
          <w:bCs/>
        </w:rPr>
        <w:t>10</w:t>
      </w:r>
      <w:r w:rsidRPr="00FE18CB">
        <w:t>, 18–26 (2017).</w:t>
      </w:r>
    </w:p>
    <w:p w14:paraId="5A663653" w14:textId="77777777" w:rsidR="00FE18CB" w:rsidRPr="00FE18CB" w:rsidRDefault="00FE18CB" w:rsidP="00FE18CB">
      <w:pPr>
        <w:pStyle w:val="Bibliography"/>
      </w:pPr>
      <w:r w:rsidRPr="00FE18CB">
        <w:t xml:space="preserve">104. </w:t>
      </w:r>
      <w:r w:rsidRPr="00FE18CB">
        <w:tab/>
        <w:t xml:space="preserve">D. R. Donohoe, N. </w:t>
      </w:r>
      <w:proofErr w:type="spellStart"/>
      <w:r w:rsidRPr="00FE18CB">
        <w:t>Garge</w:t>
      </w:r>
      <w:proofErr w:type="spellEnd"/>
      <w:r w:rsidRPr="00FE18CB">
        <w:t xml:space="preserve">, X. Zhang, W. Sun, T. M. O’Connell, M. K. Bunger, S. J. Bultman, The Microbiome and Butyrate Regulate Energy Metabolism and Autophagy in the Mammalian Colon. </w:t>
      </w:r>
      <w:r w:rsidRPr="00FE18CB">
        <w:rPr>
          <w:i/>
          <w:iCs/>
        </w:rPr>
        <w:t>Cell Metabolism</w:t>
      </w:r>
      <w:r w:rsidRPr="00FE18CB">
        <w:t xml:space="preserve"> </w:t>
      </w:r>
      <w:r w:rsidRPr="00FE18CB">
        <w:rPr>
          <w:b/>
          <w:bCs/>
        </w:rPr>
        <w:t>13</w:t>
      </w:r>
      <w:r w:rsidRPr="00FE18CB">
        <w:t>, 517–526 (2011).</w:t>
      </w:r>
    </w:p>
    <w:p w14:paraId="1E3EEB24" w14:textId="77777777" w:rsidR="00FE18CB" w:rsidRPr="00FE18CB" w:rsidRDefault="00FE18CB" w:rsidP="00FE18CB">
      <w:pPr>
        <w:pStyle w:val="Bibliography"/>
      </w:pPr>
      <w:r w:rsidRPr="00FE18CB">
        <w:t xml:space="preserve">105. </w:t>
      </w:r>
      <w:r w:rsidRPr="00FE18CB">
        <w:tab/>
        <w:t xml:space="preserve">C. Neuman, E. </w:t>
      </w:r>
      <w:proofErr w:type="spellStart"/>
      <w:r w:rsidRPr="00FE18CB">
        <w:t>Hatje</w:t>
      </w:r>
      <w:proofErr w:type="spellEnd"/>
      <w:r w:rsidRPr="00FE18CB">
        <w:t xml:space="preserve">, K. Z. </w:t>
      </w:r>
      <w:proofErr w:type="spellStart"/>
      <w:r w:rsidRPr="00FE18CB">
        <w:t>Zarkasi</w:t>
      </w:r>
      <w:proofErr w:type="spellEnd"/>
      <w:r w:rsidRPr="00FE18CB">
        <w:t xml:space="preserve">, R. Smullen, J. P. Bowman, M. </w:t>
      </w:r>
      <w:proofErr w:type="spellStart"/>
      <w:r w:rsidRPr="00FE18CB">
        <w:t>Katouli</w:t>
      </w:r>
      <w:proofErr w:type="spellEnd"/>
      <w:r w:rsidRPr="00FE18CB">
        <w:t xml:space="preserve">, The effect of diet and environmental temperature on the </w:t>
      </w:r>
      <w:proofErr w:type="spellStart"/>
      <w:r w:rsidRPr="00FE18CB">
        <w:t>faecal</w:t>
      </w:r>
      <w:proofErr w:type="spellEnd"/>
      <w:r w:rsidRPr="00FE18CB">
        <w:t xml:space="preserve"> microbiota of farmed Tasmanian Atlantic Salmon (</w:t>
      </w:r>
      <w:proofErr w:type="spellStart"/>
      <w:r w:rsidRPr="00FE18CB">
        <w:t>almo</w:t>
      </w:r>
      <w:proofErr w:type="spellEnd"/>
      <w:r w:rsidRPr="00FE18CB">
        <w:t xml:space="preserve"> </w:t>
      </w:r>
      <w:proofErr w:type="spellStart"/>
      <w:r w:rsidRPr="00FE18CB">
        <w:t>salar</w:t>
      </w:r>
      <w:proofErr w:type="spellEnd"/>
      <w:r w:rsidRPr="00FE18CB">
        <w:t xml:space="preserve"> L.). </w:t>
      </w:r>
      <w:r w:rsidRPr="00FE18CB">
        <w:rPr>
          <w:i/>
          <w:iCs/>
        </w:rPr>
        <w:t>Aquaculture Research</w:t>
      </w:r>
      <w:r w:rsidRPr="00FE18CB">
        <w:t xml:space="preserve"> </w:t>
      </w:r>
      <w:r w:rsidRPr="00FE18CB">
        <w:rPr>
          <w:b/>
          <w:bCs/>
        </w:rPr>
        <w:t>47</w:t>
      </w:r>
      <w:r w:rsidRPr="00FE18CB">
        <w:t>, 660–672 (2016).</w:t>
      </w:r>
    </w:p>
    <w:p w14:paraId="6ECF9526" w14:textId="77777777" w:rsidR="00FE18CB" w:rsidRPr="00FE18CB" w:rsidRDefault="00FE18CB" w:rsidP="00FE18CB">
      <w:pPr>
        <w:pStyle w:val="Bibliography"/>
      </w:pPr>
      <w:r w:rsidRPr="00FE18CB">
        <w:t xml:space="preserve">106. </w:t>
      </w:r>
      <w:r w:rsidRPr="00FE18CB">
        <w:tab/>
        <w:t xml:space="preserve">E. L. Soriano, D. T. Ramírez, D. R. Araujo, B. Gómez-Gil, L. I. Castro, C. G. Sánchez, Effect of temperature and dietary lipid proportion on gut microbiota in yellowtail kingfish </w:t>
      </w:r>
      <w:r w:rsidRPr="00FE18CB">
        <w:rPr>
          <w:i/>
          <w:iCs/>
        </w:rPr>
        <w:t xml:space="preserve">Seriola </w:t>
      </w:r>
      <w:proofErr w:type="spellStart"/>
      <w:r w:rsidRPr="00FE18CB">
        <w:rPr>
          <w:i/>
          <w:iCs/>
        </w:rPr>
        <w:t>lalandi</w:t>
      </w:r>
      <w:proofErr w:type="spellEnd"/>
      <w:r w:rsidRPr="00FE18CB">
        <w:t xml:space="preserve"> juveniles. </w:t>
      </w:r>
      <w:r w:rsidRPr="00FE18CB">
        <w:rPr>
          <w:i/>
          <w:iCs/>
        </w:rPr>
        <w:t>Aquaculture</w:t>
      </w:r>
      <w:r w:rsidRPr="00FE18CB">
        <w:t xml:space="preserve"> </w:t>
      </w:r>
      <w:r w:rsidRPr="00FE18CB">
        <w:rPr>
          <w:b/>
          <w:bCs/>
        </w:rPr>
        <w:t>497</w:t>
      </w:r>
      <w:r w:rsidRPr="00FE18CB">
        <w:t>, 269–277 (2018).</w:t>
      </w:r>
    </w:p>
    <w:p w14:paraId="2C99C12D" w14:textId="77777777" w:rsidR="00FE18CB" w:rsidRPr="00FE18CB" w:rsidRDefault="00FE18CB" w:rsidP="00FE18CB">
      <w:pPr>
        <w:pStyle w:val="Bibliography"/>
      </w:pPr>
      <w:r w:rsidRPr="00FE18CB">
        <w:t xml:space="preserve">107. </w:t>
      </w:r>
      <w:r w:rsidRPr="00FE18CB">
        <w:tab/>
        <w:t xml:space="preserve">K. D. Kohl, J. Yahn, Effects of environmental temperature on the gut microbial communities of tadpoles. </w:t>
      </w:r>
      <w:r w:rsidRPr="00FE18CB">
        <w:rPr>
          <w:i/>
          <w:iCs/>
        </w:rPr>
        <w:t>Environmental Microbiology</w:t>
      </w:r>
      <w:r w:rsidRPr="00FE18CB">
        <w:t xml:space="preserve"> </w:t>
      </w:r>
      <w:r w:rsidRPr="00FE18CB">
        <w:rPr>
          <w:b/>
          <w:bCs/>
        </w:rPr>
        <w:t>18</w:t>
      </w:r>
      <w:r w:rsidRPr="00FE18CB">
        <w:t>, 1561–1565 (2016).</w:t>
      </w:r>
    </w:p>
    <w:p w14:paraId="2194A441" w14:textId="77777777" w:rsidR="00FE18CB" w:rsidRPr="00FE18CB" w:rsidRDefault="00FE18CB" w:rsidP="00FE18CB">
      <w:pPr>
        <w:pStyle w:val="Bibliography"/>
      </w:pPr>
      <w:r w:rsidRPr="00FE18CB">
        <w:t xml:space="preserve">108. </w:t>
      </w:r>
      <w:r w:rsidRPr="00FE18CB">
        <w:tab/>
        <w:t xml:space="preserve">F. A. Campos, L. M. Fedigan, Behavioral adaptations to heat stress and water scarcity in white-faced capuchins (Cebus capucinus) in Santa Rosa National Park, Costa Rica. </w:t>
      </w:r>
      <w:r w:rsidRPr="00FE18CB">
        <w:rPr>
          <w:i/>
          <w:iCs/>
        </w:rPr>
        <w:t>American Journal of Physical Anthropology</w:t>
      </w:r>
      <w:r w:rsidRPr="00FE18CB">
        <w:t xml:space="preserve"> </w:t>
      </w:r>
      <w:r w:rsidRPr="00FE18CB">
        <w:rPr>
          <w:b/>
          <w:bCs/>
        </w:rPr>
        <w:t>138</w:t>
      </w:r>
      <w:r w:rsidRPr="00FE18CB">
        <w:t>, 101–111 (2009).</w:t>
      </w:r>
    </w:p>
    <w:p w14:paraId="5E6E2156" w14:textId="77777777" w:rsidR="00FE18CB" w:rsidRPr="00FE18CB" w:rsidRDefault="00FE18CB" w:rsidP="00FE18CB">
      <w:pPr>
        <w:pStyle w:val="Bibliography"/>
      </w:pPr>
      <w:r w:rsidRPr="00FE18CB">
        <w:t xml:space="preserve">109. </w:t>
      </w:r>
      <w:r w:rsidRPr="00FE18CB">
        <w:tab/>
        <w:t xml:space="preserve">J. D. Orkin, M. J. Montague, D. Tejada-Martinez, M. De Manuel, J. Del Campo, S. Cheves Hernandez, A. Di Fiore, C. </w:t>
      </w:r>
      <w:proofErr w:type="spellStart"/>
      <w:r w:rsidRPr="00FE18CB">
        <w:t>Fontsere</w:t>
      </w:r>
      <w:proofErr w:type="spellEnd"/>
      <w:r w:rsidRPr="00FE18CB">
        <w:t xml:space="preserve">, J. A. Hodgson, M. C. Janiak, L. F. K. </w:t>
      </w:r>
      <w:proofErr w:type="spellStart"/>
      <w:r w:rsidRPr="00FE18CB">
        <w:t>Kuderna</w:t>
      </w:r>
      <w:proofErr w:type="spellEnd"/>
      <w:r w:rsidRPr="00FE18CB">
        <w:t xml:space="preserve">, E. Lizano, M. P. Martin, Y. </w:t>
      </w:r>
      <w:proofErr w:type="spellStart"/>
      <w:r w:rsidRPr="00FE18CB">
        <w:t>Niimura</w:t>
      </w:r>
      <w:proofErr w:type="spellEnd"/>
      <w:r w:rsidRPr="00FE18CB">
        <w:t xml:space="preserve">, G. H. Perry, C. S. Valverde, J. Tang, W. C. Warren, J. P. De Magalhães, S. Kawamura, T. </w:t>
      </w:r>
      <w:proofErr w:type="spellStart"/>
      <w:r w:rsidRPr="00FE18CB">
        <w:t>Marquès</w:t>
      </w:r>
      <w:proofErr w:type="spellEnd"/>
      <w:r w:rsidRPr="00FE18CB">
        <w:t xml:space="preserve">-Bonet, R. Krawetz, A. D. Melin, The genomics of ecological flexibility, large brains, and long lives in capuchin monkeys revealed with </w:t>
      </w:r>
      <w:proofErr w:type="spellStart"/>
      <w:r w:rsidRPr="00FE18CB">
        <w:t>fecalFACS</w:t>
      </w:r>
      <w:proofErr w:type="spellEnd"/>
      <w:r w:rsidRPr="00FE18CB">
        <w:t xml:space="preserve">. </w:t>
      </w:r>
      <w:r w:rsidRPr="00FE18CB">
        <w:rPr>
          <w:i/>
          <w:iCs/>
        </w:rPr>
        <w:t>Proc. Natl. Acad. Sci. U.S.A.</w:t>
      </w:r>
      <w:r w:rsidRPr="00FE18CB">
        <w:t xml:space="preserve"> </w:t>
      </w:r>
      <w:r w:rsidRPr="00FE18CB">
        <w:rPr>
          <w:b/>
          <w:bCs/>
        </w:rPr>
        <w:t>118</w:t>
      </w:r>
      <w:r w:rsidRPr="00FE18CB">
        <w:t>, e2010632118 (2021).</w:t>
      </w:r>
    </w:p>
    <w:p w14:paraId="4201C446" w14:textId="77777777" w:rsidR="00FE18CB" w:rsidRPr="00FE18CB" w:rsidRDefault="00FE18CB" w:rsidP="00FE18CB">
      <w:pPr>
        <w:pStyle w:val="Bibliography"/>
      </w:pPr>
      <w:r w:rsidRPr="00FE18CB">
        <w:lastRenderedPageBreak/>
        <w:t xml:space="preserve">110. </w:t>
      </w:r>
      <w:r w:rsidRPr="00FE18CB">
        <w:tab/>
        <w:t xml:space="preserve">C. Nathan, A. Cunningham-Bussel, Beyond oxidative stress: an immunologist’s guide to reactive oxygen species. </w:t>
      </w:r>
      <w:r w:rsidRPr="00FE18CB">
        <w:rPr>
          <w:i/>
          <w:iCs/>
        </w:rPr>
        <w:t>Nat Rev Immunol</w:t>
      </w:r>
      <w:r w:rsidRPr="00FE18CB">
        <w:t xml:space="preserve"> </w:t>
      </w:r>
      <w:r w:rsidRPr="00FE18CB">
        <w:rPr>
          <w:b/>
          <w:bCs/>
        </w:rPr>
        <w:t>13</w:t>
      </w:r>
      <w:r w:rsidRPr="00FE18CB">
        <w:t>, 349–361 (2013).</w:t>
      </w:r>
    </w:p>
    <w:p w14:paraId="58D377B6" w14:textId="77777777" w:rsidR="00FE18CB" w:rsidRPr="00FE18CB" w:rsidRDefault="00FE18CB" w:rsidP="00FE18CB">
      <w:pPr>
        <w:pStyle w:val="Bibliography"/>
      </w:pPr>
      <w:r w:rsidRPr="00FE18CB">
        <w:t xml:space="preserve">111. </w:t>
      </w:r>
      <w:r w:rsidRPr="00FE18CB">
        <w:tab/>
        <w:t xml:space="preserve">L. Li, P. Peng, N. Ding, W. Jia, C. Huang, Y. Tang, Oxidative Stress, Inflammation, Gut Dysbiosis: What Can Polyphenols Do in Inflammatory Bowel Disease? </w:t>
      </w:r>
      <w:r w:rsidRPr="00FE18CB">
        <w:rPr>
          <w:i/>
          <w:iCs/>
        </w:rPr>
        <w:t>Antioxidants</w:t>
      </w:r>
      <w:r w:rsidRPr="00FE18CB">
        <w:t xml:space="preserve"> </w:t>
      </w:r>
      <w:r w:rsidRPr="00FE18CB">
        <w:rPr>
          <w:b/>
          <w:bCs/>
        </w:rPr>
        <w:t>12</w:t>
      </w:r>
      <w:r w:rsidRPr="00FE18CB">
        <w:t>, 967 (2023).</w:t>
      </w:r>
    </w:p>
    <w:p w14:paraId="43A4697E" w14:textId="77777777" w:rsidR="00FE18CB" w:rsidRPr="00FE18CB" w:rsidRDefault="00FE18CB" w:rsidP="00FE18CB">
      <w:pPr>
        <w:pStyle w:val="Bibliography"/>
      </w:pPr>
      <w:r w:rsidRPr="00FE18CB">
        <w:t xml:space="preserve">112. </w:t>
      </w:r>
      <w:r w:rsidRPr="00FE18CB">
        <w:tab/>
        <w:t xml:space="preserve">H. Mostafavi </w:t>
      </w:r>
      <w:proofErr w:type="spellStart"/>
      <w:r w:rsidRPr="00FE18CB">
        <w:t>Abdolmaleky</w:t>
      </w:r>
      <w:proofErr w:type="spellEnd"/>
      <w:r w:rsidRPr="00FE18CB">
        <w:t xml:space="preserve">, J.-R. Zhou, Gut Microbiota Dysbiosis, Oxidative Stress, Inflammation, and Epigenetic Alterations in Metabolic Diseases. </w:t>
      </w:r>
      <w:r w:rsidRPr="00FE18CB">
        <w:rPr>
          <w:i/>
          <w:iCs/>
        </w:rPr>
        <w:t>Antioxidants</w:t>
      </w:r>
      <w:r w:rsidRPr="00FE18CB">
        <w:t xml:space="preserve"> </w:t>
      </w:r>
      <w:r w:rsidRPr="00FE18CB">
        <w:rPr>
          <w:b/>
          <w:bCs/>
        </w:rPr>
        <w:t>13</w:t>
      </w:r>
      <w:r w:rsidRPr="00FE18CB">
        <w:t>, 985 (2024).</w:t>
      </w:r>
    </w:p>
    <w:p w14:paraId="156FE197" w14:textId="77777777" w:rsidR="00FE18CB" w:rsidRPr="00FE18CB" w:rsidRDefault="00FE18CB" w:rsidP="00FE18CB">
      <w:pPr>
        <w:pStyle w:val="Bibliography"/>
      </w:pPr>
      <w:r w:rsidRPr="00FE18CB">
        <w:t xml:space="preserve">113. </w:t>
      </w:r>
      <w:r w:rsidRPr="00FE18CB">
        <w:tab/>
        <w:t xml:space="preserve">D. Dodd, M. H. Spitzer, W. Van </w:t>
      </w:r>
      <w:proofErr w:type="spellStart"/>
      <w:r w:rsidRPr="00FE18CB">
        <w:t>Treuren</w:t>
      </w:r>
      <w:proofErr w:type="spellEnd"/>
      <w:r w:rsidRPr="00FE18CB">
        <w:t xml:space="preserve">, B. D. Merrill, A. J. </w:t>
      </w:r>
      <w:proofErr w:type="spellStart"/>
      <w:r w:rsidRPr="00FE18CB">
        <w:t>Hryckowian</w:t>
      </w:r>
      <w:proofErr w:type="spellEnd"/>
      <w:r w:rsidRPr="00FE18CB">
        <w:t xml:space="preserve">, S. K. Higginbottom, A. Le, T. M. Cowan, G. P. Nolan, M. A. Fischbach, J. L. Sonnenburg, A gut bacterial pathway metabolizes aromatic amino acids into nine circulating metabolites. </w:t>
      </w:r>
      <w:r w:rsidRPr="00FE18CB">
        <w:rPr>
          <w:i/>
          <w:iCs/>
        </w:rPr>
        <w:t>Nature</w:t>
      </w:r>
      <w:r w:rsidRPr="00FE18CB">
        <w:t xml:space="preserve"> </w:t>
      </w:r>
      <w:r w:rsidRPr="00FE18CB">
        <w:rPr>
          <w:b/>
          <w:bCs/>
        </w:rPr>
        <w:t>551</w:t>
      </w:r>
      <w:r w:rsidRPr="00FE18CB">
        <w:t>, 648–652 (2017).</w:t>
      </w:r>
    </w:p>
    <w:p w14:paraId="002E1708" w14:textId="77777777" w:rsidR="00FE18CB" w:rsidRPr="00FE18CB" w:rsidRDefault="00FE18CB" w:rsidP="00FE18CB">
      <w:pPr>
        <w:pStyle w:val="Bibliography"/>
      </w:pPr>
      <w:r w:rsidRPr="00FE18CB">
        <w:t xml:space="preserve">114. </w:t>
      </w:r>
      <w:r w:rsidRPr="00FE18CB">
        <w:tab/>
        <w:t xml:space="preserve">T. </w:t>
      </w:r>
      <w:proofErr w:type="spellStart"/>
      <w:r w:rsidRPr="00FE18CB">
        <w:t>Zelante</w:t>
      </w:r>
      <w:proofErr w:type="spellEnd"/>
      <w:r w:rsidRPr="00FE18CB">
        <w:t xml:space="preserve">, R. G. Iannitti, C. Cunha, A. De Luca, G. Giovannini, G. </w:t>
      </w:r>
      <w:proofErr w:type="spellStart"/>
      <w:r w:rsidRPr="00FE18CB">
        <w:t>Pieraccini</w:t>
      </w:r>
      <w:proofErr w:type="spellEnd"/>
      <w:r w:rsidRPr="00FE18CB">
        <w:t xml:space="preserve">, R. </w:t>
      </w:r>
      <w:proofErr w:type="spellStart"/>
      <w:r w:rsidRPr="00FE18CB">
        <w:t>Zecchi</w:t>
      </w:r>
      <w:proofErr w:type="spellEnd"/>
      <w:r w:rsidRPr="00FE18CB">
        <w:t xml:space="preserve">, C. D’Angelo, C. Massi-Benedetti, F. </w:t>
      </w:r>
      <w:proofErr w:type="spellStart"/>
      <w:r w:rsidRPr="00FE18CB">
        <w:t>Fallarino</w:t>
      </w:r>
      <w:proofErr w:type="spellEnd"/>
      <w:r w:rsidRPr="00FE18CB">
        <w:t xml:space="preserve">, A. Carvalho, P. Puccetti, L. Romani, Tryptophan Catabolites from Microbiota Engage Aryl Hydrocarbon Receptor and Balance Mucosal Reactivity via Interleukin-22. </w:t>
      </w:r>
      <w:r w:rsidRPr="00FE18CB">
        <w:rPr>
          <w:i/>
          <w:iCs/>
        </w:rPr>
        <w:t>Immunity</w:t>
      </w:r>
      <w:r w:rsidRPr="00FE18CB">
        <w:t xml:space="preserve"> </w:t>
      </w:r>
      <w:r w:rsidRPr="00FE18CB">
        <w:rPr>
          <w:b/>
          <w:bCs/>
        </w:rPr>
        <w:t>39</w:t>
      </w:r>
      <w:r w:rsidRPr="00FE18CB">
        <w:t>, 372–385 (2013).</w:t>
      </w:r>
    </w:p>
    <w:p w14:paraId="033631BA" w14:textId="77777777" w:rsidR="00FE18CB" w:rsidRPr="00FE18CB" w:rsidRDefault="00FE18CB" w:rsidP="00FE18CB">
      <w:pPr>
        <w:pStyle w:val="Bibliography"/>
      </w:pPr>
      <w:r w:rsidRPr="00FE18CB">
        <w:t xml:space="preserve">115. </w:t>
      </w:r>
      <w:r w:rsidRPr="00FE18CB">
        <w:tab/>
        <w:t>S. H. Chu, J. W. Lim, K. H. Kim, H. Kim, NF-</w:t>
      </w:r>
      <w:proofErr w:type="spellStart"/>
      <w:r w:rsidRPr="00FE18CB">
        <w:t>κB</w:t>
      </w:r>
      <w:proofErr w:type="spellEnd"/>
      <w:r w:rsidRPr="00FE18CB">
        <w:t xml:space="preserve"> and Bcl-2 in Helicobacter pylori-Induced Apoptosis in Gastric Epithelial Cells. </w:t>
      </w:r>
      <w:r w:rsidRPr="00FE18CB">
        <w:rPr>
          <w:i/>
          <w:iCs/>
        </w:rPr>
        <w:t>Annals of the New York Academy of Sciences</w:t>
      </w:r>
      <w:r w:rsidRPr="00FE18CB">
        <w:t xml:space="preserve"> </w:t>
      </w:r>
      <w:r w:rsidRPr="00FE18CB">
        <w:rPr>
          <w:b/>
          <w:bCs/>
        </w:rPr>
        <w:t>1010</w:t>
      </w:r>
      <w:r w:rsidRPr="00FE18CB">
        <w:t>, 568–572 (2003).</w:t>
      </w:r>
    </w:p>
    <w:p w14:paraId="511E594E" w14:textId="77777777" w:rsidR="00FE18CB" w:rsidRPr="00FE18CB" w:rsidRDefault="00FE18CB" w:rsidP="00FE18CB">
      <w:pPr>
        <w:pStyle w:val="Bibliography"/>
      </w:pPr>
      <w:r w:rsidRPr="00FE18CB">
        <w:t xml:space="preserve">116. </w:t>
      </w:r>
      <w:r w:rsidRPr="00FE18CB">
        <w:tab/>
        <w:t xml:space="preserve">E. Tinsley Johnson, M. E. Benítez, A. Fuentes, C. R. McLean, A. B. Norford, J. C. Ordoñez, J. C. Beehner, T. J. Bergman, High density of white-faced capuchins (Cebus capucinus) and habitat quality in the </w:t>
      </w:r>
      <w:proofErr w:type="spellStart"/>
      <w:r w:rsidRPr="00FE18CB">
        <w:t>Taboga</w:t>
      </w:r>
      <w:proofErr w:type="spellEnd"/>
      <w:r w:rsidRPr="00FE18CB">
        <w:t xml:space="preserve"> Forest of Costa Rica. </w:t>
      </w:r>
      <w:r w:rsidRPr="00FE18CB">
        <w:rPr>
          <w:i/>
          <w:iCs/>
        </w:rPr>
        <w:t>American Journal of Primatology</w:t>
      </w:r>
      <w:r w:rsidRPr="00FE18CB">
        <w:t xml:space="preserve"> </w:t>
      </w:r>
      <w:r w:rsidRPr="00FE18CB">
        <w:rPr>
          <w:b/>
          <w:bCs/>
        </w:rPr>
        <w:t>82</w:t>
      </w:r>
      <w:r w:rsidRPr="00FE18CB">
        <w:t>, e23096 (2020).</w:t>
      </w:r>
    </w:p>
    <w:p w14:paraId="1454D80C" w14:textId="77777777" w:rsidR="00FE18CB" w:rsidRPr="00FE18CB" w:rsidRDefault="00FE18CB" w:rsidP="00FE18CB">
      <w:pPr>
        <w:pStyle w:val="Bibliography"/>
      </w:pPr>
      <w:r w:rsidRPr="00FE18CB">
        <w:t xml:space="preserve">117. </w:t>
      </w:r>
      <w:r w:rsidRPr="00FE18CB">
        <w:tab/>
        <w:t xml:space="preserve">K. Thomas-White, S. C. Forster, N. Kumar, M. Van Kuiken, C. </w:t>
      </w:r>
      <w:proofErr w:type="spellStart"/>
      <w:r w:rsidRPr="00FE18CB">
        <w:t>Putonti</w:t>
      </w:r>
      <w:proofErr w:type="spellEnd"/>
      <w:r w:rsidRPr="00FE18CB">
        <w:t xml:space="preserve">, M. D. Stares, E. E. Hilt, T. K. Price, A. J. Wolfe, T. D. Lawley, Culturing of female bladder bacteria reveals an interconnected urogenital microbiota. </w:t>
      </w:r>
      <w:r w:rsidRPr="00FE18CB">
        <w:rPr>
          <w:i/>
          <w:iCs/>
        </w:rPr>
        <w:t>Nat Commun</w:t>
      </w:r>
      <w:r w:rsidRPr="00FE18CB">
        <w:t xml:space="preserve"> </w:t>
      </w:r>
      <w:r w:rsidRPr="00FE18CB">
        <w:rPr>
          <w:b/>
          <w:bCs/>
        </w:rPr>
        <w:t>9</w:t>
      </w:r>
      <w:r w:rsidRPr="00FE18CB">
        <w:t>, 1557 (2018).</w:t>
      </w:r>
    </w:p>
    <w:p w14:paraId="15F10C4B" w14:textId="77777777" w:rsidR="00FE18CB" w:rsidRPr="00FE18CB" w:rsidRDefault="00FE18CB" w:rsidP="00FE18CB">
      <w:pPr>
        <w:pStyle w:val="Bibliography"/>
      </w:pPr>
      <w:r w:rsidRPr="00FE18CB">
        <w:t xml:space="preserve">118. </w:t>
      </w:r>
      <w:r w:rsidRPr="00FE18CB">
        <w:tab/>
        <w:t xml:space="preserve">M. L. Bergstrom, M. Emery Thompson, A. D. Melin, L. M. Fedigan, Using urinary parameters to estimate seasonal variation in the physical condition of female white-faced capuchin monkeys (Cebus capucinus imitator). </w:t>
      </w:r>
      <w:r w:rsidRPr="00FE18CB">
        <w:rPr>
          <w:i/>
          <w:iCs/>
        </w:rPr>
        <w:t>American Journal of Physical Anthropology</w:t>
      </w:r>
      <w:r w:rsidRPr="00FE18CB">
        <w:t xml:space="preserve"> </w:t>
      </w:r>
      <w:r w:rsidRPr="00FE18CB">
        <w:rPr>
          <w:b/>
          <w:bCs/>
        </w:rPr>
        <w:t>163</w:t>
      </w:r>
      <w:r w:rsidRPr="00FE18CB">
        <w:t>, 707–715 (2017).</w:t>
      </w:r>
    </w:p>
    <w:p w14:paraId="5B715B1B" w14:textId="77777777" w:rsidR="00FE18CB" w:rsidRPr="00FE18CB" w:rsidRDefault="00FE18CB" w:rsidP="00FE18CB">
      <w:pPr>
        <w:pStyle w:val="Bibliography"/>
      </w:pPr>
      <w:r w:rsidRPr="00FE18CB">
        <w:t xml:space="preserve">119. </w:t>
      </w:r>
      <w:r w:rsidRPr="00FE18CB">
        <w:tab/>
        <w:t xml:space="preserve">J. C. Beehner, J. Alfaro, C. Allen, M. E. Benítez, T. J. Bergman, M. S. Buehler, S. C. Carrera, E. M. Chester, T. Deschner, A. Fuentes, C. M. Gault, I. Godoy, K. M. Jack, J. D. Kim, L. Kolinski, N. K. Kulick, T. Losch, J. C. Ordoñez, S. E. Perry, F. Pinto, O. T. Reilly, E. T. Johnson, M. D. Wasserman, Using an on-site laboratory for fecal steroid analysis in wild white-faced capuchins. </w:t>
      </w:r>
      <w:r w:rsidRPr="00FE18CB">
        <w:rPr>
          <w:i/>
          <w:iCs/>
        </w:rPr>
        <w:t>General and Comparative Endocrinology</w:t>
      </w:r>
      <w:r w:rsidRPr="00FE18CB">
        <w:t xml:space="preserve"> </w:t>
      </w:r>
      <w:r w:rsidRPr="00FE18CB">
        <w:rPr>
          <w:b/>
          <w:bCs/>
        </w:rPr>
        <w:t>329</w:t>
      </w:r>
      <w:r w:rsidRPr="00FE18CB">
        <w:t>, 114109 (2022).</w:t>
      </w:r>
    </w:p>
    <w:p w14:paraId="26C10E0D" w14:textId="77777777" w:rsidR="00FE18CB" w:rsidRPr="00FE18CB" w:rsidRDefault="00FE18CB" w:rsidP="00FE18CB">
      <w:pPr>
        <w:pStyle w:val="Bibliography"/>
      </w:pPr>
      <w:r w:rsidRPr="00FE18CB">
        <w:lastRenderedPageBreak/>
        <w:t xml:space="preserve">120. </w:t>
      </w:r>
      <w:r w:rsidRPr="00FE18CB">
        <w:tab/>
        <w:t xml:space="preserve">M. Stern, M. Quesada, K. E. Stoner, Changes in composition and structure of a tropical dry forest following intermittent Cattle grazing. </w:t>
      </w:r>
      <w:proofErr w:type="spellStart"/>
      <w:r w:rsidRPr="00FE18CB">
        <w:rPr>
          <w:i/>
          <w:iCs/>
        </w:rPr>
        <w:t>Revista</w:t>
      </w:r>
      <w:proofErr w:type="spellEnd"/>
      <w:r w:rsidRPr="00FE18CB">
        <w:rPr>
          <w:i/>
          <w:iCs/>
        </w:rPr>
        <w:t xml:space="preserve"> de </w:t>
      </w:r>
      <w:proofErr w:type="spellStart"/>
      <w:r w:rsidRPr="00FE18CB">
        <w:rPr>
          <w:i/>
          <w:iCs/>
        </w:rPr>
        <w:t>Biología</w:t>
      </w:r>
      <w:proofErr w:type="spellEnd"/>
      <w:r w:rsidRPr="00FE18CB">
        <w:rPr>
          <w:i/>
          <w:iCs/>
        </w:rPr>
        <w:t xml:space="preserve"> Tropical</w:t>
      </w:r>
      <w:r w:rsidRPr="00FE18CB">
        <w:t xml:space="preserve"> </w:t>
      </w:r>
      <w:r w:rsidRPr="00FE18CB">
        <w:rPr>
          <w:b/>
          <w:bCs/>
        </w:rPr>
        <w:t>50</w:t>
      </w:r>
      <w:r w:rsidRPr="00FE18CB">
        <w:t>, 1021–1034 (2002).</w:t>
      </w:r>
    </w:p>
    <w:p w14:paraId="5744CA22" w14:textId="77777777" w:rsidR="00FE18CB" w:rsidRPr="00FE18CB" w:rsidRDefault="00FE18CB" w:rsidP="00FE18CB">
      <w:pPr>
        <w:pStyle w:val="Bibliography"/>
      </w:pPr>
      <w:r w:rsidRPr="00FE18CB">
        <w:t xml:space="preserve">121. </w:t>
      </w:r>
      <w:r w:rsidRPr="00FE18CB">
        <w:tab/>
        <w:t xml:space="preserve">J. M. Lucore, A. J. Marshall, S. F. Brosnan, M. E. Benítez, Validating Urinary Neopterin as a Biomarker of Immune Response in Captive and Wild Capuchin Monkeys. </w:t>
      </w:r>
      <w:r w:rsidRPr="00FE18CB">
        <w:rPr>
          <w:i/>
          <w:iCs/>
        </w:rPr>
        <w:t>Front. Vet. Sci.</w:t>
      </w:r>
      <w:r w:rsidRPr="00FE18CB">
        <w:t xml:space="preserve"> </w:t>
      </w:r>
      <w:r w:rsidRPr="00FE18CB">
        <w:rPr>
          <w:b/>
          <w:bCs/>
        </w:rPr>
        <w:t>9</w:t>
      </w:r>
      <w:r w:rsidRPr="00FE18CB">
        <w:t xml:space="preserve"> (2022).</w:t>
      </w:r>
    </w:p>
    <w:p w14:paraId="050B6A26" w14:textId="77777777" w:rsidR="00FE18CB" w:rsidRPr="00FE18CB" w:rsidRDefault="00FE18CB" w:rsidP="00FE18CB">
      <w:pPr>
        <w:pStyle w:val="Bibliography"/>
      </w:pPr>
      <w:r w:rsidRPr="00FE18CB">
        <w:t xml:space="preserve">122. </w:t>
      </w:r>
      <w:r w:rsidRPr="00FE18CB">
        <w:tab/>
        <w:t xml:space="preserve">K. R. Amato, S. </w:t>
      </w:r>
      <w:proofErr w:type="spellStart"/>
      <w:r w:rsidRPr="00FE18CB">
        <w:t>Kuthyar</w:t>
      </w:r>
      <w:proofErr w:type="spellEnd"/>
      <w:r w:rsidRPr="00FE18CB">
        <w:t xml:space="preserve">, M. Ekanayake-Weber, R. Salmi, N. Snyder-Mackler, L. </w:t>
      </w:r>
      <w:proofErr w:type="spellStart"/>
      <w:r w:rsidRPr="00FE18CB">
        <w:t>Wijayathunga</w:t>
      </w:r>
      <w:proofErr w:type="spellEnd"/>
      <w:r w:rsidRPr="00FE18CB">
        <w:t xml:space="preserve">, R. </w:t>
      </w:r>
      <w:proofErr w:type="spellStart"/>
      <w:r w:rsidRPr="00FE18CB">
        <w:t>Vandercone</w:t>
      </w:r>
      <w:proofErr w:type="spellEnd"/>
      <w:r w:rsidRPr="00FE18CB">
        <w:t xml:space="preserve">, A. Lu, Gut microbiome, diet, and conservation of endangered langurs in Sri Lanka. </w:t>
      </w:r>
      <w:proofErr w:type="spellStart"/>
      <w:r w:rsidRPr="00FE18CB">
        <w:rPr>
          <w:i/>
          <w:iCs/>
        </w:rPr>
        <w:t>Biotropica</w:t>
      </w:r>
      <w:proofErr w:type="spellEnd"/>
      <w:r w:rsidRPr="00FE18CB">
        <w:t xml:space="preserve"> </w:t>
      </w:r>
      <w:r w:rsidRPr="00FE18CB">
        <w:rPr>
          <w:b/>
          <w:bCs/>
        </w:rPr>
        <w:t>52</w:t>
      </w:r>
      <w:r w:rsidRPr="00FE18CB">
        <w:t>, 981–990 (2020).</w:t>
      </w:r>
    </w:p>
    <w:p w14:paraId="21F3E795" w14:textId="77777777" w:rsidR="00FE18CB" w:rsidRPr="00FE18CB" w:rsidRDefault="00FE18CB" w:rsidP="00FE18CB">
      <w:pPr>
        <w:pStyle w:val="Bibliography"/>
      </w:pPr>
      <w:r w:rsidRPr="00FE18CB">
        <w:t xml:space="preserve">123. </w:t>
      </w:r>
      <w:r w:rsidRPr="00FE18CB">
        <w:tab/>
        <w:t>E. k. Mallott, R. s. Malhi, P. a. Garber, High-throughput sequencing of fecal DNA to identify insects consumed by wild Weddell’s saddleback tamarins (</w:t>
      </w:r>
      <w:proofErr w:type="spellStart"/>
      <w:r w:rsidRPr="00FE18CB">
        <w:t>aguinus</w:t>
      </w:r>
      <w:proofErr w:type="spellEnd"/>
      <w:r w:rsidRPr="00FE18CB">
        <w:t xml:space="preserve"> </w:t>
      </w:r>
      <w:proofErr w:type="spellStart"/>
      <w:r w:rsidRPr="00FE18CB">
        <w:t>weddelli</w:t>
      </w:r>
      <w:proofErr w:type="spellEnd"/>
      <w:r w:rsidRPr="00FE18CB">
        <w:t xml:space="preserve">, Cebidae, Primates) in Bolivia. </w:t>
      </w:r>
      <w:r w:rsidRPr="00FE18CB">
        <w:rPr>
          <w:i/>
          <w:iCs/>
        </w:rPr>
        <w:t>American Journal of Physical Anthropology</w:t>
      </w:r>
      <w:r w:rsidRPr="00FE18CB">
        <w:t xml:space="preserve"> </w:t>
      </w:r>
      <w:r w:rsidRPr="00FE18CB">
        <w:rPr>
          <w:b/>
          <w:bCs/>
        </w:rPr>
        <w:t>156</w:t>
      </w:r>
      <w:r w:rsidRPr="00FE18CB">
        <w:t>, 474–481 (2015).</w:t>
      </w:r>
    </w:p>
    <w:p w14:paraId="25080650" w14:textId="77777777" w:rsidR="00FE18CB" w:rsidRPr="00FE18CB" w:rsidRDefault="00FE18CB" w:rsidP="00FE18CB">
      <w:pPr>
        <w:pStyle w:val="Bibliography"/>
      </w:pPr>
      <w:r w:rsidRPr="00FE18CB">
        <w:t xml:space="preserve">124. </w:t>
      </w:r>
      <w:r w:rsidRPr="00FE18CB">
        <w:tab/>
        <w:t xml:space="preserve">S. B. Pickett, C. M. Bergey, A. Di Fiore, A Metagenomic Study of Primate Insect Diet Diversity. </w:t>
      </w:r>
      <w:r w:rsidRPr="00FE18CB">
        <w:rPr>
          <w:i/>
          <w:iCs/>
        </w:rPr>
        <w:t>American Journal of Primatology</w:t>
      </w:r>
      <w:r w:rsidRPr="00FE18CB">
        <w:t xml:space="preserve"> </w:t>
      </w:r>
      <w:r w:rsidRPr="00FE18CB">
        <w:rPr>
          <w:b/>
          <w:bCs/>
        </w:rPr>
        <w:t>74</w:t>
      </w:r>
      <w:r w:rsidRPr="00FE18CB">
        <w:t>, 622–631 (2012).</w:t>
      </w:r>
    </w:p>
    <w:p w14:paraId="3FE6F3F8" w14:textId="77777777" w:rsidR="00FE18CB" w:rsidRPr="00FE18CB" w:rsidRDefault="00FE18CB" w:rsidP="00FE18CB">
      <w:pPr>
        <w:pStyle w:val="Bibliography"/>
      </w:pPr>
      <w:r w:rsidRPr="00FE18CB">
        <w:t xml:space="preserve">125. </w:t>
      </w:r>
      <w:r w:rsidRPr="00FE18CB">
        <w:tab/>
        <w:t xml:space="preserve">D. M. Gohl, P. </w:t>
      </w:r>
      <w:proofErr w:type="spellStart"/>
      <w:r w:rsidRPr="00FE18CB">
        <w:t>Vangay</w:t>
      </w:r>
      <w:proofErr w:type="spellEnd"/>
      <w:r w:rsidRPr="00FE18CB">
        <w:t xml:space="preserve">, J. Garbe, A. MacLean, A. Hauge, A. Becker, T. J. Gould, J. B. Clayton, T. J. Johnson, R. Hunter, D. Knights, K. B. Beckman, Systematic improvement of amplicon marker gene methods for increased accuracy in microbiome studies. </w:t>
      </w:r>
      <w:r w:rsidRPr="00FE18CB">
        <w:rPr>
          <w:i/>
          <w:iCs/>
        </w:rPr>
        <w:t xml:space="preserve">Nat </w:t>
      </w:r>
      <w:proofErr w:type="spellStart"/>
      <w:r w:rsidRPr="00FE18CB">
        <w:rPr>
          <w:i/>
          <w:iCs/>
        </w:rPr>
        <w:t>Biotechnol</w:t>
      </w:r>
      <w:proofErr w:type="spellEnd"/>
      <w:r w:rsidRPr="00FE18CB">
        <w:t xml:space="preserve"> </w:t>
      </w:r>
      <w:r w:rsidRPr="00FE18CB">
        <w:rPr>
          <w:b/>
          <w:bCs/>
        </w:rPr>
        <w:t>34</w:t>
      </w:r>
      <w:r w:rsidRPr="00FE18CB">
        <w:t>, 942–949 (2016).</w:t>
      </w:r>
    </w:p>
    <w:p w14:paraId="1A2A40D2" w14:textId="77777777" w:rsidR="00FE18CB" w:rsidRPr="00FE18CB" w:rsidRDefault="00FE18CB" w:rsidP="00FE18CB">
      <w:pPr>
        <w:pStyle w:val="Bibliography"/>
      </w:pPr>
      <w:r w:rsidRPr="00FE18CB">
        <w:t xml:space="preserve">126. </w:t>
      </w:r>
      <w:r w:rsidRPr="00FE18CB">
        <w:tab/>
        <w:t xml:space="preserve">E. K. Mallott, K. R. Amato, The microbial reproductive ecology of white-faced capuchins (Cebus capucinus). </w:t>
      </w:r>
      <w:r w:rsidRPr="00FE18CB">
        <w:rPr>
          <w:i/>
          <w:iCs/>
        </w:rPr>
        <w:t>American Journal of Primatology</w:t>
      </w:r>
      <w:r w:rsidRPr="00FE18CB">
        <w:t xml:space="preserve"> </w:t>
      </w:r>
      <w:r w:rsidRPr="00FE18CB">
        <w:rPr>
          <w:b/>
          <w:bCs/>
        </w:rPr>
        <w:t>80</w:t>
      </w:r>
      <w:r w:rsidRPr="00FE18CB">
        <w:t>, e22896 (2018).</w:t>
      </w:r>
    </w:p>
    <w:p w14:paraId="620575F4" w14:textId="77777777" w:rsidR="00FE18CB" w:rsidRPr="00FE18CB" w:rsidRDefault="00FE18CB" w:rsidP="00FE18CB">
      <w:pPr>
        <w:pStyle w:val="Bibliography"/>
      </w:pPr>
      <w:r w:rsidRPr="00FE18CB">
        <w:t xml:space="preserve">127. </w:t>
      </w:r>
      <w:r w:rsidRPr="00FE18CB">
        <w:tab/>
        <w:t xml:space="preserve">J. G. Caporaso, J. Kuczynski, J. Stombaugh, K. Bittinger, F. D. Bushman, E. K. Costello, N. Fierer, A. G. Peña, J. K. Goodrich, J. I. Gordon, G. A. </w:t>
      </w:r>
      <w:proofErr w:type="spellStart"/>
      <w:r w:rsidRPr="00FE18CB">
        <w:t>Huttley</w:t>
      </w:r>
      <w:proofErr w:type="spellEnd"/>
      <w:r w:rsidRPr="00FE18CB">
        <w:t xml:space="preserve">, S. T. Kelley, D. Knights, J. E. Koenig, R. E. Ley, C. A. </w:t>
      </w:r>
      <w:proofErr w:type="spellStart"/>
      <w:r w:rsidRPr="00FE18CB">
        <w:t>Lozupone</w:t>
      </w:r>
      <w:proofErr w:type="spellEnd"/>
      <w:r w:rsidRPr="00FE18CB">
        <w:t xml:space="preserve">, D. McDonald, B. D. Muegge, M. Pirrung, J. Reeder, J. R. Sevinsky, P. J. Turnbaugh, W. A. Walters, J. Widmann, T. </w:t>
      </w:r>
      <w:proofErr w:type="spellStart"/>
      <w:r w:rsidRPr="00FE18CB">
        <w:t>Yatsunenko</w:t>
      </w:r>
      <w:proofErr w:type="spellEnd"/>
      <w:r w:rsidRPr="00FE18CB">
        <w:t xml:space="preserve">, J. </w:t>
      </w:r>
      <w:proofErr w:type="spellStart"/>
      <w:r w:rsidRPr="00FE18CB">
        <w:t>Zaneveld</w:t>
      </w:r>
      <w:proofErr w:type="spellEnd"/>
      <w:r w:rsidRPr="00FE18CB">
        <w:t xml:space="preserve">, R. Knight, QIIME allows analysis of high-throughput community sequencing data. </w:t>
      </w:r>
      <w:r w:rsidRPr="00FE18CB">
        <w:rPr>
          <w:i/>
          <w:iCs/>
        </w:rPr>
        <w:t>Nat Methods</w:t>
      </w:r>
      <w:r w:rsidRPr="00FE18CB">
        <w:t xml:space="preserve"> </w:t>
      </w:r>
      <w:r w:rsidRPr="00FE18CB">
        <w:rPr>
          <w:b/>
          <w:bCs/>
        </w:rPr>
        <w:t>7</w:t>
      </w:r>
      <w:r w:rsidRPr="00FE18CB">
        <w:t>, 335–336 (2010).</w:t>
      </w:r>
    </w:p>
    <w:p w14:paraId="068AFE4A" w14:textId="77777777" w:rsidR="00FE18CB" w:rsidRPr="00FE18CB" w:rsidRDefault="00FE18CB" w:rsidP="00FE18CB">
      <w:pPr>
        <w:pStyle w:val="Bibliography"/>
      </w:pPr>
      <w:r w:rsidRPr="00FE18CB">
        <w:t xml:space="preserve">128. </w:t>
      </w:r>
      <w:r w:rsidRPr="00FE18CB">
        <w:tab/>
        <w:t xml:space="preserve">B. J. Callahan, P. J. McMurdie, M. J. Rosen, A. W. Han, A. J. A. Johnson, S. P. Holmes, DADA2: High-resolution sample inference from Illumina amplicon data. </w:t>
      </w:r>
      <w:r w:rsidRPr="00FE18CB">
        <w:rPr>
          <w:i/>
          <w:iCs/>
        </w:rPr>
        <w:t>Nat Methods</w:t>
      </w:r>
      <w:r w:rsidRPr="00FE18CB">
        <w:t xml:space="preserve"> </w:t>
      </w:r>
      <w:r w:rsidRPr="00FE18CB">
        <w:rPr>
          <w:b/>
          <w:bCs/>
        </w:rPr>
        <w:t>13</w:t>
      </w:r>
      <w:r w:rsidRPr="00FE18CB">
        <w:t>, 581–583 (2016).</w:t>
      </w:r>
    </w:p>
    <w:p w14:paraId="1D4A1EE6" w14:textId="77777777" w:rsidR="00FE18CB" w:rsidRPr="00FE18CB" w:rsidRDefault="00FE18CB" w:rsidP="00FE18CB">
      <w:pPr>
        <w:pStyle w:val="Bibliography"/>
      </w:pPr>
      <w:r w:rsidRPr="00FE18CB">
        <w:t xml:space="preserve">129. </w:t>
      </w:r>
      <w:r w:rsidRPr="00FE18CB">
        <w:tab/>
        <w:t xml:space="preserve">N. A. </w:t>
      </w:r>
      <w:proofErr w:type="spellStart"/>
      <w:r w:rsidRPr="00FE18CB">
        <w:t>Bokulich</w:t>
      </w:r>
      <w:proofErr w:type="spellEnd"/>
      <w:r w:rsidRPr="00FE18CB">
        <w:t xml:space="preserve">, B. D. Kaehler, J. R. Rideout, M. Dillon, E. </w:t>
      </w:r>
      <w:proofErr w:type="spellStart"/>
      <w:r w:rsidRPr="00FE18CB">
        <w:t>Bolyen</w:t>
      </w:r>
      <w:proofErr w:type="spellEnd"/>
      <w:r w:rsidRPr="00FE18CB">
        <w:t xml:space="preserve">, R. Knight, G. A. </w:t>
      </w:r>
      <w:proofErr w:type="spellStart"/>
      <w:r w:rsidRPr="00FE18CB">
        <w:t>Huttley</w:t>
      </w:r>
      <w:proofErr w:type="spellEnd"/>
      <w:r w:rsidRPr="00FE18CB">
        <w:t xml:space="preserve">, J. Gregory Caporaso, Optimizing taxonomic classification of marker-gene amplicon sequences with QIIME 2’s q2-feature-classifier plugin. </w:t>
      </w:r>
      <w:r w:rsidRPr="00FE18CB">
        <w:rPr>
          <w:i/>
          <w:iCs/>
        </w:rPr>
        <w:t>Microbiome</w:t>
      </w:r>
      <w:r w:rsidRPr="00FE18CB">
        <w:t xml:space="preserve"> </w:t>
      </w:r>
      <w:r w:rsidRPr="00FE18CB">
        <w:rPr>
          <w:b/>
          <w:bCs/>
        </w:rPr>
        <w:t>6</w:t>
      </w:r>
      <w:r w:rsidRPr="00FE18CB">
        <w:t>, 90 (2018).</w:t>
      </w:r>
    </w:p>
    <w:p w14:paraId="3F901201" w14:textId="77777777" w:rsidR="00FE18CB" w:rsidRPr="00FE18CB" w:rsidRDefault="00FE18CB" w:rsidP="00FE18CB">
      <w:pPr>
        <w:pStyle w:val="Bibliography"/>
      </w:pPr>
      <w:r w:rsidRPr="00FE18CB">
        <w:t xml:space="preserve">130. </w:t>
      </w:r>
      <w:r w:rsidRPr="00FE18CB">
        <w:tab/>
        <w:t xml:space="preserve">D. McDonald, M. N. Price, J. Goodrich, E. P. Nawrocki, T. Z. DeSantis, A. Probst, G. L. Andersen, R. Knight, P. </w:t>
      </w:r>
      <w:proofErr w:type="spellStart"/>
      <w:r w:rsidRPr="00FE18CB">
        <w:t>Hugenholtz</w:t>
      </w:r>
      <w:proofErr w:type="spellEnd"/>
      <w:r w:rsidRPr="00FE18CB">
        <w:t xml:space="preserve">, An improved </w:t>
      </w:r>
      <w:proofErr w:type="spellStart"/>
      <w:r w:rsidRPr="00FE18CB">
        <w:t>Greengenes</w:t>
      </w:r>
      <w:proofErr w:type="spellEnd"/>
      <w:r w:rsidRPr="00FE18CB">
        <w:t xml:space="preserve"> taxonomy with explicit ranks for ecological and evolutionary analyses of bacteria and archaea. </w:t>
      </w:r>
      <w:r w:rsidRPr="00FE18CB">
        <w:rPr>
          <w:i/>
          <w:iCs/>
        </w:rPr>
        <w:t>ISME J</w:t>
      </w:r>
      <w:r w:rsidRPr="00FE18CB">
        <w:t xml:space="preserve"> </w:t>
      </w:r>
      <w:r w:rsidRPr="00FE18CB">
        <w:rPr>
          <w:b/>
          <w:bCs/>
        </w:rPr>
        <w:t>6</w:t>
      </w:r>
      <w:r w:rsidRPr="00FE18CB">
        <w:t>, 610–618 (2012).</w:t>
      </w:r>
    </w:p>
    <w:p w14:paraId="150F8FE6" w14:textId="77777777" w:rsidR="00FE18CB" w:rsidRPr="00FE18CB" w:rsidRDefault="00FE18CB" w:rsidP="00FE18CB">
      <w:pPr>
        <w:pStyle w:val="Bibliography"/>
      </w:pPr>
      <w:r w:rsidRPr="00FE18CB">
        <w:lastRenderedPageBreak/>
        <w:t xml:space="preserve">131. </w:t>
      </w:r>
      <w:r w:rsidRPr="00FE18CB">
        <w:tab/>
        <w:t xml:space="preserve">D. McDonald, Y. Jiang, M. Balaban, K. Cantrell, Q. Zhu, A. Gonzalez, J. T. Morton, G. Nicolaou, D. H. Parks, S. M. Karst, M. Albertsen, P. </w:t>
      </w:r>
      <w:proofErr w:type="spellStart"/>
      <w:r w:rsidRPr="00FE18CB">
        <w:t>Hugenholtz</w:t>
      </w:r>
      <w:proofErr w:type="spellEnd"/>
      <w:r w:rsidRPr="00FE18CB">
        <w:t xml:space="preserve">, T. DeSantis, S. J. Song, A. Bartko, A. S. </w:t>
      </w:r>
      <w:proofErr w:type="spellStart"/>
      <w:r w:rsidRPr="00FE18CB">
        <w:t>Havulinna</w:t>
      </w:r>
      <w:proofErr w:type="spellEnd"/>
      <w:r w:rsidRPr="00FE18CB">
        <w:t xml:space="preserve">, P. </w:t>
      </w:r>
      <w:proofErr w:type="spellStart"/>
      <w:r w:rsidRPr="00FE18CB">
        <w:t>Jousilahti</w:t>
      </w:r>
      <w:proofErr w:type="spellEnd"/>
      <w:r w:rsidRPr="00FE18CB">
        <w:t xml:space="preserve">, S. Cheng, M. Inouye, T. Niiranen, M. Jain, V. Salomaa, L. Lahti, S. </w:t>
      </w:r>
      <w:proofErr w:type="spellStart"/>
      <w:r w:rsidRPr="00FE18CB">
        <w:t>Mirarab</w:t>
      </w:r>
      <w:proofErr w:type="spellEnd"/>
      <w:r w:rsidRPr="00FE18CB">
        <w:t xml:space="preserve">, R. Knight, Greengenes2 unifies microbial data in a single reference tree. </w:t>
      </w:r>
      <w:r w:rsidRPr="00FE18CB">
        <w:rPr>
          <w:i/>
          <w:iCs/>
        </w:rPr>
        <w:t xml:space="preserve">Nat </w:t>
      </w:r>
      <w:proofErr w:type="spellStart"/>
      <w:r w:rsidRPr="00FE18CB">
        <w:rPr>
          <w:i/>
          <w:iCs/>
        </w:rPr>
        <w:t>Biotechnol</w:t>
      </w:r>
      <w:proofErr w:type="spellEnd"/>
      <w:r w:rsidRPr="00FE18CB">
        <w:t xml:space="preserve"> </w:t>
      </w:r>
      <w:r w:rsidRPr="00FE18CB">
        <w:rPr>
          <w:b/>
          <w:bCs/>
        </w:rPr>
        <w:t>42</w:t>
      </w:r>
      <w:r w:rsidRPr="00FE18CB">
        <w:t>, 715–718 (2024).</w:t>
      </w:r>
    </w:p>
    <w:p w14:paraId="111034BD" w14:textId="77777777" w:rsidR="00FE18CB" w:rsidRPr="00FE18CB" w:rsidRDefault="00FE18CB" w:rsidP="00FE18CB">
      <w:pPr>
        <w:pStyle w:val="Bibliography"/>
      </w:pPr>
      <w:r w:rsidRPr="00FE18CB">
        <w:t xml:space="preserve">132. </w:t>
      </w:r>
      <w:r w:rsidRPr="00FE18CB">
        <w:tab/>
        <w:t xml:space="preserve">J. Bisanz, qiime2R: importing QIIME2 artifacts and associated data into R sessions. </w:t>
      </w:r>
      <w:r w:rsidRPr="00FE18CB">
        <w:rPr>
          <w:i/>
          <w:iCs/>
        </w:rPr>
        <w:t>R Package version 0.99</w:t>
      </w:r>
      <w:r w:rsidRPr="00FE18CB">
        <w:t xml:space="preserve"> (2018).</w:t>
      </w:r>
    </w:p>
    <w:p w14:paraId="35C3E365" w14:textId="77777777" w:rsidR="00FE18CB" w:rsidRPr="00FE18CB" w:rsidRDefault="00FE18CB" w:rsidP="00FE18CB">
      <w:pPr>
        <w:pStyle w:val="Bibliography"/>
      </w:pPr>
      <w:r w:rsidRPr="00FE18CB">
        <w:t xml:space="preserve">133. </w:t>
      </w:r>
      <w:r w:rsidRPr="00FE18CB">
        <w:tab/>
        <w:t xml:space="preserve">P. J. McMurdie, S. Holmes, </w:t>
      </w:r>
      <w:proofErr w:type="spellStart"/>
      <w:r w:rsidRPr="00FE18CB">
        <w:t>phyloseq</w:t>
      </w:r>
      <w:proofErr w:type="spellEnd"/>
      <w:r w:rsidRPr="00FE18CB">
        <w:t xml:space="preserve">: An R Package for Reproducible Interactive Analysis and Graphics of Microbiome Census Data. </w:t>
      </w:r>
      <w:proofErr w:type="spellStart"/>
      <w:r w:rsidRPr="00FE18CB">
        <w:rPr>
          <w:i/>
          <w:iCs/>
        </w:rPr>
        <w:t>PLoS</w:t>
      </w:r>
      <w:proofErr w:type="spellEnd"/>
      <w:r w:rsidRPr="00FE18CB">
        <w:rPr>
          <w:i/>
          <w:iCs/>
        </w:rPr>
        <w:t xml:space="preserve"> ONE</w:t>
      </w:r>
      <w:r w:rsidRPr="00FE18CB">
        <w:t xml:space="preserve"> </w:t>
      </w:r>
      <w:r w:rsidRPr="00FE18CB">
        <w:rPr>
          <w:b/>
          <w:bCs/>
        </w:rPr>
        <w:t>8</w:t>
      </w:r>
      <w:r w:rsidRPr="00FE18CB">
        <w:t>, e61217 (2013).</w:t>
      </w:r>
    </w:p>
    <w:p w14:paraId="36F75E07" w14:textId="77777777" w:rsidR="00FE18CB" w:rsidRPr="00FE18CB" w:rsidRDefault="00FE18CB" w:rsidP="00FE18CB">
      <w:pPr>
        <w:pStyle w:val="Bibliography"/>
      </w:pPr>
      <w:r w:rsidRPr="00FE18CB">
        <w:t xml:space="preserve">134. </w:t>
      </w:r>
      <w:r w:rsidRPr="00FE18CB">
        <w:tab/>
        <w:t xml:space="preserve">Q. Cao, X. Sun, K. Rajesh, N. Chalasani, K. Gelow, B. Katz, V. H. Shah, A. J. Sanyal, E. Smirnova, Effects of Rare Microbiome Taxa Filtering on Statistical Analysis. </w:t>
      </w:r>
      <w:r w:rsidRPr="00FE18CB">
        <w:rPr>
          <w:i/>
          <w:iCs/>
        </w:rPr>
        <w:t xml:space="preserve">Front. </w:t>
      </w:r>
      <w:proofErr w:type="spellStart"/>
      <w:r w:rsidRPr="00FE18CB">
        <w:rPr>
          <w:i/>
          <w:iCs/>
        </w:rPr>
        <w:t>Microbiol</w:t>
      </w:r>
      <w:proofErr w:type="spellEnd"/>
      <w:r w:rsidRPr="00FE18CB">
        <w:rPr>
          <w:i/>
          <w:iCs/>
        </w:rPr>
        <w:t>.</w:t>
      </w:r>
      <w:r w:rsidRPr="00FE18CB">
        <w:t xml:space="preserve"> </w:t>
      </w:r>
      <w:r w:rsidRPr="00FE18CB">
        <w:rPr>
          <w:b/>
          <w:bCs/>
        </w:rPr>
        <w:t>11</w:t>
      </w:r>
      <w:r w:rsidRPr="00FE18CB">
        <w:t xml:space="preserve"> (2021).</w:t>
      </w:r>
    </w:p>
    <w:p w14:paraId="4ADEFF32" w14:textId="77777777" w:rsidR="00FE18CB" w:rsidRPr="00FE18CB" w:rsidRDefault="00FE18CB" w:rsidP="00FE18CB">
      <w:pPr>
        <w:pStyle w:val="Bibliography"/>
      </w:pPr>
      <w:r w:rsidRPr="00FE18CB">
        <w:t xml:space="preserve">135. </w:t>
      </w:r>
      <w:r w:rsidRPr="00FE18CB">
        <w:tab/>
        <w:t xml:space="preserve">F. </w:t>
      </w:r>
      <w:proofErr w:type="spellStart"/>
      <w:r w:rsidRPr="00FE18CB">
        <w:t>Beghini</w:t>
      </w:r>
      <w:proofErr w:type="spellEnd"/>
      <w:r w:rsidRPr="00FE18CB">
        <w:t>, L. J. McIver, A. Blanco-</w:t>
      </w:r>
      <w:proofErr w:type="spellStart"/>
      <w:r w:rsidRPr="00FE18CB">
        <w:t>Míguez</w:t>
      </w:r>
      <w:proofErr w:type="spellEnd"/>
      <w:r w:rsidRPr="00FE18CB">
        <w:t xml:space="preserve">, L. Dubois, F. Asnicar, S. Maharjan, A. </w:t>
      </w:r>
      <w:proofErr w:type="spellStart"/>
      <w:r w:rsidRPr="00FE18CB">
        <w:t>Mailyan</w:t>
      </w:r>
      <w:proofErr w:type="spellEnd"/>
      <w:r w:rsidRPr="00FE18CB">
        <w:t xml:space="preserve">, P. </w:t>
      </w:r>
      <w:proofErr w:type="spellStart"/>
      <w:r w:rsidRPr="00FE18CB">
        <w:t>Manghi</w:t>
      </w:r>
      <w:proofErr w:type="spellEnd"/>
      <w:r w:rsidRPr="00FE18CB">
        <w:t xml:space="preserve">, M. Scholz, A. M. Thomas, M. Valles-Colomer, G. Weingart, Y. Zhang, M. Zolfo, C. </w:t>
      </w:r>
      <w:proofErr w:type="spellStart"/>
      <w:r w:rsidRPr="00FE18CB">
        <w:t>Huttenhower</w:t>
      </w:r>
      <w:proofErr w:type="spellEnd"/>
      <w:r w:rsidRPr="00FE18CB">
        <w:t xml:space="preserve">, E. A. Franzosa, N. </w:t>
      </w:r>
      <w:proofErr w:type="spellStart"/>
      <w:r w:rsidRPr="00FE18CB">
        <w:t>Segata</w:t>
      </w:r>
      <w:proofErr w:type="spellEnd"/>
      <w:r w:rsidRPr="00FE18CB">
        <w:t xml:space="preserve">, Integrating taxonomic, functional, and strain-level profiling of diverse microbial communities with </w:t>
      </w:r>
      <w:proofErr w:type="spellStart"/>
      <w:r w:rsidRPr="00FE18CB">
        <w:t>bioBakery</w:t>
      </w:r>
      <w:proofErr w:type="spellEnd"/>
      <w:r w:rsidRPr="00FE18CB">
        <w:t xml:space="preserve"> 3. </w:t>
      </w:r>
      <w:proofErr w:type="spellStart"/>
      <w:r w:rsidRPr="00FE18CB">
        <w:rPr>
          <w:i/>
          <w:iCs/>
        </w:rPr>
        <w:t>eLife</w:t>
      </w:r>
      <w:proofErr w:type="spellEnd"/>
      <w:r w:rsidRPr="00FE18CB">
        <w:t xml:space="preserve"> </w:t>
      </w:r>
      <w:r w:rsidRPr="00FE18CB">
        <w:rPr>
          <w:b/>
          <w:bCs/>
        </w:rPr>
        <w:t>10</w:t>
      </w:r>
      <w:r w:rsidRPr="00FE18CB">
        <w:t>, e65088 (2021).</w:t>
      </w:r>
    </w:p>
    <w:p w14:paraId="67F0F408" w14:textId="77777777" w:rsidR="00FE18CB" w:rsidRPr="00FE18CB" w:rsidRDefault="00FE18CB" w:rsidP="00FE18CB">
      <w:pPr>
        <w:pStyle w:val="Bibliography"/>
      </w:pPr>
      <w:r w:rsidRPr="00FE18CB">
        <w:t xml:space="preserve">136. </w:t>
      </w:r>
      <w:r w:rsidRPr="00FE18CB">
        <w:tab/>
        <w:t xml:space="preserve">E. K. Mallott, K. R. Amato, P. A. Garber, R. S. Malhi, Influence of fruit and invertebrate consumption on the gut microbiota of wild white-faced capuchins (Cebus capucinus). </w:t>
      </w:r>
      <w:r w:rsidRPr="00FE18CB">
        <w:rPr>
          <w:i/>
          <w:iCs/>
        </w:rPr>
        <w:t>American Journal of Physical Anthropology</w:t>
      </w:r>
      <w:r w:rsidRPr="00FE18CB">
        <w:t xml:space="preserve"> </w:t>
      </w:r>
      <w:r w:rsidRPr="00FE18CB">
        <w:rPr>
          <w:b/>
          <w:bCs/>
        </w:rPr>
        <w:t>165</w:t>
      </w:r>
      <w:r w:rsidRPr="00FE18CB">
        <w:t>, 576–588 (2018).</w:t>
      </w:r>
    </w:p>
    <w:p w14:paraId="21CED311" w14:textId="77777777" w:rsidR="00FE18CB" w:rsidRPr="00FE18CB" w:rsidRDefault="00FE18CB" w:rsidP="00FE18CB">
      <w:pPr>
        <w:pStyle w:val="Bibliography"/>
      </w:pPr>
      <w:r w:rsidRPr="00FE18CB">
        <w:t xml:space="preserve">137. </w:t>
      </w:r>
      <w:r w:rsidRPr="00FE18CB">
        <w:tab/>
        <w:t xml:space="preserve">A. J. Marshall, E. </w:t>
      </w:r>
      <w:proofErr w:type="spellStart"/>
      <w:r w:rsidRPr="00FE18CB">
        <w:t>Meijaard</w:t>
      </w:r>
      <w:proofErr w:type="spellEnd"/>
      <w:r w:rsidRPr="00FE18CB">
        <w:t xml:space="preserve">, M. Leighton, Extreme ecological </w:t>
      </w:r>
      <w:proofErr w:type="spellStart"/>
      <w:r w:rsidRPr="00FE18CB">
        <w:t>specialisation</w:t>
      </w:r>
      <w:proofErr w:type="spellEnd"/>
      <w:r w:rsidRPr="00FE18CB">
        <w:t xml:space="preserve"> in a rainforest mammal, the Bornean tufted ground squirrel, </w:t>
      </w:r>
      <w:proofErr w:type="spellStart"/>
      <w:r w:rsidRPr="00FE18CB">
        <w:t>Rheithrosciurus</w:t>
      </w:r>
      <w:proofErr w:type="spellEnd"/>
      <w:r w:rsidRPr="00FE18CB">
        <w:t xml:space="preserve"> macrotis Gray, 1857. </w:t>
      </w:r>
      <w:r w:rsidRPr="00FE18CB">
        <w:rPr>
          <w:i/>
          <w:iCs/>
        </w:rPr>
        <w:t>Raffles Bulletin of Zoology</w:t>
      </w:r>
      <w:r w:rsidRPr="00FE18CB">
        <w:t xml:space="preserve"> </w:t>
      </w:r>
      <w:r w:rsidRPr="00FE18CB">
        <w:rPr>
          <w:b/>
          <w:bCs/>
        </w:rPr>
        <w:t>69</w:t>
      </w:r>
      <w:r w:rsidRPr="00FE18CB">
        <w:t>, 497506 (2021).</w:t>
      </w:r>
    </w:p>
    <w:p w14:paraId="1683E5D5" w14:textId="77777777" w:rsidR="00FE18CB" w:rsidRPr="00FE18CB" w:rsidRDefault="00FE18CB" w:rsidP="00FE18CB">
      <w:pPr>
        <w:pStyle w:val="Bibliography"/>
      </w:pPr>
      <w:r w:rsidRPr="00FE18CB">
        <w:t xml:space="preserve">138. </w:t>
      </w:r>
      <w:r w:rsidRPr="00FE18CB">
        <w:tab/>
        <w:t xml:space="preserve">J. Aitchison, M. Greenacre, Biplots of Compositional Data. </w:t>
      </w:r>
      <w:r w:rsidRPr="00FE18CB">
        <w:rPr>
          <w:i/>
          <w:iCs/>
        </w:rPr>
        <w:t>Journal of the Royal Statistical Society Series C: Applied Statistics</w:t>
      </w:r>
      <w:r w:rsidRPr="00FE18CB">
        <w:t xml:space="preserve"> </w:t>
      </w:r>
      <w:r w:rsidRPr="00FE18CB">
        <w:rPr>
          <w:b/>
          <w:bCs/>
        </w:rPr>
        <w:t>51</w:t>
      </w:r>
      <w:r w:rsidRPr="00FE18CB">
        <w:t>, 375–392 (2002).</w:t>
      </w:r>
    </w:p>
    <w:p w14:paraId="5D14C7C3" w14:textId="77777777" w:rsidR="00FE18CB" w:rsidRPr="00FE18CB" w:rsidRDefault="00FE18CB" w:rsidP="00FE18CB">
      <w:pPr>
        <w:pStyle w:val="Bibliography"/>
      </w:pPr>
      <w:r w:rsidRPr="00FE18CB">
        <w:t xml:space="preserve">139. </w:t>
      </w:r>
      <w:r w:rsidRPr="00FE18CB">
        <w:tab/>
        <w:t xml:space="preserve">J. </w:t>
      </w:r>
      <w:proofErr w:type="spellStart"/>
      <w:r w:rsidRPr="00FE18CB">
        <w:t>Palarea</w:t>
      </w:r>
      <w:proofErr w:type="spellEnd"/>
      <w:r w:rsidRPr="00FE18CB">
        <w:t xml:space="preserve">-Albaladejo, J. A. Martín-Fernández, </w:t>
      </w:r>
      <w:proofErr w:type="spellStart"/>
      <w:r w:rsidRPr="00FE18CB">
        <w:t>zCompositions</w:t>
      </w:r>
      <w:proofErr w:type="spellEnd"/>
      <w:r w:rsidRPr="00FE18CB">
        <w:t xml:space="preserve"> — R package for multivariate imputation of left-censored data under a compositional approach. </w:t>
      </w:r>
      <w:r w:rsidRPr="00FE18CB">
        <w:rPr>
          <w:i/>
          <w:iCs/>
        </w:rPr>
        <w:t>Chemometrics and Intelligent Laboratory Systems</w:t>
      </w:r>
      <w:r w:rsidRPr="00FE18CB">
        <w:t xml:space="preserve"> </w:t>
      </w:r>
      <w:r w:rsidRPr="00FE18CB">
        <w:rPr>
          <w:b/>
          <w:bCs/>
        </w:rPr>
        <w:t>143</w:t>
      </w:r>
      <w:r w:rsidRPr="00FE18CB">
        <w:t>, 85–96 (2015).</w:t>
      </w:r>
    </w:p>
    <w:p w14:paraId="01406434" w14:textId="77777777" w:rsidR="00FE18CB" w:rsidRPr="00FE18CB" w:rsidRDefault="00FE18CB" w:rsidP="00FE18CB">
      <w:pPr>
        <w:pStyle w:val="Bibliography"/>
      </w:pPr>
      <w:r w:rsidRPr="00FE18CB">
        <w:t xml:space="preserve">140. </w:t>
      </w:r>
      <w:r w:rsidRPr="00FE18CB">
        <w:tab/>
        <w:t xml:space="preserve">G. B. Gloor, G. Reid, Compositional analysis: a valid approach to analyze microbiome high-throughput sequencing data. </w:t>
      </w:r>
      <w:r w:rsidRPr="00FE18CB">
        <w:rPr>
          <w:i/>
          <w:iCs/>
        </w:rPr>
        <w:t xml:space="preserve">Can. J. </w:t>
      </w:r>
      <w:proofErr w:type="spellStart"/>
      <w:r w:rsidRPr="00FE18CB">
        <w:rPr>
          <w:i/>
          <w:iCs/>
        </w:rPr>
        <w:t>Microbiol</w:t>
      </w:r>
      <w:proofErr w:type="spellEnd"/>
      <w:r w:rsidRPr="00FE18CB">
        <w:rPr>
          <w:i/>
          <w:iCs/>
        </w:rPr>
        <w:t>.</w:t>
      </w:r>
      <w:r w:rsidRPr="00FE18CB">
        <w:t xml:space="preserve"> </w:t>
      </w:r>
      <w:r w:rsidRPr="00FE18CB">
        <w:rPr>
          <w:b/>
          <w:bCs/>
        </w:rPr>
        <w:t>62</w:t>
      </w:r>
      <w:r w:rsidRPr="00FE18CB">
        <w:t>, 692–703 (2016).</w:t>
      </w:r>
    </w:p>
    <w:p w14:paraId="1E50C2A2" w14:textId="77777777" w:rsidR="00FE18CB" w:rsidRPr="00FE18CB" w:rsidRDefault="00FE18CB" w:rsidP="00FE18CB">
      <w:pPr>
        <w:pStyle w:val="Bibliography"/>
      </w:pPr>
      <w:r w:rsidRPr="00FE18CB">
        <w:t xml:space="preserve">141. </w:t>
      </w:r>
      <w:r w:rsidRPr="00FE18CB">
        <w:tab/>
        <w:t xml:space="preserve">G. B. Gloor, J. M. </w:t>
      </w:r>
      <w:proofErr w:type="spellStart"/>
      <w:r w:rsidRPr="00FE18CB">
        <w:t>Macklaim</w:t>
      </w:r>
      <w:proofErr w:type="spellEnd"/>
      <w:r w:rsidRPr="00FE18CB">
        <w:t xml:space="preserve">, V. </w:t>
      </w:r>
      <w:proofErr w:type="spellStart"/>
      <w:r w:rsidRPr="00FE18CB">
        <w:t>Pawlowsky</w:t>
      </w:r>
      <w:proofErr w:type="spellEnd"/>
      <w:r w:rsidRPr="00FE18CB">
        <w:t xml:space="preserve">-Glahn, J. J. </w:t>
      </w:r>
      <w:proofErr w:type="spellStart"/>
      <w:r w:rsidRPr="00FE18CB">
        <w:t>Egozcue</w:t>
      </w:r>
      <w:proofErr w:type="spellEnd"/>
      <w:r w:rsidRPr="00FE18CB">
        <w:t xml:space="preserve">, Microbiome Datasets Are Compositional: And This Is Not Optional. </w:t>
      </w:r>
      <w:r w:rsidRPr="00FE18CB">
        <w:rPr>
          <w:i/>
          <w:iCs/>
        </w:rPr>
        <w:t xml:space="preserve">Front. </w:t>
      </w:r>
      <w:proofErr w:type="spellStart"/>
      <w:r w:rsidRPr="00FE18CB">
        <w:rPr>
          <w:i/>
          <w:iCs/>
        </w:rPr>
        <w:t>Microbiol</w:t>
      </w:r>
      <w:proofErr w:type="spellEnd"/>
      <w:r w:rsidRPr="00FE18CB">
        <w:rPr>
          <w:i/>
          <w:iCs/>
        </w:rPr>
        <w:t>.</w:t>
      </w:r>
      <w:r w:rsidRPr="00FE18CB">
        <w:t xml:space="preserve"> </w:t>
      </w:r>
      <w:r w:rsidRPr="00FE18CB">
        <w:rPr>
          <w:b/>
          <w:bCs/>
        </w:rPr>
        <w:t>8</w:t>
      </w:r>
      <w:r w:rsidRPr="00FE18CB">
        <w:t xml:space="preserve"> (2017).</w:t>
      </w:r>
    </w:p>
    <w:p w14:paraId="1B478CFC" w14:textId="77777777" w:rsidR="00FE18CB" w:rsidRPr="00FE18CB" w:rsidRDefault="00FE18CB" w:rsidP="00FE18CB">
      <w:pPr>
        <w:pStyle w:val="Bibliography"/>
      </w:pPr>
      <w:r w:rsidRPr="00FE18CB">
        <w:t xml:space="preserve">142. </w:t>
      </w:r>
      <w:r w:rsidRPr="00FE18CB">
        <w:tab/>
        <w:t xml:space="preserve">H. Akaike, “Information Theory and an Extension of the Maximum Likelihood Principle” in </w:t>
      </w:r>
      <w:r w:rsidRPr="00FE18CB">
        <w:rPr>
          <w:i/>
          <w:iCs/>
        </w:rPr>
        <w:t xml:space="preserve">Selected Papers of </w:t>
      </w:r>
      <w:proofErr w:type="spellStart"/>
      <w:r w:rsidRPr="00FE18CB">
        <w:rPr>
          <w:i/>
          <w:iCs/>
        </w:rPr>
        <w:t>Hirotugu</w:t>
      </w:r>
      <w:proofErr w:type="spellEnd"/>
      <w:r w:rsidRPr="00FE18CB">
        <w:rPr>
          <w:i/>
          <w:iCs/>
        </w:rPr>
        <w:t xml:space="preserve"> Akaike</w:t>
      </w:r>
      <w:r w:rsidRPr="00FE18CB">
        <w:t xml:space="preserve">, E. </w:t>
      </w:r>
      <w:proofErr w:type="spellStart"/>
      <w:r w:rsidRPr="00FE18CB">
        <w:t>Parzen</w:t>
      </w:r>
      <w:proofErr w:type="spellEnd"/>
      <w:r w:rsidRPr="00FE18CB">
        <w:t>, K. Tanabe, G. Kitagawa, Eds. (Springer New York, New York, NY, 1998; http://link.springer.com/10.1007/978-1-4612-1694-0_15)</w:t>
      </w:r>
      <w:r w:rsidRPr="00FE18CB">
        <w:rPr>
          <w:i/>
          <w:iCs/>
        </w:rPr>
        <w:t>Springer Series in Statistics</w:t>
      </w:r>
      <w:r w:rsidRPr="00FE18CB">
        <w:t>, pp. 199–213.</w:t>
      </w:r>
    </w:p>
    <w:p w14:paraId="22F84D25" w14:textId="77777777" w:rsidR="00FE18CB" w:rsidRPr="00FE18CB" w:rsidRDefault="00FE18CB" w:rsidP="00FE18CB">
      <w:pPr>
        <w:pStyle w:val="Bibliography"/>
      </w:pPr>
      <w:r w:rsidRPr="00FE18CB">
        <w:lastRenderedPageBreak/>
        <w:t xml:space="preserve">143. </w:t>
      </w:r>
      <w:r w:rsidRPr="00FE18CB">
        <w:tab/>
        <w:t xml:space="preserve">C. M. </w:t>
      </w:r>
      <w:proofErr w:type="spellStart"/>
      <w:r w:rsidRPr="00FE18CB">
        <w:t>Hurvich</w:t>
      </w:r>
      <w:proofErr w:type="spellEnd"/>
      <w:r w:rsidRPr="00FE18CB">
        <w:t>, C.-L. Tsai, Regression and time series model selection in small samples.</w:t>
      </w:r>
    </w:p>
    <w:p w14:paraId="2AB43901" w14:textId="77777777" w:rsidR="00FE18CB" w:rsidRPr="00FE18CB" w:rsidRDefault="00FE18CB" w:rsidP="00FE18CB">
      <w:pPr>
        <w:pStyle w:val="Bibliography"/>
      </w:pPr>
      <w:r w:rsidRPr="00FE18CB">
        <w:t xml:space="preserve">144. </w:t>
      </w:r>
      <w:r w:rsidRPr="00FE18CB">
        <w:tab/>
        <w:t xml:space="preserve">P. J. McMurdie, S. Holmes, Waste Not, Want Not: Why Rarefying Microbiome Data Is Inadmissible. </w:t>
      </w:r>
      <w:r w:rsidRPr="00FE18CB">
        <w:rPr>
          <w:i/>
          <w:iCs/>
        </w:rPr>
        <w:t>PLOS Computational Biology</w:t>
      </w:r>
      <w:r w:rsidRPr="00FE18CB">
        <w:t xml:space="preserve"> </w:t>
      </w:r>
      <w:r w:rsidRPr="00FE18CB">
        <w:rPr>
          <w:b/>
          <w:bCs/>
        </w:rPr>
        <w:t>10</w:t>
      </w:r>
      <w:r w:rsidRPr="00FE18CB">
        <w:t>, e1003531 (2014).</w:t>
      </w:r>
    </w:p>
    <w:p w14:paraId="5EFBB22B" w14:textId="77777777" w:rsidR="00FE18CB" w:rsidRPr="00FE18CB" w:rsidRDefault="00FE18CB" w:rsidP="00FE18CB">
      <w:pPr>
        <w:pStyle w:val="Bibliography"/>
      </w:pPr>
      <w:r w:rsidRPr="00FE18CB">
        <w:t xml:space="preserve">145. </w:t>
      </w:r>
      <w:r w:rsidRPr="00FE18CB">
        <w:tab/>
        <w:t xml:space="preserve">D. R. Anderson, K. P. Burnham, W. L. Thompson, Null Hypothesis Testing: Problems, Prevalence, and an Alternative. </w:t>
      </w:r>
      <w:r w:rsidRPr="00FE18CB">
        <w:rPr>
          <w:i/>
          <w:iCs/>
        </w:rPr>
        <w:t>The Journal of Wildlife Management</w:t>
      </w:r>
      <w:r w:rsidRPr="00FE18CB">
        <w:t xml:space="preserve"> </w:t>
      </w:r>
      <w:r w:rsidRPr="00FE18CB">
        <w:rPr>
          <w:b/>
          <w:bCs/>
        </w:rPr>
        <w:t>64</w:t>
      </w:r>
      <w:r w:rsidRPr="00FE18CB">
        <w:t>, 912–923 (2000).</w:t>
      </w:r>
    </w:p>
    <w:p w14:paraId="78EEF2CC" w14:textId="77777777" w:rsidR="00FE18CB" w:rsidRPr="00FE18CB" w:rsidRDefault="00FE18CB" w:rsidP="00FE18CB">
      <w:pPr>
        <w:pStyle w:val="Bibliography"/>
      </w:pPr>
      <w:r w:rsidRPr="00FE18CB">
        <w:t xml:space="preserve">146. </w:t>
      </w:r>
      <w:r w:rsidRPr="00FE18CB">
        <w:tab/>
        <w:t xml:space="preserve">K. P. Burnham, D. R. Anderson, K. P. </w:t>
      </w:r>
      <w:proofErr w:type="spellStart"/>
      <w:r w:rsidRPr="00FE18CB">
        <w:t>Huyvaert</w:t>
      </w:r>
      <w:proofErr w:type="spellEnd"/>
      <w:r w:rsidRPr="00FE18CB">
        <w:t xml:space="preserve">, AIC model selection and </w:t>
      </w:r>
      <w:proofErr w:type="spellStart"/>
      <w:r w:rsidRPr="00FE18CB">
        <w:t>multimodel</w:t>
      </w:r>
      <w:proofErr w:type="spellEnd"/>
      <w:r w:rsidRPr="00FE18CB">
        <w:t xml:space="preserve"> inference in behavioral ecology: some background, observations, and comparisons. </w:t>
      </w:r>
      <w:proofErr w:type="spellStart"/>
      <w:r w:rsidRPr="00FE18CB">
        <w:rPr>
          <w:i/>
          <w:iCs/>
        </w:rPr>
        <w:t>Behav</w:t>
      </w:r>
      <w:proofErr w:type="spellEnd"/>
      <w:r w:rsidRPr="00FE18CB">
        <w:rPr>
          <w:i/>
          <w:iCs/>
        </w:rPr>
        <w:t xml:space="preserve"> </w:t>
      </w:r>
      <w:proofErr w:type="spellStart"/>
      <w:r w:rsidRPr="00FE18CB">
        <w:rPr>
          <w:i/>
          <w:iCs/>
        </w:rPr>
        <w:t>Ecol</w:t>
      </w:r>
      <w:proofErr w:type="spellEnd"/>
      <w:r w:rsidRPr="00FE18CB">
        <w:rPr>
          <w:i/>
          <w:iCs/>
        </w:rPr>
        <w:t xml:space="preserve"> </w:t>
      </w:r>
      <w:proofErr w:type="spellStart"/>
      <w:r w:rsidRPr="00FE18CB">
        <w:rPr>
          <w:i/>
          <w:iCs/>
        </w:rPr>
        <w:t>Sociobiol</w:t>
      </w:r>
      <w:proofErr w:type="spellEnd"/>
      <w:r w:rsidRPr="00FE18CB">
        <w:t xml:space="preserve"> </w:t>
      </w:r>
      <w:r w:rsidRPr="00FE18CB">
        <w:rPr>
          <w:b/>
          <w:bCs/>
        </w:rPr>
        <w:t>65</w:t>
      </w:r>
      <w:r w:rsidRPr="00FE18CB">
        <w:t>, 23–35 (2011).</w:t>
      </w:r>
    </w:p>
    <w:p w14:paraId="01E5762C" w14:textId="77777777" w:rsidR="00FE18CB" w:rsidRPr="00FE18CB" w:rsidRDefault="00FE18CB" w:rsidP="00FE18CB">
      <w:pPr>
        <w:pStyle w:val="Bibliography"/>
      </w:pPr>
      <w:r w:rsidRPr="00FE18CB">
        <w:t xml:space="preserve">147. </w:t>
      </w:r>
      <w:r w:rsidRPr="00FE18CB">
        <w:tab/>
        <w:t xml:space="preserve">X. Zhang, Y.-F. Pei, L. Zhang, B. Guo, A. H. Pendegraft, W. Zhuang, N. Yi, Negative Binomial Mixed Models for Analyzing Longitudinal Microbiome Data. </w:t>
      </w:r>
      <w:r w:rsidRPr="00FE18CB">
        <w:rPr>
          <w:i/>
          <w:iCs/>
        </w:rPr>
        <w:t xml:space="preserve">Front. </w:t>
      </w:r>
      <w:proofErr w:type="spellStart"/>
      <w:r w:rsidRPr="00FE18CB">
        <w:rPr>
          <w:i/>
          <w:iCs/>
        </w:rPr>
        <w:t>Microbiol</w:t>
      </w:r>
      <w:proofErr w:type="spellEnd"/>
      <w:r w:rsidRPr="00FE18CB">
        <w:rPr>
          <w:i/>
          <w:iCs/>
        </w:rPr>
        <w:t>.</w:t>
      </w:r>
      <w:r w:rsidRPr="00FE18CB">
        <w:t xml:space="preserve"> </w:t>
      </w:r>
      <w:r w:rsidRPr="00FE18CB">
        <w:rPr>
          <w:b/>
          <w:bCs/>
        </w:rPr>
        <w:t>9</w:t>
      </w:r>
      <w:r w:rsidRPr="00FE18CB">
        <w:t xml:space="preserve"> (2018).</w:t>
      </w:r>
    </w:p>
    <w:p w14:paraId="3F40879D" w14:textId="3CEF2C87" w:rsidR="00D82060" w:rsidRDefault="00AF39EF" w:rsidP="00A84791">
      <w:r>
        <w:fldChar w:fldCharType="end"/>
      </w:r>
    </w:p>
    <w:p w14:paraId="5FFDBBA5" w14:textId="77777777" w:rsidR="00D82060" w:rsidRDefault="00D82060" w:rsidP="00A84791"/>
    <w:p w14:paraId="19F7EBDB" w14:textId="77777777" w:rsidR="008C38E8" w:rsidRDefault="008C38E8" w:rsidP="00A84791"/>
    <w:p w14:paraId="7E3C9646" w14:textId="77777777" w:rsidR="008C38E8" w:rsidRDefault="008C38E8" w:rsidP="00A84791"/>
    <w:p w14:paraId="13D8EDDA" w14:textId="77777777" w:rsidR="008C38E8" w:rsidRDefault="008C38E8" w:rsidP="00D4726B">
      <w:pPr>
        <w:ind w:firstLine="720"/>
      </w:pPr>
    </w:p>
    <w:sectPr w:rsidR="008C38E8" w:rsidSect="000365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65527"/>
    <w:multiLevelType w:val="hybridMultilevel"/>
    <w:tmpl w:val="0E24F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E33190"/>
    <w:multiLevelType w:val="hybridMultilevel"/>
    <w:tmpl w:val="62549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A432AB5"/>
    <w:multiLevelType w:val="hybridMultilevel"/>
    <w:tmpl w:val="4FD05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6937548">
    <w:abstractNumId w:val="1"/>
  </w:num>
  <w:num w:numId="2" w16cid:durableId="868687810">
    <w:abstractNumId w:val="2"/>
  </w:num>
  <w:num w:numId="3" w16cid:durableId="918562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4BA"/>
    <w:rsid w:val="00015116"/>
    <w:rsid w:val="00023842"/>
    <w:rsid w:val="000365B2"/>
    <w:rsid w:val="00037AFA"/>
    <w:rsid w:val="00074A66"/>
    <w:rsid w:val="000A7B75"/>
    <w:rsid w:val="00105ADF"/>
    <w:rsid w:val="00143DA7"/>
    <w:rsid w:val="001A1985"/>
    <w:rsid w:val="001E6B1C"/>
    <w:rsid w:val="00230DAD"/>
    <w:rsid w:val="00245043"/>
    <w:rsid w:val="002C24BA"/>
    <w:rsid w:val="002F06AA"/>
    <w:rsid w:val="00337EBD"/>
    <w:rsid w:val="003563E7"/>
    <w:rsid w:val="0038009D"/>
    <w:rsid w:val="00396DB1"/>
    <w:rsid w:val="004537C0"/>
    <w:rsid w:val="004A358B"/>
    <w:rsid w:val="00520618"/>
    <w:rsid w:val="00535C43"/>
    <w:rsid w:val="005551F2"/>
    <w:rsid w:val="00597A43"/>
    <w:rsid w:val="00632E94"/>
    <w:rsid w:val="006461ED"/>
    <w:rsid w:val="006E0436"/>
    <w:rsid w:val="006F387E"/>
    <w:rsid w:val="00745DA1"/>
    <w:rsid w:val="00752B2B"/>
    <w:rsid w:val="008631EB"/>
    <w:rsid w:val="008A13A6"/>
    <w:rsid w:val="008C1952"/>
    <w:rsid w:val="008C38E8"/>
    <w:rsid w:val="009237D2"/>
    <w:rsid w:val="009718F1"/>
    <w:rsid w:val="00A37FA7"/>
    <w:rsid w:val="00A5476D"/>
    <w:rsid w:val="00A84791"/>
    <w:rsid w:val="00AF39EF"/>
    <w:rsid w:val="00B53794"/>
    <w:rsid w:val="00BA3DF0"/>
    <w:rsid w:val="00CD0D65"/>
    <w:rsid w:val="00CD5A2A"/>
    <w:rsid w:val="00CF0C3C"/>
    <w:rsid w:val="00D0447D"/>
    <w:rsid w:val="00D36A22"/>
    <w:rsid w:val="00D4726B"/>
    <w:rsid w:val="00D82060"/>
    <w:rsid w:val="00DB2B1C"/>
    <w:rsid w:val="00DD12D1"/>
    <w:rsid w:val="00E356F2"/>
    <w:rsid w:val="00F4439B"/>
    <w:rsid w:val="00F52F4A"/>
    <w:rsid w:val="00F6612C"/>
    <w:rsid w:val="00FE18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010E0"/>
  <w15:chartTrackingRefBased/>
  <w15:docId w15:val="{EAD511B3-85C4-344D-97F3-6FD4CB5E1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B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C24B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C24B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C24BA"/>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C24BA"/>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C24BA"/>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C24BA"/>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C24BA"/>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C24BA"/>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C24BA"/>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4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24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24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24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24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24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4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4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4BA"/>
    <w:rPr>
      <w:rFonts w:eastAsiaTheme="majorEastAsia" w:cstheme="majorBidi"/>
      <w:color w:val="272727" w:themeColor="text1" w:themeTint="D8"/>
    </w:rPr>
  </w:style>
  <w:style w:type="paragraph" w:styleId="Title">
    <w:name w:val="Title"/>
    <w:basedOn w:val="Normal"/>
    <w:next w:val="Normal"/>
    <w:link w:val="TitleChar"/>
    <w:uiPriority w:val="10"/>
    <w:qFormat/>
    <w:rsid w:val="002C24BA"/>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C24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4B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C24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4BA"/>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2C24BA"/>
    <w:rPr>
      <w:i/>
      <w:iCs/>
      <w:color w:val="404040" w:themeColor="text1" w:themeTint="BF"/>
    </w:rPr>
  </w:style>
  <w:style w:type="paragraph" w:styleId="ListParagraph">
    <w:name w:val="List Paragraph"/>
    <w:basedOn w:val="Normal"/>
    <w:uiPriority w:val="34"/>
    <w:qFormat/>
    <w:rsid w:val="002C24BA"/>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2C24BA"/>
    <w:rPr>
      <w:i/>
      <w:iCs/>
      <w:color w:val="0F4761" w:themeColor="accent1" w:themeShade="BF"/>
    </w:rPr>
  </w:style>
  <w:style w:type="paragraph" w:styleId="IntenseQuote">
    <w:name w:val="Intense Quote"/>
    <w:basedOn w:val="Normal"/>
    <w:next w:val="Normal"/>
    <w:link w:val="IntenseQuoteChar"/>
    <w:uiPriority w:val="30"/>
    <w:qFormat/>
    <w:rsid w:val="002C24B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2C24BA"/>
    <w:rPr>
      <w:i/>
      <w:iCs/>
      <w:color w:val="0F4761" w:themeColor="accent1" w:themeShade="BF"/>
    </w:rPr>
  </w:style>
  <w:style w:type="character" w:styleId="IntenseReference">
    <w:name w:val="Intense Reference"/>
    <w:basedOn w:val="DefaultParagraphFont"/>
    <w:uiPriority w:val="32"/>
    <w:qFormat/>
    <w:rsid w:val="002C24BA"/>
    <w:rPr>
      <w:b/>
      <w:bCs/>
      <w:smallCaps/>
      <w:color w:val="0F4761" w:themeColor="accent1" w:themeShade="BF"/>
      <w:spacing w:val="5"/>
    </w:rPr>
  </w:style>
  <w:style w:type="character" w:styleId="CommentReference">
    <w:name w:val="annotation reference"/>
    <w:basedOn w:val="DefaultParagraphFont"/>
    <w:uiPriority w:val="99"/>
    <w:semiHidden/>
    <w:unhideWhenUsed/>
    <w:rsid w:val="002C24BA"/>
    <w:rPr>
      <w:sz w:val="16"/>
      <w:szCs w:val="16"/>
    </w:rPr>
  </w:style>
  <w:style w:type="character" w:styleId="Hyperlink">
    <w:name w:val="Hyperlink"/>
    <w:basedOn w:val="DefaultParagraphFont"/>
    <w:uiPriority w:val="99"/>
    <w:unhideWhenUsed/>
    <w:rsid w:val="00597A43"/>
    <w:rPr>
      <w:color w:val="467886" w:themeColor="hyperlink"/>
      <w:u w:val="single"/>
    </w:rPr>
  </w:style>
  <w:style w:type="character" w:styleId="Emphasis">
    <w:name w:val="Emphasis"/>
    <w:basedOn w:val="DefaultParagraphFont"/>
    <w:uiPriority w:val="20"/>
    <w:qFormat/>
    <w:rsid w:val="001A1985"/>
    <w:rPr>
      <w:i/>
      <w:iCs/>
    </w:rPr>
  </w:style>
  <w:style w:type="character" w:styleId="Strong">
    <w:name w:val="Strong"/>
    <w:basedOn w:val="DefaultParagraphFont"/>
    <w:uiPriority w:val="22"/>
    <w:qFormat/>
    <w:rsid w:val="001A1985"/>
    <w:rPr>
      <w:b/>
      <w:bCs/>
    </w:rPr>
  </w:style>
  <w:style w:type="paragraph" w:styleId="Bibliography">
    <w:name w:val="Bibliography"/>
    <w:basedOn w:val="Normal"/>
    <w:next w:val="Normal"/>
    <w:uiPriority w:val="37"/>
    <w:unhideWhenUsed/>
    <w:rsid w:val="00AF39EF"/>
    <w:pPr>
      <w:tabs>
        <w:tab w:val="left" w:pos="620"/>
      </w:tabs>
      <w:spacing w:after="240"/>
      <w:ind w:left="624" w:hanging="624"/>
    </w:p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8.emf"/><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image" Target="media/image7.emf"/><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emf"/><Relationship Id="rId11" Type="http://schemas.openxmlformats.org/officeDocument/2006/relationships/image" Target="media/image6.emf"/><Relationship Id="rId5" Type="http://schemas.openxmlformats.org/officeDocument/2006/relationships/hyperlink" Target="http://www.earthmicrobiome.org" TargetMode="External"/><Relationship Id="rId15" Type="http://schemas.openxmlformats.org/officeDocument/2006/relationships/image" Target="media/image10.emf"/><Relationship Id="rId10" Type="http://schemas.openxmlformats.org/officeDocument/2006/relationships/image" Target="media/image5.emf"/><Relationship Id="rId4" Type="http://schemas.openxmlformats.org/officeDocument/2006/relationships/webSettings" Target="webSettings.xml"/><Relationship Id="rId9" Type="http://schemas.openxmlformats.org/officeDocument/2006/relationships/image" Target="media/image4.emf"/><Relationship Id="rId14" Type="http://schemas.openxmlformats.org/officeDocument/2006/relationships/image" Target="media/image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318</TotalTime>
  <Pages>41</Pages>
  <Words>90816</Words>
  <Characters>517656</Characters>
  <Application>Microsoft Office Word</Application>
  <DocSecurity>0</DocSecurity>
  <Lines>4313</Lines>
  <Paragraphs>1214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10</cp:revision>
  <dcterms:created xsi:type="dcterms:W3CDTF">2025-07-23T18:37:00Z</dcterms:created>
  <dcterms:modified xsi:type="dcterms:W3CDTF">2025-08-05T15:32:00Z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id="yLAL7ZJc"/&gt;&lt;style id="http://www.zotero.org/styles/science" hasBibliography="1" bibliographyStyleHasBeenSet="1"/&gt;&lt;prefs&gt;&lt;pref name="fieldType" value="Field"/&gt;&lt;pref name="dontAskDelayCitationUpdat</vt:lpwstr>
  </property>
  <property fmtid="{D5CDD505-2E9C-101B-9397-08002B2CF9AE}" pid="3" name="ZOTERO_PREF_2">
    <vt:lpwstr>es" value="true"/&gt;&lt;/prefs&gt;&lt;/data&gt;</vt:lpwstr>
  </property>
</Properties>
</file>