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7953" w14:textId="042C4ACE" w:rsidR="009304A2" w:rsidRPr="009304A2" w:rsidRDefault="009304A2" w:rsidP="00BC1EDA">
      <w:pPr>
        <w:rPr>
          <w:sz w:val="28"/>
          <w:szCs w:val="28"/>
        </w:rPr>
      </w:pPr>
      <w:r w:rsidRPr="00A33A8F">
        <w:rPr>
          <w:sz w:val="28"/>
          <w:szCs w:val="28"/>
          <w:highlight w:val="green"/>
        </w:rPr>
        <w:t>High temperatures are associated with gut</w:t>
      </w:r>
      <w:r w:rsidR="00DD674D" w:rsidRPr="00A33A8F">
        <w:rPr>
          <w:sz w:val="28"/>
          <w:szCs w:val="28"/>
          <w:highlight w:val="green"/>
        </w:rPr>
        <w:t xml:space="preserve"> microbiome</w:t>
      </w:r>
      <w:r w:rsidRPr="00A33A8F">
        <w:rPr>
          <w:sz w:val="28"/>
          <w:szCs w:val="28"/>
          <w:highlight w:val="green"/>
        </w:rPr>
        <w:t>-immune interactions in a wild primate species</w:t>
      </w:r>
    </w:p>
    <w:p w14:paraId="1CC97F56" w14:textId="77777777" w:rsidR="009304A2" w:rsidRDefault="009304A2" w:rsidP="00BC1EDA"/>
    <w:p w14:paraId="55ED810D" w14:textId="06C0EE06" w:rsidR="00BC1EDA" w:rsidRPr="00E410C3" w:rsidRDefault="00BC1EDA" w:rsidP="00BC1EDA">
      <w:r w:rsidRPr="00E410C3">
        <w:t>Jordan M. Lucore</w:t>
      </w:r>
      <w:r w:rsidRPr="00E410C3">
        <w:rPr>
          <w:vertAlign w:val="superscript"/>
        </w:rPr>
        <w:t>1,2</w:t>
      </w:r>
      <w:r w:rsidR="005C1673">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005C1673">
        <w:rPr>
          <w:vertAlign w:val="superscript"/>
        </w:rPr>
        <w:t>†</w:t>
      </w:r>
      <w:r w:rsidRPr="00E410C3">
        <w:t>, Andrew J. Marshall</w:t>
      </w:r>
      <w:r w:rsidRPr="00E410C3">
        <w:rPr>
          <w:vertAlign w:val="superscript"/>
        </w:rPr>
        <w:t>1,6,9, 10, 11</w:t>
      </w:r>
      <w:r w:rsidR="005C1673">
        <w:rPr>
          <w:vertAlign w:val="superscript"/>
        </w:rPr>
        <w:t>†</w:t>
      </w:r>
    </w:p>
    <w:p w14:paraId="137CB2DB" w14:textId="77777777" w:rsidR="00BC1EDA" w:rsidRPr="00E410C3" w:rsidRDefault="00BC1EDA" w:rsidP="00BC1EDA"/>
    <w:p w14:paraId="31E63AF3" w14:textId="77777777" w:rsidR="00BC1EDA" w:rsidRDefault="00BC1EDA" w:rsidP="00BC1ED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Taboga Research Project, Taboga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68704960" w14:textId="77777777" w:rsidR="00BC1EDA" w:rsidRDefault="00BC1EDA" w:rsidP="00BC1EDA"/>
    <w:p w14:paraId="07F7F8A1" w14:textId="5B0C6AAF" w:rsidR="005C1673" w:rsidRDefault="005C1673" w:rsidP="00BC1EDA">
      <w:r>
        <w:t>*</w:t>
      </w:r>
      <w:r w:rsidR="00974119" w:rsidRPr="00974119">
        <w:t xml:space="preserve"> </w:t>
      </w:r>
      <w:r w:rsidR="00974119">
        <w:t xml:space="preserve">Corresponding author </w:t>
      </w:r>
      <w:r>
        <w:t xml:space="preserve"> </w:t>
      </w:r>
      <w:hyperlink r:id="rId5" w:history="1">
        <w:r w:rsidRPr="00040F15">
          <w:rPr>
            <w:rStyle w:val="Hyperlink"/>
          </w:rPr>
          <w:t>jlucore@umich.edu</w:t>
        </w:r>
      </w:hyperlink>
      <w:r>
        <w:t xml:space="preserve"> </w:t>
      </w:r>
    </w:p>
    <w:p w14:paraId="36BBE48E" w14:textId="6ED34968" w:rsidR="00BC1EDA" w:rsidRDefault="005C1673" w:rsidP="00BC1EDA">
      <w:r>
        <w:rPr>
          <w:vertAlign w:val="superscript"/>
        </w:rPr>
        <w:t>†</w:t>
      </w:r>
      <w:r w:rsidR="00974119">
        <w:rPr>
          <w:vertAlign w:val="superscript"/>
        </w:rPr>
        <w:t xml:space="preserve"> </w:t>
      </w:r>
      <w:r w:rsidR="00BC1EDA">
        <w:t>These authors contributed equally to this work.</w:t>
      </w:r>
    </w:p>
    <w:p w14:paraId="613BFF04" w14:textId="77777777" w:rsidR="00BC1EDA" w:rsidRDefault="00BC1EDA" w:rsidP="00BC1EDA"/>
    <w:p w14:paraId="3CE21D9B" w14:textId="2CE684E1" w:rsidR="002C7F8C" w:rsidRDefault="002C7F8C" w:rsidP="002C7F8C">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C7F8C">
        <w:rPr>
          <w:highlight w:val="green"/>
        </w:rPr>
        <w:t xml:space="preserve">We find that high temperatures are associated with changes in microbiome community-level diversity, taxonomic composition, and metabolic capacity consistent with physiological responses to heat stress. We also show that the microbiome’s response to high temperatures is linked to host immunity and may affect </w:t>
      </w:r>
      <w:r w:rsidR="00DD674D">
        <w:rPr>
          <w:highlight w:val="green"/>
        </w:rPr>
        <w:t>microbiome</w:t>
      </w:r>
      <w:r w:rsidRPr="002C7F8C">
        <w:rPr>
          <w:highlight w:val="green"/>
        </w:rPr>
        <w:t>-immune interactions. These results suggest that rising temperatures may compromise essential microbiome functions and highlight a potential mechanism by which climate change could negatively impact species through their microbiomes.</w:t>
      </w:r>
      <w:r>
        <w:t xml:space="preserve"> </w:t>
      </w:r>
    </w:p>
    <w:p w14:paraId="1921B324" w14:textId="77777777" w:rsidR="002C7F8C" w:rsidRDefault="002C7F8C" w:rsidP="00BC1EDA"/>
    <w:p w14:paraId="728EBD03" w14:textId="5EC2B334" w:rsidR="00BC1EDA" w:rsidRDefault="00BC1EDA" w:rsidP="005B0F26">
      <w:r>
        <w:t>Keywords: gut microbiome, neopterin, heat stress, endotherm</w:t>
      </w:r>
      <w:r w:rsidR="009304A2">
        <w:t xml:space="preserve">, climate change, </w:t>
      </w:r>
      <w:r w:rsidR="005C1673">
        <w:t xml:space="preserve">wild </w:t>
      </w:r>
      <w:r w:rsidR="009304A2">
        <w:t>primate</w:t>
      </w:r>
    </w:p>
    <w:p w14:paraId="42FBEE30" w14:textId="77777777" w:rsidR="00BC1EDA" w:rsidRDefault="00BC1EDA" w:rsidP="005B0F26"/>
    <w:p w14:paraId="7D2973ED" w14:textId="68F61120" w:rsidR="005B0F26" w:rsidRDefault="005B0F26" w:rsidP="005B0F26">
      <w:r>
        <w:t xml:space="preserve">Introduction: </w:t>
      </w:r>
    </w:p>
    <w:p w14:paraId="3A5150B2" w14:textId="77777777" w:rsidR="005B0F26" w:rsidRDefault="005B0F26" w:rsidP="005B0F26">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w:t>
      </w:r>
      <w:r>
        <w:lastRenderedPageBreak/>
        <w:t xml:space="preserve">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microbiomes may play a key role in determining the thermal tolerances of their host species </w:t>
      </w:r>
      <w:r>
        <w:fldChar w:fldCharType="begin"/>
      </w:r>
      <w:r>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fldChar w:fldCharType="separate"/>
      </w:r>
      <w:r w:rsidRPr="00B52801">
        <w:t>(</w:t>
      </w:r>
      <w:r w:rsidRPr="00B52801">
        <w:rPr>
          <w:i/>
          <w:iCs/>
        </w:rPr>
        <w:t>9</w:t>
      </w:r>
      <w:r w:rsidRPr="00B52801">
        <w:t>–</w:t>
      </w:r>
      <w:r w:rsidRPr="00B52801">
        <w:rPr>
          <w:i/>
          <w:iCs/>
        </w:rPr>
        <w:t>12</w:t>
      </w:r>
      <w:r w:rsidRPr="00B52801">
        <w:t>)</w:t>
      </w:r>
      <w:r>
        <w:fldChar w:fldCharType="end"/>
      </w:r>
      <w:r>
        <w:t xml:space="preserve"> because heat stress can deplete microbiome communities, and is associated with negative phenotypic, survivorship, and fitness outcomes </w:t>
      </w:r>
      <w:r>
        <w:fldChar w:fldCharType="begin"/>
      </w:r>
      <w:r>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B52801">
        <w:t>(</w:t>
      </w:r>
      <w:r w:rsidRPr="00B52801">
        <w:rPr>
          <w:i/>
          <w:iCs/>
        </w:rPr>
        <w:t>13</w:t>
      </w:r>
      <w:r w:rsidRPr="00B52801">
        <w:t xml:space="preserve">, </w:t>
      </w:r>
      <w:r w:rsidRPr="00B52801">
        <w:rPr>
          <w:i/>
          <w:iCs/>
        </w:rPr>
        <w:t>14</w:t>
      </w:r>
      <w:r w:rsidRPr="00B52801">
        <w:t>)</w:t>
      </w:r>
      <w:r>
        <w:fldChar w:fldCharType="end"/>
      </w:r>
      <w:r>
        <w:t>. While this research highlights that heat is an important determinant of host-microbiome relationships, it has largely been conducted in laboratory settings and offers limited insight into how these dynamics function in ecologically relevant contexts.</w:t>
      </w:r>
    </w:p>
    <w:p w14:paraId="5C919168" w14:textId="77777777" w:rsidR="005B0F26" w:rsidRDefault="005B0F26" w:rsidP="005B0F26">
      <w:pPr>
        <w:ind w:firstLine="720"/>
      </w:pPr>
      <w:r>
        <w:t xml:space="preserve">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Pr="00B52801">
        <w:t>(</w:t>
      </w:r>
      <w:r w:rsidRPr="00B52801">
        <w:rPr>
          <w:i/>
          <w:iCs/>
        </w:rPr>
        <w:t>15</w:t>
      </w:r>
      <w:r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rsidRPr="00EB3A97">
        <w:t xml:space="preserve"> </w:t>
      </w:r>
      <w:r>
        <w:t xml:space="preserve">and are linked to changes in host digestion, metabolism, and immune function </w:t>
      </w:r>
      <w:r>
        <w:fldChar w:fldCharType="begin"/>
      </w:r>
      <w:r>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17</w:t>
      </w:r>
      <w:r w:rsidRPr="00B52801">
        <w:t>–</w:t>
      </w:r>
      <w:r w:rsidRPr="00B52801">
        <w:rPr>
          <w:i/>
          <w:iCs/>
        </w:rPr>
        <w:t>20</w:t>
      </w:r>
      <w:r w:rsidRPr="00B52801">
        <w:t>)</w:t>
      </w:r>
      <w:r>
        <w:fldChar w:fldCharType="end"/>
      </w:r>
      <w:r>
        <w:t xml:space="preserve">, but these relationships have yet to be demonstrated in wild populations. A common consequence of heat stress is redox imbalance— the accumulation of reactive oxygen species (ROS) that can damage cells </w:t>
      </w:r>
      <w:r>
        <w:fldChar w:fldCharType="begin"/>
      </w:r>
      <w:r>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Pr="00B52801">
        <w:t>(</w:t>
      </w:r>
      <w:r w:rsidRPr="00B52801">
        <w:rPr>
          <w:i/>
          <w:iCs/>
        </w:rPr>
        <w:t>21</w:t>
      </w:r>
      <w:r w:rsidRPr="00B52801">
        <w:t xml:space="preserve">, </w:t>
      </w:r>
      <w:r w:rsidRPr="00B52801">
        <w:rPr>
          <w:i/>
          <w:iCs/>
        </w:rPr>
        <w:t>22</w:t>
      </w:r>
      <w:r w:rsidRPr="00B52801">
        <w:t>)</w:t>
      </w:r>
      <w:r>
        <w:fldChar w:fldCharType="end"/>
      </w:r>
      <w:r>
        <w:t xml:space="preserve">, compromise the epithelial barrier </w:t>
      </w:r>
      <w:r>
        <w:fldChar w:fldCharType="begin"/>
      </w:r>
      <w:r>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Pr>
          <w:rFonts w:ascii="Cambria Math" w:hAnsi="Cambria Math" w:cs="Cambria Math"/>
        </w:rPr>
        <w:instrText>∼</w:instrText>
      </w:r>
      <w:r>
        <w:instrText xml:space="preserve">37°C or heated over 90 min to a core body temperature of </w:instrText>
      </w:r>
      <w:r>
        <w:rPr>
          <w:rFonts w:ascii="Cambria Math" w:hAnsi="Cambria Math" w:cs="Cambria Math"/>
        </w:rPr>
        <w:instrText>∼</w:instrText>
      </w:r>
      <w:r>
        <w:instrText xml:space="preserve">41, </w:instrText>
      </w:r>
      <w:r>
        <w:rPr>
          <w:rFonts w:ascii="Cambria Math" w:hAnsi="Cambria Math" w:cs="Cambria Math"/>
        </w:rPr>
        <w:instrText>∼</w:instrText>
      </w:r>
      <w:r>
        <w:instrText xml:space="preserve">41.5, or </w:instrText>
      </w:r>
      <w:r>
        <w:rPr>
          <w:rFonts w:ascii="Cambria Math" w:hAnsi="Cambria Math" w:cs="Cambria Math"/>
        </w:rPr>
        <w:instrText>∼</w:instrText>
      </w:r>
      <w:r>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Pr="00B52801">
        <w:t>(</w:t>
      </w:r>
      <w:r w:rsidRPr="00B52801">
        <w:rPr>
          <w:i/>
          <w:iCs/>
        </w:rPr>
        <w:t>23</w:t>
      </w:r>
      <w:r w:rsidRPr="00B52801">
        <w:t>)</w:t>
      </w:r>
      <w:r>
        <w:fldChar w:fldCharType="end"/>
      </w:r>
      <w:r>
        <w:t xml:space="preserve">, and trigger immune activation </w:t>
      </w:r>
      <w:r>
        <w:fldChar w:fldCharType="begin"/>
      </w:r>
      <w:r>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Pr="00B52801">
        <w:t>(</w:t>
      </w:r>
      <w:r w:rsidRPr="00B52801">
        <w:rPr>
          <w:i/>
          <w:iCs/>
        </w:rPr>
        <w:t>24</w:t>
      </w:r>
      <w:r w:rsidRPr="00B52801">
        <w:t>)</w:t>
      </w:r>
      <w:r>
        <w:fldChar w:fldCharType="end"/>
      </w:r>
      <w:r>
        <w:t xml:space="preserve">. Gut microbes typically help maintain redox balance </w:t>
      </w:r>
      <w:r>
        <w:fldChar w:fldCharType="begin"/>
      </w:r>
      <w:r>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but heat-induced changes in community composition have been linked to</w:t>
      </w:r>
      <w:r w:rsidRPr="00517B83">
        <w:t xml:space="preserve"> </w:t>
      </w:r>
      <w:r>
        <w:t xml:space="preserve">reduced antioxidant metabolism </w:t>
      </w:r>
      <w:r>
        <w:fldChar w:fldCharType="begin"/>
      </w:r>
      <w:r>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Pr="00B52801">
        <w:t>(</w:t>
      </w:r>
      <w:r w:rsidRPr="00B52801">
        <w:rPr>
          <w:i/>
          <w:iCs/>
        </w:rPr>
        <w:t>28</w:t>
      </w:r>
      <w:r w:rsidRPr="00B52801">
        <w:t xml:space="preserve">, </w:t>
      </w:r>
      <w:r w:rsidRPr="00B52801">
        <w:rPr>
          <w:i/>
          <w:iCs/>
        </w:rPr>
        <w:t>29</w:t>
      </w:r>
      <w:r w:rsidRPr="00B52801">
        <w:t>)</w:t>
      </w:r>
      <w:r>
        <w:fldChar w:fldCharType="end"/>
      </w:r>
      <w:r>
        <w:t xml:space="preserve"> and increased epithelial damage </w:t>
      </w:r>
      <w:r>
        <w:fldChar w:fldCharType="begin"/>
      </w:r>
      <w:r>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These redox shifts may disrupt oxygen gradients, favoring facultative anaerobes over obligate anaerobes. This is supported across a variety of vertebrate species where high temperatures are consistently associated with declines in Firmicutes and </w:t>
      </w:r>
      <w:proofErr w:type="spellStart"/>
      <w:r>
        <w:t>Bacteroidota</w:t>
      </w:r>
      <w:proofErr w:type="spellEnd"/>
      <w:r>
        <w:t xml:space="preserve"> </w:t>
      </w:r>
      <w:r>
        <w:fldChar w:fldCharType="begin"/>
      </w:r>
      <w:r>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 xml:space="preserve">, </w:t>
      </w:r>
      <w:r w:rsidRPr="00B52801">
        <w:rPr>
          <w:i/>
          <w:iCs/>
        </w:rPr>
        <w:t>31</w:t>
      </w:r>
      <w:r w:rsidRPr="00B52801">
        <w:t xml:space="preserve">, </w:t>
      </w:r>
      <w:r w:rsidRPr="00B52801">
        <w:rPr>
          <w:i/>
          <w:iCs/>
        </w:rPr>
        <w:t>32</w:t>
      </w:r>
      <w:r w:rsidRPr="00B52801">
        <w:t>)</w:t>
      </w:r>
      <w:r>
        <w:fldChar w:fldCharType="end"/>
      </w:r>
      <w:r>
        <w:t xml:space="preserve">, phyla composed primarily of obligate anaerobes lacking robust ROS defenses </w:t>
      </w:r>
      <w:r>
        <w:fldChar w:fldCharType="begin"/>
      </w:r>
      <w:r>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and increases in Proteobacteria </w:t>
      </w:r>
      <w:r>
        <w:fldChar w:fldCharType="begin"/>
      </w:r>
      <w:r>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t xml:space="preserve">, a phylum dominated by facultative anaerobes that thrive in higher-oxygen conditions </w:t>
      </w:r>
      <w:r>
        <w:fldChar w:fldCharType="begin"/>
      </w:r>
      <w:r>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w:t>
      </w:r>
    </w:p>
    <w:p w14:paraId="57842D54" w14:textId="77777777" w:rsidR="005B0F26" w:rsidRDefault="005B0F26" w:rsidP="005B0F2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B52801">
        <w:t>(</w:t>
      </w:r>
      <w:r w:rsidRPr="00B52801">
        <w:rPr>
          <w:i/>
          <w:iCs/>
        </w:rPr>
        <w:t>40</w:t>
      </w:r>
      <w:r w:rsidRPr="00B52801">
        <w:t>–</w:t>
      </w:r>
      <w:r w:rsidRPr="00B52801">
        <w:rPr>
          <w:i/>
          <w:iCs/>
        </w:rPr>
        <w:t>43</w:t>
      </w:r>
      <w:r w:rsidRPr="00B5280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B52801">
        <w:t>(</w:t>
      </w:r>
      <w:r w:rsidRPr="00B52801">
        <w:rPr>
          <w:i/>
          <w:iCs/>
        </w:rPr>
        <w:t>19</w:t>
      </w:r>
      <w:r w:rsidRPr="00B52801">
        <w:t>)</w:t>
      </w:r>
      <w:r>
        <w:fldChar w:fldCharType="end"/>
      </w:r>
      <w:r>
        <w:t xml:space="preserve"> changes in the levels of circulating cytokines, and altered gut microbiome composition </w:t>
      </w:r>
      <w:r>
        <w:fldChar w:fldCharType="begin"/>
      </w:r>
      <w:r>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44</w:t>
      </w:r>
      <w:r w:rsidRPr="00B52801">
        <w:t>)</w:t>
      </w:r>
      <w:r>
        <w:fldChar w:fldCharType="end"/>
      </w:r>
      <w:r>
        <w:t>, suggesting that heat-driven compositional shifts may disrupt microbiome-immune interactions and increase the risk of gut inflammation. These dynamics are likely to play an essential role in shaping animal responses to changing climates.</w:t>
      </w:r>
      <w:r w:rsidRPr="009846FE">
        <w:t xml:space="preserve"> </w:t>
      </w:r>
      <w:r>
        <w:t>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Pr="00B52801">
        <w:t>(</w:t>
      </w:r>
      <w:r w:rsidRPr="00B52801">
        <w:rPr>
          <w:i/>
          <w:iCs/>
        </w:rPr>
        <w:t>45</w:t>
      </w:r>
      <w:r w:rsidRPr="00B52801">
        <w:t xml:space="preserve">, </w:t>
      </w:r>
      <w:r w:rsidRPr="00B52801">
        <w:rPr>
          <w:i/>
          <w:iCs/>
        </w:rPr>
        <w:t>46</w:t>
      </w:r>
      <w:r w:rsidRPr="00B52801">
        <w:t>)</w:t>
      </w:r>
      <w:r>
        <w:fldChar w:fldCharType="end"/>
      </w:r>
      <w:r>
        <w:t xml:space="preserve">] and have focused either on ectotherms [e.g., amphibians </w:t>
      </w:r>
      <w:r>
        <w:fldChar w:fldCharType="begin"/>
      </w:r>
      <w:r>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Pr="00B52801">
        <w:t>(</w:t>
      </w:r>
      <w:r w:rsidRPr="00B52801">
        <w:rPr>
          <w:i/>
          <w:iCs/>
        </w:rPr>
        <w:t>18</w:t>
      </w:r>
      <w:r w:rsidRPr="00B52801">
        <w:t xml:space="preserve">, </w:t>
      </w:r>
      <w:r w:rsidRPr="00B52801">
        <w:rPr>
          <w:i/>
          <w:iCs/>
        </w:rPr>
        <w:t>47</w:t>
      </w:r>
      <w:r w:rsidRPr="00B52801">
        <w:t>)</w:t>
      </w:r>
      <w:r>
        <w:fldChar w:fldCharType="end"/>
      </w:r>
      <w:r>
        <w:t xml:space="preserve">, fish </w:t>
      </w:r>
      <w:r>
        <w:fldChar w:fldCharType="begin"/>
      </w:r>
      <w:r>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Pr="00B52801">
        <w:t>(</w:t>
      </w:r>
      <w:r w:rsidRPr="00B52801">
        <w:rPr>
          <w:i/>
          <w:iCs/>
        </w:rPr>
        <w:t>28</w:t>
      </w:r>
      <w:r w:rsidRPr="00B52801">
        <w:t>)</w:t>
      </w:r>
      <w:r>
        <w:fldChar w:fldCharType="end"/>
      </w:r>
      <w:r>
        <w:t xml:space="preserve">, reptiles </w:t>
      </w:r>
      <w:r>
        <w:fldChar w:fldCharType="begin"/>
      </w:r>
      <w:r>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or on domestic livestock [e.g., pigs </w:t>
      </w:r>
      <w:r>
        <w:fldChar w:fldCharType="begin"/>
      </w:r>
      <w:r>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cows </w:t>
      </w:r>
      <w:r>
        <w:fldChar w:fldCharType="begin"/>
      </w:r>
      <w:r>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19</w:t>
      </w:r>
      <w:r w:rsidRPr="00B52801">
        <w:t xml:space="preserve">, </w:t>
      </w:r>
      <w:r w:rsidRPr="00B52801">
        <w:rPr>
          <w:i/>
          <w:iCs/>
        </w:rPr>
        <w:t>44</w:t>
      </w:r>
      <w:r w:rsidRPr="00B52801">
        <w:t>)</w:t>
      </w:r>
      <w:r>
        <w:fldChar w:fldCharType="end"/>
      </w:r>
      <w:r>
        <w:t xml:space="preserve">, poultry </w:t>
      </w:r>
      <w:r>
        <w:fldChar w:fldCharType="begin"/>
      </w:r>
      <w:r>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Pr="00B52801">
        <w:t>(</w:t>
      </w:r>
      <w:r w:rsidRPr="00B52801">
        <w:rPr>
          <w:i/>
          <w:iCs/>
        </w:rPr>
        <w:t>29</w:t>
      </w:r>
      <w:r w:rsidRPr="00B52801">
        <w:t xml:space="preserve">, </w:t>
      </w:r>
      <w:r w:rsidRPr="00B52801">
        <w:rPr>
          <w:i/>
          <w:iCs/>
        </w:rPr>
        <w:t>49</w:t>
      </w:r>
      <w:r w:rsidRPr="00B52801">
        <w:t>)</w:t>
      </w:r>
      <w:r>
        <w:fldChar w:fldCharType="end"/>
      </w:r>
      <w:r>
        <w:t>]. Therefore, we have little understanding of how this system functions in wild populations in response to natural thermal variation.</w:t>
      </w:r>
    </w:p>
    <w:p w14:paraId="04CBD499" w14:textId="77777777" w:rsidR="005B0F26" w:rsidRDefault="005B0F26" w:rsidP="005B0F26">
      <w:pPr>
        <w:ind w:firstLine="720"/>
      </w:pPr>
      <w:r w:rsidRPr="000709F1">
        <w:lastRenderedPageBreak/>
        <w:t xml:space="preserve">To address this knowledge gap, here, we assess how temperature predicts gut microbiome composition and metabolic function in wild capuchin monkeys, </w:t>
      </w:r>
      <w:r w:rsidRPr="000709F1">
        <w:rPr>
          <w:i/>
          <w:iCs/>
        </w:rPr>
        <w:t>Cebus imitator</w:t>
      </w:r>
      <w:r w:rsidRPr="000709F1">
        <w:t xml:space="preserve">, in Costa Rica. </w:t>
      </w:r>
      <w:r w:rsidRPr="00755C82">
        <w:rPr>
          <w:highlight w:val="green"/>
        </w:rPr>
        <w:t>We focus on</w:t>
      </w:r>
      <w:r>
        <w:rPr>
          <w:highlight w:val="green"/>
        </w:rPr>
        <w:t xml:space="preserve"> evaluating</w:t>
      </w:r>
      <w:r w:rsidRPr="00755C82">
        <w:rPr>
          <w:highlight w:val="green"/>
        </w:rPr>
        <w:t xml:space="preserve"> the response to cumulative thermal load by using a </w:t>
      </w:r>
      <w:commentRangeStart w:id="0"/>
      <w:commentRangeStart w:id="1"/>
      <w:r w:rsidRPr="00755C82">
        <w:rPr>
          <w:highlight w:val="green"/>
        </w:rPr>
        <w:t>long-term temperature predictor</w:t>
      </w:r>
      <w:r>
        <w:rPr>
          <w:highlight w:val="green"/>
        </w:rPr>
        <w:t xml:space="preserve"> </w:t>
      </w:r>
      <w:commentRangeEnd w:id="0"/>
      <w:r w:rsidR="00A6106C">
        <w:rPr>
          <w:rStyle w:val="CommentReference"/>
        </w:rPr>
        <w:commentReference w:id="0"/>
      </w:r>
      <w:commentRangeEnd w:id="1"/>
      <w:r w:rsidR="00EB4B80">
        <w:rPr>
          <w:rStyle w:val="CommentReference"/>
        </w:rPr>
        <w:commentReference w:id="1"/>
      </w:r>
      <w:r>
        <w:rPr>
          <w:highlight w:val="green"/>
        </w:rPr>
        <w:t>(</w:t>
      </w:r>
      <w:r w:rsidRPr="00755C82">
        <w:rPr>
          <w:highlight w:val="green"/>
        </w:rPr>
        <w:t>a two-week average of ambient temperature preceding sample collection</w:t>
      </w:r>
      <w:r>
        <w:rPr>
          <w:highlight w:val="green"/>
        </w:rPr>
        <w:t>)</w:t>
      </w:r>
      <w:r w:rsidRPr="00755C82">
        <w:rPr>
          <w:highlight w:val="green"/>
        </w:rPr>
        <w:t xml:space="preserve">, rather than </w:t>
      </w:r>
      <w:r>
        <w:rPr>
          <w:highlight w:val="green"/>
        </w:rPr>
        <w:t xml:space="preserve">attempting to measure </w:t>
      </w:r>
      <w:r w:rsidRPr="00755C82">
        <w:rPr>
          <w:highlight w:val="green"/>
        </w:rPr>
        <w:t xml:space="preserve">short-term </w:t>
      </w:r>
      <w:r>
        <w:rPr>
          <w:highlight w:val="green"/>
        </w:rPr>
        <w:t>responses</w:t>
      </w:r>
      <w:r w:rsidRPr="00755C82">
        <w:rPr>
          <w:highlight w:val="green"/>
        </w:rPr>
        <w:t xml:space="preserve"> that </w:t>
      </w:r>
      <w:r>
        <w:rPr>
          <w:highlight w:val="green"/>
        </w:rPr>
        <w:t>are</w:t>
      </w:r>
      <w:r w:rsidRPr="00755C82">
        <w:rPr>
          <w:highlight w:val="green"/>
        </w:rPr>
        <w:t xml:space="preserve"> difficult to isolate in wild population</w:t>
      </w:r>
      <w:r>
        <w:rPr>
          <w:highlight w:val="green"/>
        </w:rPr>
        <w:t>s</w:t>
      </w:r>
      <w:r w:rsidRPr="00755C82">
        <w:rPr>
          <w:highlight w:val="green"/>
        </w:rPr>
        <w:t>. Importantly, this predictor is also associated with thermal responses in immune performance in this population, supporting its relevance for studying the consequences of high temperatures on physiology</w:t>
      </w:r>
      <w:r>
        <w:rPr>
          <w:highlight w:val="green"/>
        </w:rPr>
        <w:t xml:space="preserve"> </w:t>
      </w:r>
      <w:r w:rsidRPr="00DD674D">
        <w:rPr>
          <w:highlight w:val="green"/>
        </w:rPr>
        <w:fldChar w:fldCharType="begin"/>
      </w:r>
      <w:r w:rsidRPr="00DD674D">
        <w:rPr>
          <w:highlight w:val="green"/>
        </w:rPr>
        <w:instrText xml:space="preserve"> ADDIN ZOTERO_ITEM CSL_CITATION {"citationID":"FkMkFmsj","properties":{"formattedCitation":"({\\i{}8})","plainCitation":"(8)","noteIndex":0},"citationItems":[{"id":1689,"uris":["http://zotero.org/users/13901503/items/2TJCS3UQ"],"itemData":{"id":1689,"type":"article-journal","abstract":"Rising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DD674D">
        <w:rPr>
          <w:highlight w:val="green"/>
        </w:rPr>
        <w:fldChar w:fldCharType="separate"/>
      </w:r>
      <w:r w:rsidRPr="00DD674D">
        <w:rPr>
          <w:rFonts w:eastAsiaTheme="minorHAnsi"/>
          <w:highlight w:val="green"/>
          <w14:ligatures w14:val="standardContextual"/>
        </w:rPr>
        <w:t>(</w:t>
      </w:r>
      <w:r w:rsidRPr="00DD674D">
        <w:rPr>
          <w:rFonts w:eastAsiaTheme="minorHAnsi"/>
          <w:i/>
          <w:iCs/>
          <w:highlight w:val="green"/>
          <w14:ligatures w14:val="standardContextual"/>
        </w:rPr>
        <w:t>8</w:t>
      </w:r>
      <w:r w:rsidRPr="00DD674D">
        <w:rPr>
          <w:rFonts w:eastAsiaTheme="minorHAnsi"/>
          <w:highlight w:val="green"/>
          <w14:ligatures w14:val="standardContextual"/>
        </w:rPr>
        <w:t>)</w:t>
      </w:r>
      <w:r w:rsidRPr="00DD674D">
        <w:rPr>
          <w:highlight w:val="green"/>
        </w:rPr>
        <w:fldChar w:fldCharType="end"/>
      </w:r>
      <w:r w:rsidRPr="00DD674D">
        <w:rPr>
          <w:highlight w:val="green"/>
        </w:rPr>
        <w:t>.</w:t>
      </w:r>
      <w:r>
        <w:t xml:space="preserve"> 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instrText xml:space="preserve"> ADDIN ZOTERO_ITEM CSL_CITATION {"citationID":"UNmWgoQb","properties":{"formattedCitation":"({\\i{}50})","plainCitation":"(50)","noteIndex":0},"citationItems":[{"id":513,"uris":["http://zotero.org/users/13901503/items/BEFXLUSL"],"itemData":{"id":513,"type":"article-journal","abstract":"Increased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50</w:t>
      </w:r>
      <w:r w:rsidRPr="0058135D">
        <w:rPr>
          <w:rFonts w:eastAsiaTheme="minorHAnsi"/>
          <w14:ligatures w14:val="standardContextual"/>
        </w:rPr>
        <w:t>)</w:t>
      </w:r>
      <w:r>
        <w:fldChar w:fldCharType="end"/>
      </w:r>
      <w:r>
        <w:t xml:space="preserve">. Macrophages play a central role in host containment of the gut microbiome </w:t>
      </w:r>
      <w:r>
        <w:fldChar w:fldCharType="begin"/>
      </w:r>
      <w:r>
        <w:instrText xml:space="preserve"> ADDIN ZOTERO_ITEM CSL_CITATION {"citationID":"EavUBInj","properties":{"formattedCitation":"({\\i{}51})","plainCitation":"(51)","noteIndex":0},"citationItems":[{"id":2059,"uris":["http://zotero.org/users/13901503/items/JE3VXSP3"],"itemData":{"id":2059,"type":"article-journal","abstract":"Mucosal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51</w:t>
      </w:r>
      <w:r w:rsidRPr="0058135D">
        <w:rPr>
          <w:rFonts w:eastAsiaTheme="minorHAnsi"/>
          <w14:ligatures w14:val="standardContextual"/>
        </w:rPr>
        <w:t>)</w:t>
      </w:r>
      <w:r>
        <w:fldChar w:fldCharType="end"/>
      </w:r>
      <w:r>
        <w:t xml:space="preserve">, and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{"citationID":"YxsMzISt","properties":{"formattedCitation":"({\\i{}40}, {\\i{}52})","plainCitation":"(40, 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40</w:t>
      </w:r>
      <w:r w:rsidRPr="0058135D">
        <w:rPr>
          <w:rFonts w:eastAsiaTheme="minorHAnsi"/>
          <w14:ligatures w14:val="standardContextual"/>
        </w:rPr>
        <w:t xml:space="preserve">, </w:t>
      </w:r>
      <w:r w:rsidRPr="0058135D">
        <w:rPr>
          <w:rFonts w:eastAsiaTheme="minorHAnsi"/>
          <w:i/>
          <w:iCs/>
          <w14:ligatures w14:val="standardContextual"/>
        </w:rPr>
        <w:t>52</w:t>
      </w:r>
      <w:r w:rsidRPr="0058135D">
        <w:rPr>
          <w:rFonts w:eastAsiaTheme="minorHAnsi"/>
          <w14:ligatures w14:val="standardContextual"/>
        </w:rPr>
        <w:t>)</w:t>
      </w:r>
      <w:r>
        <w:fldChar w:fldCharType="end"/>
      </w:r>
      <w:r>
        <w:t>. Therefore, neopterin is a valuable tool for examining microbiome-immune homeostasis.</w:t>
      </w:r>
    </w:p>
    <w:p w14:paraId="2175BA42" w14:textId="3A408FB1" w:rsidR="009304A2" w:rsidRDefault="005B0F26" w:rsidP="005B0F26">
      <w:pPr>
        <w:ind w:firstLine="720"/>
      </w:pPr>
      <w:r>
        <w:t xml:space="preserve">We analyzed 11 months of paired fecal and urine samples from 36 individually identified white-faced capuchin monkeys living in tropical dry forest fragments in northwestern Costa Rica at the Taboga Forest Reserve. </w:t>
      </w:r>
      <w:commentRangeStart w:id="2"/>
      <w:r w:rsidRPr="00A26783">
        <w:rPr>
          <w:highlight w:val="green"/>
        </w:rPr>
        <w:t>Tropical dry forests are highly seasonal and defined by marked changes in ecology between the dry and wet seasons</w:t>
      </w:r>
      <w:r>
        <w:rPr>
          <w:highlight w:val="green"/>
        </w:rPr>
        <w:t xml:space="preserve"> </w:t>
      </w:r>
      <w:r w:rsidRPr="00A26783">
        <w:rPr>
          <w:highlight w:val="green"/>
        </w:rPr>
        <w:fldChar w:fldCharType="begin"/>
      </w:r>
      <w:r w:rsidR="00DF25ED">
        <w:rPr>
          <w:highlight w:val="green"/>
        </w:rPr>
        <w:instrText xml:space="preserve"> ADDIN ZOTERO_ITEM CSL_CITATION {"citationID":"yj0x0aG1","properties":{"formattedCitation":"({\\i{}53})","plainCitation":"(53)","noteIndex":0},"citationItems":[{"id":543,"uris":["http://zotero.org/users/13901503/items/QHXU8E8Q"],"itemData":{"id":543,"type":"article-journal","abstract":"This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Pr="00A26783">
        <w:rPr>
          <w:highlight w:val="green"/>
        </w:rPr>
        <w:fldChar w:fldCharType="separate"/>
      </w:r>
      <w:r w:rsidR="00DF25ED" w:rsidRPr="00DF25ED">
        <w:rPr>
          <w:rFonts w:eastAsiaTheme="minorHAnsi"/>
          <w14:ligatures w14:val="standardContextual"/>
        </w:rPr>
        <w:t>(</w:t>
      </w:r>
      <w:r w:rsidR="00DF25ED" w:rsidRPr="00DF25ED">
        <w:rPr>
          <w:rFonts w:eastAsiaTheme="minorHAnsi"/>
          <w:i/>
          <w:iCs/>
          <w14:ligatures w14:val="standardContextual"/>
        </w:rPr>
        <w:t>53</w:t>
      </w:r>
      <w:r w:rsidR="00DF25ED" w:rsidRPr="00DF25ED">
        <w:rPr>
          <w:rFonts w:eastAsiaTheme="minorHAnsi"/>
          <w14:ligatures w14:val="standardContextual"/>
        </w:rPr>
        <w:t>)</w:t>
      </w:r>
      <w:r w:rsidRPr="00A26783">
        <w:rPr>
          <w:highlight w:val="green"/>
        </w:rPr>
        <w:fldChar w:fldCharType="end"/>
      </w:r>
      <w:r w:rsidRPr="00A26783">
        <w:rPr>
          <w:highlight w:val="green"/>
        </w:rPr>
        <w:t xml:space="preserve">. During the dry season, lack of rainfall leads to food and water scarcity that has physiological consequences for capuchins </w:t>
      </w:r>
      <w:r w:rsidRPr="00A26783">
        <w:rPr>
          <w:highlight w:val="green"/>
        </w:rPr>
        <w:fldChar w:fldCharType="begin"/>
      </w:r>
      <w:r w:rsidR="00DF25ED">
        <w:rPr>
          <w:highlight w:val="green"/>
        </w:rPr>
        <w:instrText xml:space="preserve"> ADDIN ZOTERO_ITEM CSL_CITATION {"citationID":"tlBoOqeE","properties":{"formattedCitation":"({\\i{}54})","plainCitation":"(54)","noteIndex":0},"citationItems":[{"id":564,"uris":["http://zotero.org/users/13901503/items/C7T2JIHZ"],"itemData":{"id":564,"type":"article-journal","abstract":"Objectives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A26783">
        <w:rPr>
          <w:highlight w:val="green"/>
        </w:rPr>
        <w:fldChar w:fldCharType="separate"/>
      </w:r>
      <w:r w:rsidR="00DF25ED" w:rsidRPr="00DF25ED">
        <w:rPr>
          <w:rFonts w:eastAsiaTheme="minorHAnsi"/>
          <w14:ligatures w14:val="standardContextual"/>
        </w:rPr>
        <w:t>(</w:t>
      </w:r>
      <w:r w:rsidR="00DF25ED" w:rsidRPr="00DF25ED">
        <w:rPr>
          <w:rFonts w:eastAsiaTheme="minorHAnsi"/>
          <w:i/>
          <w:iCs/>
          <w14:ligatures w14:val="standardContextual"/>
        </w:rPr>
        <w:t>54</w:t>
      </w:r>
      <w:r w:rsidR="00DF25ED" w:rsidRPr="00DF25ED">
        <w:rPr>
          <w:rFonts w:eastAsiaTheme="minorHAnsi"/>
          <w14:ligatures w14:val="standardContextual"/>
        </w:rPr>
        <w:t>)</w:t>
      </w:r>
      <w:r w:rsidRPr="00A26783">
        <w:rPr>
          <w:highlight w:val="green"/>
        </w:rPr>
        <w:fldChar w:fldCharType="end"/>
      </w:r>
      <w:r w:rsidRPr="00A26783">
        <w:rPr>
          <w:highlight w:val="green"/>
        </w:rPr>
        <w:t xml:space="preserve"> and can influence gut microbiome composition </w:t>
      </w:r>
      <w:r w:rsidRPr="00A26783">
        <w:rPr>
          <w:highlight w:val="green"/>
        </w:rPr>
        <w:fldChar w:fldCharType="begin"/>
      </w:r>
      <w:r w:rsidR="00DF25ED">
        <w:rPr>
          <w:highlight w:val="green"/>
        </w:rPr>
        <w:instrText xml:space="preserve"> ADDIN ZOTERO_ITEM CSL_CITATION {"citationID":"NViIKosI","properties":{"formattedCitation":"({\\i{}55})","plainCitation":"(55)","noteIndex":0},"citationItems":[{"id":700,"uris":["http://zotero.org/users/13901503/items/HCYVY6PR"],"itemData":{"id":700,"type":"article-journal","abstract":"Research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A26783">
        <w:rPr>
          <w:highlight w:val="green"/>
        </w:rPr>
        <w:fldChar w:fldCharType="separate"/>
      </w:r>
      <w:r w:rsidR="00DF25ED" w:rsidRPr="00DF25ED">
        <w:rPr>
          <w:rFonts w:eastAsiaTheme="minorHAnsi"/>
          <w14:ligatures w14:val="standardContextual"/>
        </w:rPr>
        <w:t>(</w:t>
      </w:r>
      <w:r w:rsidR="00DF25ED" w:rsidRPr="00DF25ED">
        <w:rPr>
          <w:rFonts w:eastAsiaTheme="minorHAnsi"/>
          <w:i/>
          <w:iCs/>
          <w14:ligatures w14:val="standardContextual"/>
        </w:rPr>
        <w:t>55</w:t>
      </w:r>
      <w:r w:rsidR="00DF25ED" w:rsidRPr="00DF25ED">
        <w:rPr>
          <w:rFonts w:eastAsiaTheme="minorHAnsi"/>
          <w14:ligatures w14:val="standardContextual"/>
        </w:rPr>
        <w:t>)</w:t>
      </w:r>
      <w:r w:rsidRPr="00A26783">
        <w:rPr>
          <w:highlight w:val="green"/>
        </w:rPr>
        <w:fldChar w:fldCharType="end"/>
      </w:r>
      <w:r w:rsidRPr="00A26783">
        <w:rPr>
          <w:highlight w:val="green"/>
        </w:rPr>
        <w:t xml:space="preserve">. Because the dry season is also characterized by high temperatures, this can make it difficult to disentangle the effects of heat from those of resource scarcity. However, our study population differs from most others in that we find no evidence of seasonal differences in physiological stress responses </w:t>
      </w:r>
      <w:r w:rsidRPr="00BC1EDA">
        <w:rPr>
          <w:highlight w:val="green"/>
        </w:rPr>
        <w:fldChar w:fldCharType="begin"/>
      </w:r>
      <w:r w:rsidR="00DF25ED" w:rsidRPr="00BC1EDA">
        <w:rPr>
          <w:highlight w:val="green"/>
        </w:rPr>
        <w:instrText xml:space="preserve"> ADDIN ZOTERO_ITEM CSL_CITATION {"citationID":"LVuLquir","properties":{"formattedCitation":"({\\i{}56})","plainCitation":"(56)","noteIndex":0},"citationItems":[{"id":1716,"uris":["http://zotero.org/users/13901503/items/KXGKM98Y"],"itemData":{"id":1716,"type":"article-journal","abstract":"Hormone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BC1EDA">
        <w:rPr>
          <w:highlight w:val="green"/>
        </w:rPr>
        <w:fldChar w:fldCharType="separate"/>
      </w:r>
      <w:r w:rsidR="00DF25ED" w:rsidRPr="00BC1EDA">
        <w:rPr>
          <w:rFonts w:eastAsiaTheme="minorHAnsi"/>
          <w:highlight w:val="green"/>
          <w14:ligatures w14:val="standardContextual"/>
        </w:rPr>
        <w:t>(</w:t>
      </w:r>
      <w:r w:rsidR="00DF25ED" w:rsidRPr="00BC1EDA">
        <w:rPr>
          <w:rFonts w:eastAsiaTheme="minorHAnsi"/>
          <w:i/>
          <w:iCs/>
          <w:highlight w:val="green"/>
          <w14:ligatures w14:val="standardContextual"/>
        </w:rPr>
        <w:t>56</w:t>
      </w:r>
      <w:r w:rsidR="00DF25ED" w:rsidRPr="00BC1EDA">
        <w:rPr>
          <w:rFonts w:eastAsiaTheme="minorHAnsi"/>
          <w:highlight w:val="green"/>
          <w14:ligatures w14:val="standardContextual"/>
        </w:rPr>
        <w:t>)</w:t>
      </w:r>
      <w:r w:rsidRPr="00BC1EDA">
        <w:rPr>
          <w:highlight w:val="green"/>
        </w:rPr>
        <w:fldChar w:fldCharType="end"/>
      </w:r>
      <w:r w:rsidRPr="00BC1EDA">
        <w:rPr>
          <w:highlight w:val="green"/>
        </w:rPr>
        <w:t xml:space="preserve"> </w:t>
      </w:r>
      <w:r w:rsidRPr="00A26783">
        <w:rPr>
          <w:highlight w:val="green"/>
        </w:rPr>
        <w:t xml:space="preserve">or immunity </w:t>
      </w:r>
      <w:r w:rsidRPr="00A26783">
        <w:rPr>
          <w:highlight w:val="green"/>
        </w:rPr>
        <w:fldChar w:fldCharType="begin"/>
      </w:r>
      <w:r w:rsidRPr="00A26783">
        <w:rPr>
          <w:highlight w:val="green"/>
        </w:rPr>
        <w:instrText xml:space="preserve"> ADDIN ZOTERO_ITEM CSL_CITATION {"citationID":"PruLugK3","properties":{"formattedCitation":"({\\i{}8})","plainCitation":"(8)","noteIndex":0},"citationItems":[{"id":1689,"uris":["http://zotero.org/users/13901503/items/2TJCS3UQ"],"itemData":{"id":1689,"type":"article-journal","abstract":"Rising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A26783">
        <w:rPr>
          <w:highlight w:val="green"/>
        </w:rPr>
        <w:fldChar w:fldCharType="separate"/>
      </w:r>
      <w:r w:rsidRPr="00A26783">
        <w:rPr>
          <w:rFonts w:eastAsiaTheme="minorHAnsi"/>
          <w:highlight w:val="green"/>
          <w14:ligatures w14:val="standardContextual"/>
        </w:rPr>
        <w:t>(</w:t>
      </w:r>
      <w:r w:rsidRPr="00A26783">
        <w:rPr>
          <w:rFonts w:eastAsiaTheme="minorHAnsi"/>
          <w:i/>
          <w:iCs/>
          <w:highlight w:val="green"/>
          <w14:ligatures w14:val="standardContextual"/>
        </w:rPr>
        <w:t>8</w:t>
      </w:r>
      <w:r w:rsidRPr="00A26783">
        <w:rPr>
          <w:rFonts w:eastAsiaTheme="minorHAnsi"/>
          <w:highlight w:val="green"/>
          <w14:ligatures w14:val="standardContextual"/>
        </w:rPr>
        <w:t>)</w:t>
      </w:r>
      <w:r w:rsidRPr="00A26783">
        <w:rPr>
          <w:highlight w:val="green"/>
        </w:rPr>
        <w:fldChar w:fldCharType="end"/>
      </w:r>
      <w:r w:rsidRPr="00A26783">
        <w:rPr>
          <w:highlight w:val="green"/>
        </w:rPr>
        <w:t>, suggesting that these monkeys are not exposed to the same seasonal stressors. This is likely because our study site is highly disturbed and bordered by secondary forest and agriculture, where capuchins can exploit anthropogenic food and water sources even during the dry season</w:t>
      </w:r>
      <w:r w:rsidR="00DD674D">
        <w:rPr>
          <w:highlight w:val="green"/>
        </w:rPr>
        <w:fldChar w:fldCharType="begin"/>
      </w:r>
      <w:r w:rsidR="00DD674D">
        <w:rPr>
          <w:highlight w:val="green"/>
        </w:rPr>
        <w:instrText xml:space="preserve"> ADDIN ZOTERO_ITEM CSL_CITATION {"citationID":"bsnDokkS","properties":{"formattedCitation":"({\\i{}57})","plainCitation":"(57)","noteIndex":0},"citationItems":[{"id":559,"uris":["http://zotero.org/users/13901503/items/Z3E2X5D7"],"itemData":{"id":559,"type":"article-journal","abstract":"Across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DD674D">
        <w:rPr>
          <w:highlight w:val="green"/>
        </w:rPr>
        <w:fldChar w:fldCharType="separate"/>
      </w:r>
      <w:r w:rsidR="00DD674D" w:rsidRPr="00DD674D">
        <w:rPr>
          <w:rFonts w:eastAsiaTheme="minorHAnsi"/>
          <w14:ligatures w14:val="standardContextual"/>
        </w:rPr>
        <w:t>(</w:t>
      </w:r>
      <w:r w:rsidR="00DD674D" w:rsidRPr="00DD674D">
        <w:rPr>
          <w:rFonts w:eastAsiaTheme="minorHAnsi"/>
          <w:i/>
          <w:iCs/>
          <w14:ligatures w14:val="standardContextual"/>
        </w:rPr>
        <w:t>57</w:t>
      </w:r>
      <w:r w:rsidR="00DD674D" w:rsidRPr="00DD674D">
        <w:rPr>
          <w:rFonts w:eastAsiaTheme="minorHAnsi"/>
          <w14:ligatures w14:val="standardContextual"/>
        </w:rPr>
        <w:t>)</w:t>
      </w:r>
      <w:r w:rsidR="00DD674D">
        <w:rPr>
          <w:highlight w:val="green"/>
        </w:rPr>
        <w:fldChar w:fldCharType="end"/>
      </w:r>
      <w:r w:rsidRPr="00A26783">
        <w:rPr>
          <w:highlight w:val="green"/>
        </w:rPr>
        <w:t xml:space="preserve">. Consequently, </w:t>
      </w:r>
      <w:r w:rsidR="00BC1EDA">
        <w:rPr>
          <w:highlight w:val="green"/>
        </w:rPr>
        <w:t xml:space="preserve">studying </w:t>
      </w:r>
      <w:r w:rsidRPr="00A26783">
        <w:rPr>
          <w:highlight w:val="green"/>
        </w:rPr>
        <w:t>this population provides a rare opportunity to isolate temperature-driven changes in the microbiome from those driven by broader changes in seasonal ecology</w:t>
      </w:r>
      <w:r>
        <w:t xml:space="preserve">. </w:t>
      </w:r>
      <w:commentRangeEnd w:id="2"/>
      <w:r w:rsidR="00A6106C">
        <w:rPr>
          <w:rStyle w:val="CommentReference"/>
        </w:rPr>
        <w:commentReference w:id="2"/>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species and demonstrate how temperature is related to microbiome-immune interactions.</w:t>
      </w:r>
    </w:p>
    <w:p w14:paraId="1AA7A656" w14:textId="44483713" w:rsidR="005B0F26" w:rsidRDefault="005B0F26" w:rsidP="005B0F26">
      <w:pPr>
        <w:ind w:firstLine="720"/>
      </w:pPr>
      <w:r>
        <w:t xml:space="preserve"> </w:t>
      </w:r>
    </w:p>
    <w:p w14:paraId="5720C6B2" w14:textId="0440C813" w:rsidR="008631EB" w:rsidRDefault="009304A2">
      <w:r>
        <w:t xml:space="preserve">Methods: </w:t>
      </w:r>
    </w:p>
    <w:p w14:paraId="2127964D" w14:textId="77777777" w:rsidR="009304A2" w:rsidRDefault="009304A2" w:rsidP="009304A2">
      <w:pPr>
        <w:rPr>
          <w:u w:val="single"/>
        </w:rPr>
      </w:pPr>
      <w:r w:rsidRPr="00DE0C60">
        <w:rPr>
          <w:u w:val="single"/>
        </w:rPr>
        <w:t>Site information and data collection</w:t>
      </w:r>
    </w:p>
    <w:p w14:paraId="06BDBA54" w14:textId="3F3B491F" w:rsidR="009304A2" w:rsidRDefault="009304A2" w:rsidP="009304A2">
      <w:r>
        <w:t xml:space="preserve">We collected data from a wild population of </w:t>
      </w:r>
      <w:r w:rsidRPr="00487A6E">
        <w:rPr>
          <w:i/>
          <w:iCs/>
        </w:rPr>
        <w:t>C. imitator</w:t>
      </w:r>
      <w:r>
        <w:t xml:space="preserve"> living in the Taboga Forest reserve in </w:t>
      </w:r>
      <w:r w:rsidRPr="00EB2753">
        <w:t>Guanacaste</w:t>
      </w:r>
      <w:r>
        <w:t xml:space="preserve">, </w:t>
      </w:r>
      <w:r w:rsidRPr="00EB2753">
        <w:t>Northwestern Costa Rica</w:t>
      </w:r>
      <w:r>
        <w:t xml:space="preserve">. </w:t>
      </w:r>
      <w:r w:rsidRPr="00EB2753">
        <w:t>The Taboga Forest Reserve is a 516-ha tropical dry forest</w:t>
      </w:r>
      <w:r>
        <w:t xml:space="preserve"> fragment and forms an </w:t>
      </w:r>
      <w:r w:rsidRPr="00EB2753">
        <w:t>important piece of a fragmented biological corridor connecting the Tempisque River Basin to the Guanacaste Mountains</w:t>
      </w:r>
      <w:r>
        <w:t xml:space="preserve"> </w:t>
      </w:r>
      <w:r>
        <w:fldChar w:fldCharType="begin"/>
      </w:r>
      <w:r w:rsidR="00DA5AE8">
        <w:instrText xml:space="preserve"> ADDIN ZOTERO_ITEM CSL_CITATION {"citationID":"LCB9ZKPz","properties":{"formattedCitation":"({\\i{}57})","plainCitation":"(57)","noteIndex":0},"citationItems":[{"id":559,"uris":["http://zotero.org/users/13901503/items/Z3E2X5D7"],"itemData":{"id":559,"type":"article-journal","abstract":"Across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57</w:t>
      </w:r>
      <w:r w:rsidR="00DA5AE8" w:rsidRPr="00DA5AE8">
        <w:rPr>
          <w:rFonts w:eastAsiaTheme="minorHAnsi"/>
          <w14:ligatures w14:val="standardContextual"/>
        </w:rPr>
        <w:t>)</w:t>
      </w:r>
      <w:r>
        <w:fldChar w:fldCharType="end"/>
      </w:r>
      <w:r>
        <w:t xml:space="preserve">. The Capuchinos de Taboga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 xml:space="preserve">A team of two or more trained field assistants collected data between 5:00 AM and </w:t>
      </w:r>
      <w:r>
        <w:lastRenderedPageBreak/>
        <w:t>6:30 PM</w:t>
      </w:r>
      <w:r w:rsidR="00DE0C60">
        <w:t>,</w:t>
      </w:r>
      <w:r>
        <w:t xml:space="preserve">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7A1DE64" w14:textId="36E72B98" w:rsidR="009304A2" w:rsidRPr="00AB188E" w:rsidRDefault="009304A2" w:rsidP="009304A2">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DA5AE8">
        <w:instrText xml:space="preserve"> ADDIN ZOTERO_ITEM CSL_CITATION {"citationID":"WcH6RPHL","properties":{"formattedCitation":"({\\i{}58})","plainCitation":"(58)","noteIndex":0},"citationItems":[{"id":13,"uris":["http://zotero.org/users/13901503/items/PSP5FMHG"],"itemData":{"id":13,"type":"article-journal","abstract":"The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58</w:t>
      </w:r>
      <w:r w:rsidR="00DA5AE8" w:rsidRPr="00DA5AE8">
        <w:rPr>
          <w:rFonts w:eastAsiaTheme="minorHAnsi"/>
          <w14:ligatures w14:val="standardContextual"/>
        </w:rPr>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DA5AE8">
        <w:rPr>
          <w:bCs/>
        </w:rPr>
        <w:instrText xml:space="preserve"> ADDIN ZOTERO_ITEM CSL_CITATION {"citationID":"AqOs0Bp6","properties":{"formattedCitation":"({\\i{}59})","plainCitation":"(59)","noteIndex":0},"citationItems":[{"id":1721,"uris":["http://zotero.org/users/13901503/items/EFIJNSWE"],"itemData":{"id":1721,"type":"article-journal","abstract":"Metagenomic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59</w:t>
      </w:r>
      <w:r w:rsidR="00DA5AE8" w:rsidRPr="00DA5AE8">
        <w:rPr>
          <w:rFonts w:eastAsiaTheme="minorHAnsi"/>
          <w14:ligatures w14:val="standardContextual"/>
        </w:rPr>
        <w:t>)</w:t>
      </w:r>
      <w:r>
        <w:rPr>
          <w:bCs/>
        </w:rPr>
        <w:fldChar w:fldCharType="end"/>
      </w:r>
      <w:r>
        <w:rPr>
          <w:bCs/>
        </w:rPr>
        <w:t xml:space="preserve">. </w:t>
      </w:r>
      <w:r>
        <w:t xml:space="preserve">We collected urine samples using a clean catch method </w:t>
      </w:r>
      <w:r>
        <w:rPr>
          <w:bCs/>
        </w:rPr>
        <w:fldChar w:fldCharType="begin"/>
      </w:r>
      <w:r w:rsidR="00DA5AE8">
        <w:rPr>
          <w:bCs/>
        </w:rPr>
        <w:instrText xml:space="preserve"> ADDIN ZOTERO_ITEM CSL_CITATION {"citationID":"OT0mvtJ3","properties":{"formattedCitation":"({\\i{}54})","plainCitation":"(54)","noteIndex":0},"citationItems":[{"id":564,"uris":["http://zotero.org/users/13901503/items/C7T2JIHZ"],"itemData":{"id":564,"type":"article-journal","abstract":"Objectives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54</w:t>
      </w:r>
      <w:r w:rsidR="00DA5AE8" w:rsidRPr="00DA5AE8">
        <w:rPr>
          <w:rFonts w:eastAsiaTheme="minorHAnsi"/>
          <w14:ligatures w14:val="standardContextual"/>
        </w:rPr>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Taboga field laboratory </w:t>
      </w:r>
      <w:r>
        <w:rPr>
          <w:bCs/>
        </w:rPr>
        <w:fldChar w:fldCharType="begin"/>
      </w:r>
      <w:r w:rsidR="00DA5AE8">
        <w:rPr>
          <w:bCs/>
        </w:rPr>
        <w:instrText xml:space="preserve"> ADDIN ZOTERO_ITEM CSL_CITATION {"citationID":"9aAKfPlg","properties":{"formattedCitation":"({\\i{}56})","plainCitation":"(56)","noteIndex":0},"citationItems":[{"id":1716,"uris":["http://zotero.org/users/13901503/items/KXGKM98Y"],"itemData":{"id":1716,"type":"article-journal","abstract":"Hormone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56</w:t>
      </w:r>
      <w:r w:rsidR="00DA5AE8" w:rsidRPr="00DA5AE8">
        <w:rPr>
          <w:rFonts w:eastAsiaTheme="minorHAnsi"/>
          <w14:ligatures w14:val="standardContextual"/>
        </w:rPr>
        <w:t>)</w:t>
      </w:r>
      <w:r>
        <w:rPr>
          <w:bCs/>
        </w:rPr>
        <w:fldChar w:fldCharType="end"/>
      </w:r>
      <w:r>
        <w:rPr>
          <w:bCs/>
        </w:rPr>
        <w:t xml:space="preserve">. </w:t>
      </w:r>
    </w:p>
    <w:p w14:paraId="57DD6CCE" w14:textId="54DC25BF" w:rsidR="009304A2" w:rsidRDefault="009304A2" w:rsidP="009304A2">
      <w:pPr>
        <w:ind w:firstLine="720"/>
      </w:pPr>
      <w:r>
        <w:t xml:space="preserve">Temperature observations for this analysis came from the </w:t>
      </w:r>
      <w:r w:rsidRPr="002D1193">
        <w:rPr>
          <w:rStyle w:val="Emphasis"/>
          <w:i w:val="0"/>
          <w:iCs w:val="0"/>
        </w:rPr>
        <w:t>Palo Verde</w:t>
      </w:r>
      <w:r>
        <w:t xml:space="preserve"> meteorological station, located at </w:t>
      </w:r>
      <w:r w:rsidRPr="00C16EA9">
        <w:t>the</w:t>
      </w:r>
      <w:r w:rsidRPr="00C16EA9">
        <w:rPr>
          <w:i/>
          <w:iCs/>
        </w:rPr>
        <w:t xml:space="preserve"> </w:t>
      </w:r>
      <w:r w:rsidRPr="002D1193">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r w:rsidRPr="00C16EA9">
        <w:rPr>
          <w:rStyle w:val="Emphasis"/>
        </w:rPr>
        <w:t>Taboga Forest Reserve</w:t>
      </w:r>
      <w:r>
        <w:t xml:space="preserve">. Like </w:t>
      </w:r>
      <w:r w:rsidRPr="002D1193">
        <w:rPr>
          <w:rStyle w:val="Emphasis"/>
          <w:i w:val="0"/>
          <w:iCs w:val="0"/>
        </w:rPr>
        <w:t>Taboga</w:t>
      </w:r>
      <w:r w:rsidRPr="002D1193">
        <w:rPr>
          <w:i/>
          <w:iCs/>
        </w:rPr>
        <w:t xml:space="preserve">, </w:t>
      </w:r>
      <w:r w:rsidRPr="002D1193">
        <w:rPr>
          <w:rStyle w:val="Emphasis"/>
          <w:i w:val="0"/>
          <w:iCs w:val="0"/>
        </w:rPr>
        <w:t>Palo Verde</w:t>
      </w:r>
      <w:r>
        <w:t xml:space="preserve"> is one of Central America’s last remaining tropical dry forest fragments </w:t>
      </w:r>
      <w:r>
        <w:fldChar w:fldCharType="begin"/>
      </w:r>
      <w:r w:rsidR="00DA5AE8">
        <w:instrText xml:space="preserve"> ADDIN ZOTERO_ITEM CSL_CITATION {"citationID":"hpeAEVbe","properties":{"formattedCitation":"({\\i{}60})","plainCitation":"(60)","noteIndex":0},"citationItems":[{"id":590,"uris":["http://zotero.org/users/13901503/items/V8828FH9"],"itemData":{"id":590,"type":"article-journal","container-title":"Revista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60</w:t>
      </w:r>
      <w:r w:rsidR="00DA5AE8" w:rsidRPr="00DA5AE8">
        <w:rPr>
          <w:rFonts w:eastAsiaTheme="minorHAnsi"/>
          <w14:ligatures w14:val="standardContextual"/>
        </w:rPr>
        <w:t>)</w:t>
      </w:r>
      <w:r>
        <w:fldChar w:fldCharType="end"/>
      </w:r>
      <w:r>
        <w:t>.</w:t>
      </w:r>
      <w:r w:rsidRPr="003929CF">
        <w:rPr>
          <w:rStyle w:val="Emphasis"/>
        </w:rPr>
        <w:t xml:space="preserve"> </w:t>
      </w:r>
      <w:r w:rsidRPr="002D1193">
        <w:rPr>
          <w:rStyle w:val="Emphasis"/>
          <w:i w:val="0"/>
          <w:iCs w:val="0"/>
        </w:rPr>
        <w:t>Palo Verde</w:t>
      </w:r>
      <w:r>
        <w:t xml:space="preserve"> temperature data have been used in previous studies of the </w:t>
      </w:r>
      <w:r w:rsidRPr="002D1193">
        <w:rPr>
          <w:rStyle w:val="Emphasis"/>
          <w:i w:val="0"/>
          <w:iCs w:val="0"/>
        </w:rPr>
        <w:t>Taboga</w:t>
      </w:r>
      <w:r w:rsidRPr="00714EDC">
        <w:rPr>
          <w:i/>
          <w:iCs/>
        </w:rPr>
        <w:t xml:space="preserve"> </w:t>
      </w:r>
      <w:r w:rsidRPr="000A6861">
        <w:t>white</w:t>
      </w:r>
      <w:r>
        <w:t xml:space="preserve">-faced capuchin population </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w:t>
      </w:r>
      <w:r w:rsidRPr="002D1193">
        <w:t>to Taboga.</w:t>
      </w:r>
      <w:r>
        <w:t xml:space="preserve"> The station records maximum and minimum air temperature every 15 minutes.</w:t>
      </w:r>
    </w:p>
    <w:p w14:paraId="4AEE0C52" w14:textId="77777777" w:rsidR="00C10871" w:rsidRDefault="00C10871" w:rsidP="005B0F26"/>
    <w:p w14:paraId="16D71BA0" w14:textId="77777777" w:rsidR="00C10871" w:rsidRDefault="00C10871" w:rsidP="00C10871">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554B90FB" w14:textId="77777777" w:rsidR="00C10871" w:rsidRDefault="00C10871" w:rsidP="00C10871">
      <w:pPr>
        <w:rPr>
          <w:i/>
          <w:iCs/>
        </w:rPr>
      </w:pPr>
      <w:r w:rsidRPr="00147548">
        <w:rPr>
          <w:i/>
          <w:iCs/>
        </w:rPr>
        <w:t>DNA extraction</w:t>
      </w:r>
    </w:p>
    <w:p w14:paraId="4F05CE71" w14:textId="63623A16" w:rsidR="00C10871" w:rsidRPr="00147548" w:rsidRDefault="00C10871" w:rsidP="00C10871">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DA5AE8">
        <w:instrText xml:space="preserve"> ADDIN ZOTERO_ITEM CSL_CITATION {"citationID":"GSwb9QQA","properties":{"formattedCitation":"({\\i{}61}\\uc0\\u8211{}{\\i{}63})","plainCitation":"(61–63)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DA5AE8">
        <w:rPr>
          <w:rFonts w:ascii="Cambria Math" w:hAnsi="Cambria Math" w:cs="Cambria Math"/>
        </w:rPr>
        <w:instrText>∼</w:instrText>
      </w:r>
      <w:r w:rsidR="00DA5AE8">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DA5AE8">
        <w:rPr>
          <w:rFonts w:ascii="Cambria Math" w:hAnsi="Cambria Math" w:cs="Cambria Math"/>
        </w:rPr>
        <w:instrText>∼</w:instrText>
      </w:r>
      <w:r w:rsidR="00DA5AE8">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61</w:t>
      </w:r>
      <w:r w:rsidR="00DA5AE8" w:rsidRPr="00DA5AE8">
        <w:rPr>
          <w:rFonts w:eastAsiaTheme="minorHAnsi"/>
          <w14:ligatures w14:val="standardContextual"/>
        </w:rPr>
        <w:t>–</w:t>
      </w:r>
      <w:r w:rsidR="00DA5AE8" w:rsidRPr="00DA5AE8">
        <w:rPr>
          <w:rFonts w:eastAsiaTheme="minorHAnsi"/>
          <w:i/>
          <w:iCs/>
          <w14:ligatures w14:val="standardContextual"/>
        </w:rPr>
        <w:t>63</w:t>
      </w:r>
      <w:r w:rsidR="00DA5AE8" w:rsidRPr="00DA5AE8">
        <w:rPr>
          <w:rFonts w:eastAsiaTheme="minorHAnsi"/>
          <w14:ligatures w14:val="standardContextual"/>
        </w:rPr>
        <w:t>)</w:t>
      </w:r>
      <w:r>
        <w:fldChar w:fldCharType="end"/>
      </w:r>
      <w:r>
        <w:t>.</w:t>
      </w:r>
    </w:p>
    <w:p w14:paraId="2CCD960D" w14:textId="77777777" w:rsidR="00C10871" w:rsidRPr="00FD15B2" w:rsidRDefault="00C10871" w:rsidP="00C10871"/>
    <w:p w14:paraId="660231C2" w14:textId="77777777" w:rsidR="00C10871" w:rsidRDefault="00C10871" w:rsidP="00C10871">
      <w:pPr>
        <w:rPr>
          <w:i/>
          <w:iCs/>
        </w:rPr>
      </w:pPr>
      <w:r w:rsidRPr="00147548">
        <w:rPr>
          <w:i/>
          <w:iCs/>
        </w:rPr>
        <w:t xml:space="preserve">16s rRNA amplicon </w:t>
      </w:r>
      <w:r>
        <w:rPr>
          <w:i/>
          <w:iCs/>
        </w:rPr>
        <w:t>sequencing and data processing</w:t>
      </w:r>
    </w:p>
    <w:p w14:paraId="7D3BD2CA" w14:textId="443A09EB" w:rsidR="00C10871" w:rsidRDefault="00C10871" w:rsidP="00C10871">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10" w:history="1">
        <w:r w:rsidRPr="00383820">
          <w:rPr>
            <w:rStyle w:val="Hyperlink"/>
          </w:rPr>
          <w:t>www.earthmicrobiome.org</w:t>
        </w:r>
      </w:hyperlink>
      <w:r w:rsidRPr="009C594A">
        <w:t>)</w:t>
      </w:r>
      <w:r>
        <w:t xml:space="preserve"> and a dual-indexing approach </w:t>
      </w:r>
      <w:r>
        <w:fldChar w:fldCharType="begin"/>
      </w:r>
      <w:r w:rsidR="00DA5AE8">
        <w:instrText xml:space="preserve"> ADDIN ZOTERO_ITEM CSL_CITATION {"citationID":"4wH3RWCZ","properties":{"formattedCitation":"({\\i{}64}, {\\i{}65})","plainCitation":"(64, 65)","noteIndex":0},"citationItems":[{"id":1652,"uris":["http://zotero.org/users/13901503/items/HTTZHT5K"],"itemData":{"id":1652,"type":"article-journal","abstract":"Sources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64</w:t>
      </w:r>
      <w:r w:rsidR="00DA5AE8" w:rsidRPr="00DA5AE8">
        <w:rPr>
          <w:rFonts w:eastAsiaTheme="minorHAnsi"/>
          <w14:ligatures w14:val="standardContextual"/>
        </w:rPr>
        <w:t xml:space="preserve">, </w:t>
      </w:r>
      <w:r w:rsidR="00DA5AE8" w:rsidRPr="00DA5AE8">
        <w:rPr>
          <w:rFonts w:eastAsiaTheme="minorHAnsi"/>
          <w:i/>
          <w:iCs/>
          <w14:ligatures w14:val="standardContextual"/>
        </w:rPr>
        <w:t>65</w:t>
      </w:r>
      <w:r w:rsidR="00DA5AE8" w:rsidRPr="00DA5AE8">
        <w:rPr>
          <w:rFonts w:eastAsiaTheme="minorHAnsi"/>
          <w14:ligatures w14:val="standardContextual"/>
        </w:rPr>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34564B04" w14:textId="14A9B0BC" w:rsidR="00C10871" w:rsidRDefault="00C10871" w:rsidP="00E90D4E">
      <w:pPr>
        <w:ind w:firstLine="720"/>
      </w:pPr>
      <w:r>
        <w:t xml:space="preserve">We analyzed the resulting data using the Quantitative Insights into Microbial Ecology (QIIME2) platform </w:t>
      </w:r>
      <w:r>
        <w:fldChar w:fldCharType="begin"/>
      </w:r>
      <w:r w:rsidR="00DA5AE8">
        <w:instrText xml:space="preserve"> ADDIN ZOTERO_ITEM CSL_CITATION {"citationID":"Bjv8Vjr7","properties":{"formattedCitation":"({\\i{}66})","plainCitation":"(66)","noteIndex":0},"citationItems":[{"id":1655,"uris":["http://zotero.org/users/13901503/items/GQC5IVSJ"],"itemData":{"id":1655,"type":"article-journal","container-title":"Nature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66</w:t>
      </w:r>
      <w:r w:rsidR="00DA5AE8" w:rsidRPr="00DA5AE8">
        <w:rPr>
          <w:rFonts w:eastAsiaTheme="minorHAnsi"/>
          <w14:ligatures w14:val="standardContextual"/>
        </w:rPr>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w:t>
      </w:r>
      <w:r>
        <w:lastRenderedPageBreak/>
        <w:t xml:space="preserve">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DA5AE8">
        <w:instrText xml:space="preserve"> ADDIN ZOTERO_ITEM CSL_CITATION {"citationID":"CHiMHSnG","properties":{"formattedCitation":"({\\i{}67})","plainCitation":"(67)","noteIndex":0},"citationItems":[{"id":1656,"uris":["http://zotero.org/users/13901503/items/5QIKX6JW"],"itemData":{"id":1656,"type":"article-journal","abstract":"DADA2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67</w:t>
      </w:r>
      <w:r w:rsidR="00DA5AE8" w:rsidRPr="00DA5AE8">
        <w:rPr>
          <w:rFonts w:eastAsiaTheme="minorHAnsi"/>
          <w14:ligatures w14:val="standardContextual"/>
        </w:rPr>
        <w:t>)</w:t>
      </w:r>
      <w:r>
        <w:fldChar w:fldCharType="end"/>
      </w:r>
      <w:r>
        <w:t xml:space="preserve"> via the q2-dada2 pipeline, which infers Amplicon Sequence Variants (ASVs) by identifying exact sequences. We assigned taxonomy to ASV’s using the q2-feature classifier </w:t>
      </w:r>
      <w:r>
        <w:fldChar w:fldCharType="begin"/>
      </w:r>
      <w:r w:rsidR="00DA5AE8">
        <w:instrText xml:space="preserve"> ADDIN ZOTERO_ITEM CSL_CITATION {"citationID":"Nz6FGjkT","properties":{"formattedCitation":"({\\i{}68})","plainCitation":"(68)","noteIndex":0},"citationItems":[{"id":1662,"uris":["http://zotero.org/users/13901503/items/U2MLAXCJ"],"itemData":{"id":1662,"type":"article-journal","abstract":"Taxonomic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68</w:t>
      </w:r>
      <w:r w:rsidR="00DA5AE8" w:rsidRPr="00DA5AE8">
        <w:rPr>
          <w:rFonts w:eastAsiaTheme="minorHAnsi"/>
          <w14:ligatures w14:val="standardContextual"/>
        </w:rPr>
        <w:t>)</w:t>
      </w:r>
      <w:r>
        <w:fldChar w:fldCharType="end"/>
      </w:r>
      <w:r>
        <w:t xml:space="preserve"> against version 2022.10 of the Greengenes2 database </w:t>
      </w:r>
      <w:r>
        <w:fldChar w:fldCharType="begin"/>
      </w:r>
      <w:r w:rsidR="00DA5AE8">
        <w:instrText xml:space="preserve"> ADDIN ZOTERO_ITEM CSL_CITATION {"citationID":"txLAM5mf","properties":{"formattedCitation":"({\\i{}69}, {\\i{}70})","plainCitation":"(69, 70)","noteIndex":0},"citationItems":[{"id":1658,"uris":["http://zotero.org/users/13901503/items/I2KJAM89"],"itemData":{"id":1658,"type":"article-journal","abstract":"Reference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69</w:t>
      </w:r>
      <w:r w:rsidR="00DA5AE8" w:rsidRPr="00DA5AE8">
        <w:rPr>
          <w:rFonts w:eastAsiaTheme="minorHAnsi"/>
          <w14:ligatures w14:val="standardContextual"/>
        </w:rPr>
        <w:t xml:space="preserve">, </w:t>
      </w:r>
      <w:r w:rsidR="00DA5AE8" w:rsidRPr="00DA5AE8">
        <w:rPr>
          <w:rFonts w:eastAsiaTheme="minorHAnsi"/>
          <w:i/>
          <w:iCs/>
          <w14:ligatures w14:val="standardContextual"/>
        </w:rPr>
        <w:t>70</w:t>
      </w:r>
      <w:r w:rsidR="00DA5AE8" w:rsidRPr="00DA5AE8">
        <w:rPr>
          <w:rFonts w:eastAsiaTheme="minorHAnsi"/>
          <w14:ligatures w14:val="standardContextual"/>
        </w:rPr>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 xml:space="preserve">We removed sequences assigned to chloroplasts and mitochondria using the q2-taxa-filter-table to retain only microbial sequences for downstream analysis. After filtering, we retained 797 samples, which contained an average of 16,898 reads (range: 4,944–38,941). We imported the ASV count and taxonomy files generated by QIIME2 into R </w:t>
      </w:r>
      <w:r w:rsidR="00E90D4E">
        <w:t xml:space="preserve">and removed ASV’s found in less than 0.5% of total samples to avoid analyzing low-frequency taxa that are artifacts of the sequencing process </w:t>
      </w:r>
      <w:r w:rsidR="00E90D4E">
        <w:fldChar w:fldCharType="begin"/>
      </w:r>
      <w:r w:rsidR="00DA5AE8">
        <w:instrText xml:space="preserve"> ADDIN ZOTERO_ITEM CSL_CITATION {"citationID":"L2wCm92o","properties":{"formattedCitation":"({\\i{}71})","plainCitation":"(71)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71</w:t>
      </w:r>
      <w:r w:rsidR="00DA5AE8" w:rsidRPr="00DA5AE8">
        <w:rPr>
          <w:rFonts w:eastAsiaTheme="minorHAnsi"/>
          <w14:ligatures w14:val="standardContextual"/>
        </w:rPr>
        <w:t>)</w:t>
      </w:r>
      <w:r w:rsidR="00E90D4E">
        <w:fldChar w:fldCharType="end"/>
      </w:r>
      <w:r w:rsidR="00E90D4E">
        <w:t>.</w:t>
      </w:r>
      <w:r>
        <w:t xml:space="preserve"> After filtering, we removed 102 additional ASV’s that were not assigned at the phylum level, resulting in </w:t>
      </w:r>
      <w:r w:rsidRPr="00830DDA">
        <w:t>1159</w:t>
      </w:r>
      <w:r>
        <w:t xml:space="preserve"> total remaining ASV’s. </w:t>
      </w:r>
    </w:p>
    <w:p w14:paraId="2DBA0DBD" w14:textId="77777777" w:rsidR="00C10871" w:rsidRDefault="00C10871" w:rsidP="005B0F26"/>
    <w:p w14:paraId="212C5AFA" w14:textId="77777777" w:rsidR="00C10871" w:rsidRDefault="00C10871" w:rsidP="00C10871">
      <w:pPr>
        <w:rPr>
          <w:i/>
          <w:iCs/>
        </w:rPr>
      </w:pPr>
      <w:r>
        <w:rPr>
          <w:i/>
          <w:iCs/>
        </w:rPr>
        <w:t>Shotgun metagenomic</w:t>
      </w:r>
      <w:r w:rsidRPr="00147548">
        <w:rPr>
          <w:i/>
          <w:iCs/>
        </w:rPr>
        <w:t xml:space="preserve"> </w:t>
      </w:r>
      <w:r>
        <w:rPr>
          <w:i/>
          <w:iCs/>
        </w:rPr>
        <w:t>sequencing and data processing</w:t>
      </w:r>
    </w:p>
    <w:p w14:paraId="3DAAFEB0" w14:textId="77777777" w:rsidR="00C10871" w:rsidRDefault="00C10871" w:rsidP="00C10871">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63F985EB" w14:textId="1A34D63C" w:rsidR="00C10871" w:rsidRDefault="00C10871" w:rsidP="00C10871">
      <w:r>
        <w:tab/>
        <w:t>We quality-filtered the raw metagenomic sequences</w:t>
      </w:r>
      <w:r w:rsidR="00E90D4E">
        <w:t xml:space="preserve"> with</w:t>
      </w:r>
      <w:r>
        <w:t xml:space="preserve"> </w:t>
      </w:r>
      <w:proofErr w:type="spellStart"/>
      <w:r>
        <w:t>KneadData</w:t>
      </w:r>
      <w:proofErr w:type="spellEnd"/>
      <w:r>
        <w:t xml:space="preserve"> (</w:t>
      </w:r>
      <w:r w:rsidRPr="003D15B6">
        <w:t>v0.12.0</w:t>
      </w:r>
      <w:r>
        <w:t>)</w:t>
      </w:r>
      <w:r w:rsidR="00E90D4E">
        <w:t xml:space="preserve"> using the standard parameters S</w:t>
      </w:r>
      <w:r w:rsidR="00E90D4E" w:rsidRPr="00975DCE">
        <w:t>LIDINGWINDOW:4:20</w:t>
      </w:r>
      <w:r w:rsidR="00E90D4E">
        <w:t xml:space="preserve"> and</w:t>
      </w:r>
      <w:r w:rsidR="00E90D4E" w:rsidRPr="00975DCE">
        <w:t xml:space="preserve"> MINLEN:90</w:t>
      </w:r>
      <w:r w:rsidR="00E90D4E">
        <w:t xml:space="preserve"> </w:t>
      </w:r>
      <w:r w:rsidR="00E90D4E">
        <w:fldChar w:fldCharType="begin"/>
      </w:r>
      <w:r w:rsidR="00DA5AE8">
        <w:instrText xml:space="preserve"> ADDIN ZOTERO_ITEM CSL_CITATION {"citationID":"1Zg0y02O","properties":{"formattedCitation":"({\\i{}72})","plainCitation":"(72)","noteIndex":0},"citationItems":[{"id":968,"uris":["http://zotero.org/users/13901503/items/9YGIV4WL"],"itemData":{"id":968,"type":"article-journal","abstract":"Culture-independent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00E90D4E">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72</w:t>
      </w:r>
      <w:r w:rsidR="00DA5AE8" w:rsidRPr="00DA5AE8">
        <w:rPr>
          <w:rFonts w:eastAsiaTheme="minorHAnsi"/>
          <w14:ligatures w14:val="standardContextual"/>
        </w:rPr>
        <w:t>)</w:t>
      </w:r>
      <w:r w:rsidR="00E90D4E">
        <w:fldChar w:fldCharType="end"/>
      </w:r>
      <w:r w:rsidR="00E90D4E">
        <w:t xml:space="preserve">. </w:t>
      </w:r>
      <w:r>
        <w:t xml:space="preserve">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Pr="00C10871">
        <w:rPr>
          <w:rFonts w:eastAsiaTheme="minorHAnsi"/>
          <w14:ligatures w14:val="standardContextual"/>
        </w:rPr>
        <w:t>(</w:t>
      </w:r>
      <w:r w:rsidRPr="00C10871">
        <w:rPr>
          <w:rFonts w:eastAsiaTheme="minorHAnsi"/>
          <w:i/>
          <w:iCs/>
          <w14:ligatures w14:val="standardContextual"/>
        </w:rPr>
        <w:t>55</w:t>
      </w:r>
      <w:r w:rsidRPr="00C10871">
        <w:rPr>
          <w:rFonts w:eastAsiaTheme="minorHAnsi"/>
          <w14:ligatures w14:val="standardContextual"/>
        </w:rPr>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w:t>
      </w:r>
      <w:r w:rsidR="00E90D4E">
        <w:t xml:space="preserve"> and unintegrated</w:t>
      </w:r>
      <w:r>
        <w:t xml:space="preserve"> values</w:t>
      </w:r>
      <w:r w:rsidR="00E90D4E">
        <w:t xml:space="preserve">, leaving us with </w:t>
      </w:r>
      <w:r>
        <w:t>548 unique metabolic pathways</w:t>
      </w:r>
      <w:r w:rsidR="00E90D4E">
        <w:t xml:space="preserve">. </w:t>
      </w:r>
      <w:r>
        <w:t>We performed all subsequent analyses using R v4.3.1.</w:t>
      </w:r>
    </w:p>
    <w:p w14:paraId="0A477CD1" w14:textId="77777777" w:rsidR="00C10871" w:rsidRDefault="00C10871" w:rsidP="005B0F26"/>
    <w:p w14:paraId="64D13236" w14:textId="77777777" w:rsidR="00E90D4E" w:rsidRDefault="00E90D4E" w:rsidP="00E90D4E">
      <w:pPr>
        <w:rPr>
          <w:u w:val="single"/>
        </w:rPr>
      </w:pPr>
      <w:r>
        <w:rPr>
          <w:u w:val="single"/>
        </w:rPr>
        <w:t>Metadata assembly</w:t>
      </w:r>
    </w:p>
    <w:p w14:paraId="79927C2B" w14:textId="63E7A902" w:rsidR="00E90D4E" w:rsidRDefault="00E90D4E" w:rsidP="00E90D4E">
      <w:r>
        <w:t xml:space="preserve">We paired 16s rRNA and shotgun metagenomic samples,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w:t>
      </w:r>
      <w:r w:rsidRPr="00E90D4E">
        <w:rPr>
          <w:highlight w:val="green"/>
        </w:rPr>
        <w:t xml:space="preserve">serving as a </w:t>
      </w:r>
      <w:commentRangeStart w:id="3"/>
      <w:r w:rsidRPr="00E90D4E">
        <w:rPr>
          <w:highlight w:val="green"/>
        </w:rPr>
        <w:t xml:space="preserve">long-term temperature </w:t>
      </w:r>
      <w:commentRangeEnd w:id="3"/>
      <w:r w:rsidR="00A6106C">
        <w:rPr>
          <w:rStyle w:val="CommentReference"/>
        </w:rPr>
        <w:commentReference w:id="3"/>
      </w:r>
      <w:r w:rsidRPr="00E90D4E">
        <w:rPr>
          <w:highlight w:val="green"/>
        </w:rPr>
        <w:t xml:space="preserve">predictor that has been previously associated with thermal responses in this population </w:t>
      </w:r>
      <w:r w:rsidRPr="00E90D4E">
        <w:rPr>
          <w:highlight w:val="green"/>
        </w:rPr>
        <w:fldChar w:fldCharType="begin"/>
      </w:r>
      <w:r w:rsidRPr="00E90D4E">
        <w:rPr>
          <w:highlight w:val="green"/>
        </w:rPr>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E90D4E">
        <w:rPr>
          <w:highlight w:val="green"/>
        </w:rPr>
        <w:fldChar w:fldCharType="separate"/>
      </w:r>
      <w:r w:rsidRPr="00E90D4E">
        <w:rPr>
          <w:highlight w:val="green"/>
        </w:rPr>
        <w:t>(</w:t>
      </w:r>
      <w:r w:rsidRPr="00E90D4E">
        <w:rPr>
          <w:i/>
          <w:iCs/>
          <w:highlight w:val="green"/>
        </w:rPr>
        <w:t>8</w:t>
      </w:r>
      <w:r w:rsidRPr="00E90D4E">
        <w:rPr>
          <w:highlight w:val="green"/>
        </w:rPr>
        <w:t>)</w:t>
      </w:r>
      <w:r w:rsidRPr="00E90D4E">
        <w:rPr>
          <w:highlight w:val="green"/>
        </w:rPr>
        <w:fldChar w:fldCharType="end"/>
      </w:r>
      <w:r w:rsidRPr="00E90D4E">
        <w:rPr>
          <w:highlight w:val="green"/>
        </w:rPr>
        <w:t>.</w:t>
      </w:r>
      <w:r>
        <w:t xml:space="preserve"> We also paired each sample with all diet observations from the same individual within two weeks before sample collection, following time frames used </w:t>
      </w:r>
      <w:r>
        <w:lastRenderedPageBreak/>
        <w:t xml:space="preserve">in previous white-faced capuchin gut microbiome studies </w:t>
      </w:r>
      <w:r>
        <w:fldChar w:fldCharType="begin"/>
      </w:r>
      <w:r w:rsidR="00DA5AE8">
        <w:instrText xml:space="preserve"> ADDIN ZOTERO_ITEM CSL_CITATION {"citationID":"JR1jMbxd","properties":{"formattedCitation":"({\\i{}55}, {\\i{}73})","plainCitation":"(55, 73)","noteIndex":0},"citationItems":[{"id":1636,"uris":["http://zotero.org/users/13901503/items/5NZP9HX7"],"itemData":{"id":1636,"type":"article-journal","abstract":"Objectives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55</w:t>
      </w:r>
      <w:r w:rsidR="00DA5AE8" w:rsidRPr="00DA5AE8">
        <w:rPr>
          <w:rFonts w:eastAsiaTheme="minorHAnsi"/>
          <w14:ligatures w14:val="standardContextual"/>
        </w:rPr>
        <w:t xml:space="preserve">, </w:t>
      </w:r>
      <w:r w:rsidR="00DA5AE8" w:rsidRPr="00DA5AE8">
        <w:rPr>
          <w:rFonts w:eastAsiaTheme="minorHAnsi"/>
          <w:i/>
          <w:iCs/>
          <w14:ligatures w14:val="standardContextual"/>
        </w:rPr>
        <w:t>73</w:t>
      </w:r>
      <w:r w:rsidR="00DA5AE8" w:rsidRPr="00DA5AE8">
        <w:rPr>
          <w:rFonts w:eastAsiaTheme="minorHAnsi"/>
          <w14:ligatures w14:val="standardContextual"/>
        </w:rPr>
        <w:t>)</w:t>
      </w:r>
      <w:r>
        <w:fldChar w:fldCharType="end"/>
      </w:r>
      <w:r>
        <w:t>. We quantified diet diversity by modeling diet richness (i.e., the total number of unique food items recorded) as a function of the total number of feeding observations</w:t>
      </w:r>
      <w:r w:rsidR="009E07A2">
        <w:t xml:space="preserve"> and extracting the residuals </w:t>
      </w:r>
      <w:r>
        <w:fldChar w:fldCharType="begin"/>
      </w:r>
      <w:r w:rsidR="00DA5AE8">
        <w:instrText xml:space="preserve"> ADDIN ZOTERO_ITEM CSL_CITATION {"citationID":"KgDJiC4b","properties":{"formattedCitation":"({\\i{}74})","plainCitation":"(74)","noteIndex":0},"citationItems":[{"id":1724,"uris":["http://zotero.org/users/13901503/items/VWJDBSPR"],"itemData":{"id":1724,"type":"article-journal","abstract":"The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74</w:t>
      </w:r>
      <w:r w:rsidR="00DA5AE8" w:rsidRPr="00DA5AE8">
        <w:rPr>
          <w:rFonts w:eastAsiaTheme="minorHAnsi"/>
          <w14:ligatures w14:val="standardContextual"/>
        </w:rPr>
        <w:t>)</w:t>
      </w:r>
      <w:r>
        <w:fldChar w:fldCharType="end"/>
      </w:r>
      <w:r>
        <w:t xml:space="preserve">. We </w:t>
      </w:r>
      <w:r w:rsidR="009E07A2">
        <w:t xml:space="preserve">then </w:t>
      </w:r>
      <w:r>
        <w:t xml:space="preserve">calculated the percent consumption </w:t>
      </w:r>
      <w:r w:rsidR="009E07A2">
        <w:t xml:space="preserve">of each food category (animal, flower, fruit, fungi, insect, leaves, nectar, nurse, pith, seeds) and plotted each against temperature to identify diet categories that vary with temperature. </w:t>
      </w:r>
      <w:r>
        <w:t xml:space="preserve">We found that percent fruit consumption has a strong, positive relationship with temperature (Fig </w:t>
      </w:r>
      <w:r w:rsidR="002D1193">
        <w:t>1</w:t>
      </w:r>
      <w:r>
        <w:t xml:space="preserve">S) and controlled for this in subsequent analyses. After matching each sample with the appropriate metadata, we were left with 277 16s rRNA samples and 71 shotgun metagenomic samples. </w:t>
      </w:r>
    </w:p>
    <w:p w14:paraId="5D8A84DA" w14:textId="77777777" w:rsidR="00C10871" w:rsidRDefault="00C10871" w:rsidP="005B0F26"/>
    <w:p w14:paraId="516E5A1A" w14:textId="77777777" w:rsidR="009E07A2" w:rsidRDefault="009E07A2" w:rsidP="009E07A2">
      <w:pPr>
        <w:rPr>
          <w:u w:val="single"/>
        </w:rPr>
      </w:pPr>
      <w:r w:rsidRPr="00D807D7">
        <w:rPr>
          <w:u w:val="single"/>
        </w:rPr>
        <w:t>Community</w:t>
      </w:r>
      <w:r>
        <w:rPr>
          <w:u w:val="single"/>
        </w:rPr>
        <w:t>-level composition a</w:t>
      </w:r>
      <w:r w:rsidRPr="00D807D7">
        <w:rPr>
          <w:u w:val="single"/>
        </w:rPr>
        <w:t>nalysis</w:t>
      </w:r>
    </w:p>
    <w:p w14:paraId="4714519F" w14:textId="1C0460AA" w:rsidR="009E07A2" w:rsidRDefault="009E07A2" w:rsidP="009E07A2">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and observed richness. To measure beta diversity, we generated Aitchison distances </w:t>
      </w:r>
      <w:r>
        <w:fldChar w:fldCharType="begin"/>
      </w:r>
      <w:r w:rsidR="00DA5AE8">
        <w:instrText xml:space="preserve"> ADDIN ZOTERO_ITEM CSL_CITATION {"citationID":"RU0uFdYd","properties":{"formattedCitation":"({\\i{}75})","plainCitation":"(75)","noteIndex":0},"citationItems":[{"id":1387,"uris":["http://zotero.org/users/13901503/items/7MG3GNU9"],"itemData":{"id":1387,"type":"article-journal","abstract":"A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75</w:t>
      </w:r>
      <w:r w:rsidR="00DA5AE8" w:rsidRPr="00DA5AE8">
        <w:rPr>
          <w:rFonts w:eastAsiaTheme="minorHAnsi"/>
          <w14:ligatures w14:val="standardContextual"/>
        </w:rPr>
        <w:t>)</w:t>
      </w:r>
      <w:r>
        <w:fldChar w:fldCharType="end"/>
      </w:r>
      <w:r w:rsidRPr="009E07A2">
        <w:t xml:space="preserve"> </w:t>
      </w:r>
      <w:r>
        <w:fldChar w:fldCharType="begin"/>
      </w:r>
      <w:r w:rsidR="00DA5AE8">
        <w:instrText xml:space="preserve"> ADDIN ZOTERO_ITEM CSL_CITATION {"citationID":"eI5jWKxN","properties":{"formattedCitation":"({\\i{}76})","plainCitation":"(76)","noteIndex":0},"citationItems":[{"id":785,"uris":["http://zotero.org/users/13901503/items/MWL4M2Q4"],"itemData":{"id":785,"type":"article-journal","abstract":"&lt;p&gt;Datasets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76</w:t>
      </w:r>
      <w:r w:rsidR="00DA5AE8" w:rsidRPr="00DA5AE8">
        <w:rPr>
          <w:rFonts w:eastAsiaTheme="minorHAnsi"/>
          <w14:ligatures w14:val="standardContextual"/>
        </w:rPr>
        <w:t>)</w:t>
      </w:r>
      <w:r>
        <w:fldChar w:fldCharType="end"/>
      </w:r>
      <w:r>
        <w:t xml:space="preserve"> by computing the Euclidean distance between pairwise samples after performing a centered log-ratio (</w:t>
      </w:r>
      <w:proofErr w:type="spellStart"/>
      <w:r>
        <w:t>clr</w:t>
      </w:r>
      <w:proofErr w:type="spellEnd"/>
      <w:r>
        <w:t xml:space="preserve">) transformation on the raw count data </w:t>
      </w:r>
      <w:r>
        <w:fldChar w:fldCharType="begin"/>
      </w:r>
      <w:r w:rsidR="00DA5AE8">
        <w:instrText xml:space="preserve"> ADDIN ZOTERO_ITEM CSL_CITATION {"citationID":"rslhHr6V","properties":{"formattedCitation":"({\\i{}77})","plainCitation":"(77)","noteIndex":0},"citationItems":[{"id":1678,"uris":["http://zotero.org/users/13901503/items/MSZDHDQF"],"itemData":{"id":1678,"type":"article-journal","abstract":"The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77</w:t>
      </w:r>
      <w:r w:rsidR="00DA5AE8" w:rsidRPr="00DA5AE8">
        <w:rPr>
          <w:rFonts w:eastAsiaTheme="minorHAnsi"/>
          <w14:ligatures w14:val="standardContextual"/>
        </w:rPr>
        <w:t>)</w:t>
      </w:r>
      <w:r>
        <w:fldChar w:fldCharType="end"/>
      </w:r>
      <w:r>
        <w:t xml:space="preserve">. We added a pseudo count to all zeros </w:t>
      </w:r>
      <w:r w:rsidR="00DD674D">
        <w:t>using</w:t>
      </w:r>
      <w:r>
        <w:t xml:space="preserve"> </w:t>
      </w:r>
      <w:r w:rsidRPr="00510277">
        <w:t>Bayesian-multiplicative replacement</w:t>
      </w:r>
      <w:r>
        <w:t xml:space="preserve"> to </w:t>
      </w:r>
      <w:r w:rsidRPr="00510277">
        <w:t xml:space="preserve">preserve the structure of the data and minimize distortion </w:t>
      </w:r>
      <w:r w:rsidRPr="00FB297C">
        <w:fldChar w:fldCharType="begin"/>
      </w:r>
      <w:r w:rsidR="00DA5AE8">
        <w:instrText xml:space="preserve"> ADDIN ZOTERO_ITEM CSL_CITATION {"citationID":"CcTblRTP","properties":{"formattedCitation":"({\\i{}78})","plainCitation":"(78)","noteIndex":0},"citationItems":[{"id":1676,"uris":["http://zotero.org/users/13901503/items/B9HUBEW5"],"itemData":{"id":1676,"type":"article-journal","abstract":"zCompositions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78</w:t>
      </w:r>
      <w:r w:rsidR="00DA5AE8" w:rsidRPr="00DA5AE8">
        <w:rPr>
          <w:rFonts w:eastAsiaTheme="minorHAnsi"/>
          <w14:ligatures w14:val="standardContextual"/>
        </w:rPr>
        <w:t>)</w:t>
      </w:r>
      <w:r w:rsidRPr="00FB297C">
        <w:fldChar w:fldCharType="end"/>
      </w:r>
      <w:r w:rsidRPr="00FB297C">
        <w:t>.</w:t>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2D1193">
        <w:t>2</w:t>
      </w:r>
      <w:r>
        <w:t>S).</w:t>
      </w:r>
    </w:p>
    <w:p w14:paraId="79647D49" w14:textId="329D972C" w:rsidR="009E07A2" w:rsidRDefault="009E07A2" w:rsidP="009E07A2">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DA5AE8">
        <w:instrText xml:space="preserve"> ADDIN ZOTERO_ITEM CSL_CITATION {"citationID":"9MopvbYc","properties":{"formattedCitation":"({\\i{}79}, {\\i{}80})","plainCitation":"(79, 80)","noteIndex":0},"citationItems":[{"id":1693,"uris":["http://zotero.org/users/13901503/items/5WE7IHKN"],"itemData":{"id":1693,"type":"chapter","container-title":"Selected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79</w:t>
      </w:r>
      <w:r w:rsidR="00DA5AE8" w:rsidRPr="00DA5AE8">
        <w:rPr>
          <w:rFonts w:eastAsiaTheme="minorHAnsi"/>
          <w14:ligatures w14:val="standardContextual"/>
        </w:rPr>
        <w:t xml:space="preserve">, </w:t>
      </w:r>
      <w:r w:rsidR="00DA5AE8" w:rsidRPr="00DA5AE8">
        <w:rPr>
          <w:rFonts w:eastAsiaTheme="minorHAnsi"/>
          <w:i/>
          <w:iCs/>
          <w14:ligatures w14:val="standardContextual"/>
        </w:rPr>
        <w:t>80</w:t>
      </w:r>
      <w:r w:rsidR="00DA5AE8" w:rsidRPr="00DA5AE8">
        <w:rPr>
          <w:rFonts w:eastAsiaTheme="minorHAnsi"/>
          <w14:ligatures w14:val="standardContextual"/>
        </w:rPr>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w:t>
      </w:r>
      <w:r w:rsidR="002D1193">
        <w:t>3</w:t>
      </w:r>
      <w:r>
        <w:t xml:space="preserve">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2D1193">
        <w:t>1</w:t>
      </w:r>
      <w:r>
        <w:t xml:space="preserve">S), and we wanted to control for this effect to better isolate the relationship between temperature and community features.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75EEC10" w14:textId="77777777" w:rsidR="009E07A2" w:rsidRDefault="009E07A2" w:rsidP="009E07A2">
      <w:pPr>
        <w:ind w:firstLine="720"/>
      </w:pPr>
    </w:p>
    <w:p w14:paraId="434FA955" w14:textId="77777777" w:rsidR="009E07A2" w:rsidRDefault="009E07A2" w:rsidP="009E07A2">
      <w:pPr>
        <w:rPr>
          <w:u w:val="single"/>
        </w:rPr>
      </w:pPr>
      <w:r w:rsidRPr="00DE0C60">
        <w:rPr>
          <w:u w:val="single"/>
        </w:rPr>
        <w:t>Temperature differential abundance analysis</w:t>
      </w:r>
    </w:p>
    <w:p w14:paraId="62200BAD" w14:textId="38AF6777" w:rsidR="009E07A2" w:rsidRPr="00FB4C69" w:rsidRDefault="009E07A2" w:rsidP="009E07A2">
      <w:r>
        <w:t xml:space="preserve">We also used a model selection approach to identify taxa and metabolic pathways associated with temperature. For the taxonomic analysis, we aggregated the number of reads per taxa on the family and genus levels, calculated the relative abundance, and removed </w:t>
      </w:r>
      <w:r w:rsidR="00797413">
        <w:t xml:space="preserve">taxa with less than 0.2% average relative abundance across all samples to avoid analyzing extremely low-abundance taxa. </w:t>
      </w:r>
      <w:r>
        <w:t xml:space="preserve">This resulted in 134 genera and 79 families to be used for differential abundance testing. </w:t>
      </w:r>
      <w:r w:rsidR="00DD674D">
        <w:t>W</w:t>
      </w:r>
      <w:r w:rsidR="00DA5AE8">
        <w:t xml:space="preserve">e chose to use an Information-theoretic approach for our differential abundance analysis because, </w:t>
      </w:r>
      <w:r w:rsidR="00DA5AE8">
        <w:lastRenderedPageBreak/>
        <w:t xml:space="preserve">unlike null-hypothesis significance testing, it allows for the comparison of multiple alternative hypotheses to assess biological significance </w:t>
      </w:r>
      <w:r w:rsidR="00DA5AE8">
        <w:fldChar w:fldCharType="begin"/>
      </w:r>
      <w:r w:rsidR="00DA5AE8">
        <w:instrText xml:space="preserve"> ADDIN ZOTERO_ITEM CSL_CITATION {"citationID":"gCjcBlAp","properties":{"formattedCitation":"({\\i{}81}, {\\i{}82})","plainCitation":"(81, 82)","noteIndex":0},"citationItems":[{"id":1696,"uris":["http://zotero.org/users/13901503/items/QCC5VYTU"],"itemData":{"id":1696,"type":"article-journal","abstract":"This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81</w:t>
      </w:r>
      <w:r w:rsidR="00DA5AE8" w:rsidRPr="00DA5AE8">
        <w:rPr>
          <w:rFonts w:eastAsiaTheme="minorHAnsi"/>
          <w14:ligatures w14:val="standardContextual"/>
        </w:rPr>
        <w:t xml:space="preserve">, </w:t>
      </w:r>
      <w:r w:rsidR="00DA5AE8" w:rsidRPr="00DA5AE8">
        <w:rPr>
          <w:rFonts w:eastAsiaTheme="minorHAnsi"/>
          <w:i/>
          <w:iCs/>
          <w14:ligatures w14:val="standardContextual"/>
        </w:rPr>
        <w:t>82</w:t>
      </w:r>
      <w:r w:rsidR="00DA5AE8" w:rsidRPr="00DA5AE8">
        <w:rPr>
          <w:rFonts w:eastAsiaTheme="minorHAnsi"/>
          <w14:ligatures w14:val="standardContextual"/>
        </w:rPr>
        <w:t>)</w:t>
      </w:r>
      <w:r w:rsidR="00DA5AE8">
        <w:fldChar w:fldCharType="end"/>
      </w:r>
      <w:r w:rsidR="00DA5AE8">
        <w:t>. This allowed us to evaluate if adding temperature to our model improved the explanation of</w:t>
      </w:r>
      <w:r w:rsidR="00DD674D">
        <w:t xml:space="preserve"> the abundance of</w:t>
      </w:r>
      <w:r w:rsidR="00DA5AE8">
        <w:t xml:space="preserve"> specific taxa or metabolic pathways compared to other known predictors of microbiome composition. </w:t>
      </w:r>
    </w:p>
    <w:p w14:paraId="026CD7F9" w14:textId="14304135" w:rsidR="009E07A2" w:rsidRDefault="009E07A2" w:rsidP="00DA5AE8">
      <w:pPr>
        <w:ind w:firstLine="720"/>
      </w:pPr>
      <w:r>
        <w:t>We built two generalized linear mixed models (GLMMs)</w:t>
      </w:r>
      <w:r w:rsidR="00DA5AE8">
        <w:t xml:space="preserve"> </w:t>
      </w:r>
      <w:r>
        <w:t>using a negative binomial distribution with a log link function</w:t>
      </w:r>
      <w:r w:rsidR="00DA5AE8">
        <w:t xml:space="preserve"> </w:t>
      </w:r>
      <w:r w:rsidR="00DA5AE8">
        <w:fldChar w:fldCharType="begin"/>
      </w:r>
      <w:r w:rsidR="00DA5AE8">
        <w:instrText xml:space="preserve"> ADDIN ZOTERO_ITEM CSL_CITATION {"citationID":"mwevwaBb","properties":{"formattedCitation":"({\\i{}83})","plainCitation":"(83)","noteIndex":0},"citationItems":[{"id":1248,"uris":["http://zotero.org/users/13901503/items/ATW2MVB6"],"itemData":{"id":1248,"type":"article-journal","abstract":"&lt;p&gt;The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00DA5AE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83</w:t>
      </w:r>
      <w:r w:rsidR="00DA5AE8" w:rsidRPr="00DA5AE8">
        <w:rPr>
          <w:rFonts w:eastAsiaTheme="minorHAnsi"/>
          <w14:ligatures w14:val="standardContextual"/>
        </w:rPr>
        <w:t>)</w:t>
      </w:r>
      <w:r w:rsidR="00DA5AE8">
        <w:fldChar w:fldCharType="end"/>
      </w:r>
      <w:r>
        <w:t xml:space="preserve"> and used individual family and genera abundances as our outcome variables.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w:t>
      </w:r>
      <w:r w:rsidR="002D1193">
        <w:t>3</w:t>
      </w:r>
      <w:r>
        <w:t xml:space="preserve">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w:t>
      </w:r>
      <w:r w:rsidR="00DE0C60">
        <w:t xml:space="preserve">. </w:t>
      </w:r>
      <w:r>
        <w:t>Internal node values represent the maximum likelihood estimates of the temperature model weight under a Brownian motion model of trait evolution.</w:t>
      </w:r>
    </w:p>
    <w:p w14:paraId="24A6230E" w14:textId="79708528" w:rsidR="009E07A2" w:rsidRDefault="009E07A2" w:rsidP="009E07A2">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-transformed abundances because pathway abundance values are normalized by the number of contributing gene families, meaning they are no longer raw counts</w:t>
      </w:r>
      <w:r w:rsidR="00DE0C60">
        <w:t xml:space="preserve">. </w:t>
      </w:r>
      <w:r>
        <w:t xml:space="preserve">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w:t>
      </w:r>
      <w:r w:rsidR="002D1193">
        <w:t>3</w:t>
      </w:r>
      <w:r>
        <w:t>S)</w:t>
      </w:r>
      <w:r w:rsidR="00DE0C60">
        <w:t xml:space="preserve"> and</w:t>
      </w:r>
      <w:r>
        <w:t xml:space="preserve"> compared the models using </w:t>
      </w:r>
      <w:proofErr w:type="spellStart"/>
      <w:r>
        <w:t>AICc</w:t>
      </w:r>
      <w:proofErr w:type="spellEnd"/>
      <w:r>
        <w:t>.</w:t>
      </w:r>
      <w:r w:rsidRPr="00903A8C">
        <w:t xml:space="preserve"> </w:t>
      </w:r>
      <w:r w:rsidR="00DE0C60">
        <w:t>P</w:t>
      </w:r>
      <w:r>
        <w:t xml:space="preserve">athways for which </w:t>
      </w:r>
      <w:proofErr w:type="spellStart"/>
      <w:r>
        <w:t>m_full</w:t>
      </w:r>
      <w:proofErr w:type="spellEnd"/>
      <w:r>
        <w:t xml:space="preserve"> accounted for more than 50% of the model weight were considered temperature sensitive.</w:t>
      </w:r>
    </w:p>
    <w:p w14:paraId="424EE40D" w14:textId="77777777" w:rsidR="009E07A2" w:rsidRDefault="009E07A2" w:rsidP="009E07A2"/>
    <w:p w14:paraId="03FB1771" w14:textId="77777777" w:rsidR="009304A2" w:rsidRPr="0081434A" w:rsidRDefault="009304A2" w:rsidP="009304A2">
      <w:pPr>
        <w:rPr>
          <w:u w:val="single"/>
        </w:rPr>
      </w:pPr>
      <w:r w:rsidRPr="00DE0C60">
        <w:rPr>
          <w:u w:val="single"/>
        </w:rPr>
        <w:t>Immune and temperature interaction analysis</w:t>
      </w:r>
    </w:p>
    <w:p w14:paraId="52BEFB47" w14:textId="67CB825F" w:rsidR="009304A2" w:rsidRDefault="009304A2" w:rsidP="009304A2">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w:t>
      </w:r>
      <w:r w:rsidR="002D1193">
        <w:t>3</w:t>
      </w:r>
      <w:r>
        <w:t xml:space="preserve">S). The interaction effect allowed us to test if the relationship between community composition </w:t>
      </w:r>
      <w:r w:rsidR="00DE0C60">
        <w:t xml:space="preserve">and temperature </w:t>
      </w:r>
      <w:r>
        <w:t xml:space="preserve">changes depending on neopterin levels. We scaled all continuous predictors, including neopterin. All models were fit as linear mixed models (LMMs) with a Gaussian distribution except for observed taxonomic richness, which was fit using a Gamma distribution </w:t>
      </w:r>
      <w:r>
        <w:lastRenderedPageBreak/>
        <w:t xml:space="preserve">with a log link function because the variable was </w:t>
      </w:r>
      <w:r w:rsidRPr="00364B0D">
        <w:t>continuous, positive, and left</w:t>
      </w:r>
      <w:r>
        <w:t>-</w:t>
      </w:r>
      <w:r w:rsidRPr="00364B0D">
        <w:t>skewed with a long right tail</w:t>
      </w:r>
      <w:r>
        <w:t>.</w:t>
      </w:r>
    </w:p>
    <w:p w14:paraId="6783B5E6" w14:textId="4AB3782E" w:rsidR="00C10871" w:rsidRDefault="009304A2" w:rsidP="00DD674D">
      <w:pPr>
        <w:ind w:firstLine="720"/>
      </w:pPr>
      <w:r>
        <w:t xml:space="preserve">To assess whether the relationship between temperature and individual taxa or pathways is associated with immune performance, we employed the same model comparison approach but used taxon and pathway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Importantly</w:t>
      </w:r>
      <w:r w:rsidR="00DE0C60">
        <w:t>,</w:t>
      </w:r>
      <w:r>
        <w:t xml:space="preserve">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t>
      </w:r>
    </w:p>
    <w:p w14:paraId="79D545FE" w14:textId="77777777" w:rsidR="00C10871" w:rsidRDefault="00C10871" w:rsidP="005B0F26"/>
    <w:p w14:paraId="27454370" w14:textId="596E5C3C" w:rsidR="005B0F26" w:rsidRDefault="005B0F26" w:rsidP="005B0F26">
      <w:r>
        <w:t xml:space="preserve">Results: </w:t>
      </w:r>
    </w:p>
    <w:p w14:paraId="2738EE70" w14:textId="77777777" w:rsidR="005B0F26" w:rsidRDefault="005B0F26" w:rsidP="005B0F26">
      <w:pPr>
        <w:rPr>
          <w:u w:val="single"/>
        </w:rPr>
      </w:pPr>
      <w:r>
        <w:rPr>
          <w:u w:val="single"/>
        </w:rPr>
        <w:t>Temperature predicts g</w:t>
      </w:r>
      <w:r w:rsidRPr="00AE374C">
        <w:rPr>
          <w:u w:val="single"/>
        </w:rPr>
        <w:t>ut microbiome</w:t>
      </w:r>
      <w:r>
        <w:rPr>
          <w:u w:val="single"/>
        </w:rPr>
        <w:t xml:space="preserve"> taxonomic composition and functional capacity</w:t>
      </w:r>
    </w:p>
    <w:p w14:paraId="4E2014DB" w14:textId="77777777" w:rsidR="005B0F26" w:rsidRPr="00991E79" w:rsidRDefault="005B0F26" w:rsidP="005B0F26">
      <w:r w:rsidRPr="00991E79">
        <w:rPr>
          <w:i/>
          <w:iCs/>
        </w:rPr>
        <w:t>Community-level</w:t>
      </w:r>
      <w:r>
        <w:rPr>
          <w:i/>
          <w:iCs/>
        </w:rPr>
        <w:t xml:space="preserve"> results</w:t>
      </w:r>
    </w:p>
    <w:p w14:paraId="3FCCEB0D" w14:textId="36BA6697" w:rsidR="005B0F26" w:rsidRDefault="005B0F26" w:rsidP="005B0F26">
      <w:pPr>
        <w:ind w:firstLine="720"/>
      </w:pPr>
      <w:r>
        <w:t xml:space="preserve">We found a strong relationship between temperature and both taxonomic and functional community-level diversity in the gut microbiome. For taxonomic community composition, the model </w:t>
      </w:r>
      <w:r w:rsidRPr="002D1193">
        <w:t>including temperature provided the</w:t>
      </w:r>
      <w:r>
        <w:t xml:space="preserv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w:t>
      </w:r>
      <w:r w:rsidR="002D1193">
        <w:t>4</w:t>
      </w:r>
      <w:r>
        <w:t xml:space="preserve">S). This suggests that higher temperatures are associated with reductions in both taxonomic richness and evenness. </w:t>
      </w:r>
    </w:p>
    <w:p w14:paraId="3362353B" w14:textId="77777777" w:rsidR="005B0F26" w:rsidRDefault="005B0F26" w:rsidP="005B0F2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11D0CC8D" w14:textId="77777777" w:rsidR="005B0F26" w:rsidRDefault="005B0F26"/>
    <w:p w14:paraId="16F76CF5" w14:textId="77777777" w:rsidR="005B0F26" w:rsidRDefault="005B0F26" w:rsidP="005B0F26">
      <w:r>
        <w:rPr>
          <w:i/>
          <w:iCs/>
        </w:rPr>
        <w:t>Individual taxon and metabolic pathway results</w:t>
      </w:r>
    </w:p>
    <w:p w14:paraId="2D1BBD8F" w14:textId="77777777" w:rsidR="005B0F26" w:rsidRDefault="005B0F26" w:rsidP="005B0F2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w:t>
      </w:r>
      <w:r>
        <w:lastRenderedPageBreak/>
        <w:t xml:space="preserve">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1C43E687" w14:textId="23EA0263" w:rsidR="005B0F26" w:rsidRDefault="005B0F26" w:rsidP="005B0F2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r w:rsidRPr="005B0F26">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DA5AE8">
        <w:instrText xml:space="preserve"> ADDIN ZOTERO_ITEM CSL_CITATION {"citationID":"ZsjASiqo","properties":{"formattedCitation":"({\\i{}84}, {\\i{}85})","plainCitation":"(84, 85)","noteIndex":0},"citationItems":[{"id":3378,"uris":["http://zotero.org/users/13901503/items/TZK8TZFH"],"itemData":{"id":3378,"type":"article-journal","container-title":"Journal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DA5AE8">
        <w:instrText xml:space="preserve"> ADDIN ZOTERO_ITEM CSL_CITATION {"citationID":"lWyrjH6E","properties":{"formattedCitation":"({\\i{}85}, {\\i{}86})","plainCitation":"(85, 86)","noteIndex":0},"citationItems":[{"id":3285,"uris":["http://zotero.org/users/13901503/items/932HVZ4C"],"itemData":{"id":3285,"type":"article-journal","container-title":"Journal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 xml:space="preserve">, </w:t>
      </w:r>
      <w:r w:rsidR="00DA5AE8" w:rsidRPr="00DA5AE8">
        <w:rPr>
          <w:rFonts w:eastAsiaTheme="minorHAnsi"/>
          <w:i/>
          <w:iCs/>
          <w14:ligatures w14:val="standardContextual"/>
        </w:rPr>
        <w:t>86</w:t>
      </w:r>
      <w:r w:rsidR="00DA5AE8" w:rsidRPr="00DA5AE8">
        <w:rPr>
          <w:rFonts w:eastAsiaTheme="minorHAnsi"/>
          <w14:ligatures w14:val="standardContextual"/>
        </w:rPr>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5B0F26">
        <w:t xml:space="preserve">This may reflect a response to changing oxygen gradients with rising temperatures to maintain energy production </w:t>
      </w:r>
      <w:r w:rsidRPr="005B0F26">
        <w:fldChar w:fldCharType="begin"/>
      </w:r>
      <w:r w:rsidR="00DA5AE8">
        <w:instrText xml:space="preserve"> ADDIN ZOTERO_ITEM CSL_CITATION {"citationID":"RZiOC71a","properties":{"formattedCitation":"({\\i{}87})","plainCitation":"(87)","noteIndex":0},"citationItems":[{"id":3205,"uris":["http://zotero.org/users/13901503/items/CADITA73"],"itemData":{"id":3205,"type":"article-journal","abstract":"Exposure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rsidRPr="005B0F26">
        <w:fldChar w:fldCharType="end"/>
      </w:r>
      <w:r w:rsidRPr="005B0F26">
        <w:t>. The anaerobic pathways primarily metabolized simple carbohydrates and coincided with a decline in complex polysaccharide fermentation, likely reflecting taxonomic shifts with rising temperatures</w:t>
      </w:r>
      <w:r>
        <w:t xml:space="preserve"> </w:t>
      </w:r>
      <w:r>
        <w:fldChar w:fldCharType="begin"/>
      </w:r>
      <w:r>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Pr="00B52801">
        <w:t>(</w:t>
      </w:r>
      <w:r w:rsidRPr="00B52801">
        <w:rPr>
          <w:i/>
          <w:iCs/>
        </w:rPr>
        <w:t>37</w:t>
      </w:r>
      <w:r w:rsidRPr="00B52801">
        <w:t>)</w:t>
      </w:r>
      <w:r>
        <w:fldChar w:fldCharType="end"/>
      </w:r>
      <w:r>
        <w:t xml:space="preserve">. </w:t>
      </w:r>
    </w:p>
    <w:p w14:paraId="73EF78C5" w14:textId="58D74754" w:rsidR="005B0F26" w:rsidRDefault="005B0F26" w:rsidP="005B0F26">
      <w:pPr>
        <w:ind w:firstLine="720"/>
      </w:pPr>
      <w:r>
        <w:t xml:space="preserve">We also observed declines in pathways that support redox maintenance and cycling (Fig 3C), including the synthesis of cofactors such as B vitamins </w:t>
      </w:r>
      <w:r>
        <w:fldChar w:fldCharType="begin"/>
      </w:r>
      <w:r w:rsidR="00DA5AE8">
        <w:instrText xml:space="preserve"> ADDIN ZOTERO_ITEM CSL_CITATION {"citationID":"oWPRpQeE","properties":{"formattedCitation":"({\\i{}88},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coenzymes </w:t>
      </w:r>
      <w:r>
        <w:fldChar w:fldCharType="begin"/>
      </w:r>
      <w:r w:rsidR="00DA5AE8">
        <w:instrText xml:space="preserve"> ADDIN ZOTERO_ITEM CSL_CITATION {"citationID":"4f75BpHM","properties":{"formattedCitation":"({\\i{}90})","plainCitation":"(90)","noteIndex":0},"citationItems":[{"id":3237,"uris":["http://zotero.org/users/13901503/items/VLNZSILJ"],"itemData":{"id":3237,"type":"article-journal","abstract":"In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antioxidant precursors to glutathione </w:t>
      </w:r>
      <w:r>
        <w:fldChar w:fldCharType="begin"/>
      </w:r>
      <w:r w:rsidR="00DA5AE8">
        <w:instrText xml:space="preserve"> ADDIN ZOTERO_ITEM CSL_CITATION {"citationID":"2FPwkzM8","properties":{"formattedCitation":"({\\i{}91})","plainCitation":"(91)","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91</w:t>
      </w:r>
      <w:r w:rsidR="00DA5AE8" w:rsidRPr="00DA5AE8">
        <w:rPr>
          <w:rFonts w:eastAsiaTheme="minorHAnsi"/>
          <w14:ligatures w14:val="standardContextual"/>
        </w:rPr>
        <w:t>)</w:t>
      </w:r>
      <w:r>
        <w:fldChar w:fldCharType="end"/>
      </w:r>
      <w:r>
        <w:t xml:space="preserve">, NADPH production, quinone synthesis, siderophore-mediated iron transport </w:t>
      </w:r>
      <w:r>
        <w:fldChar w:fldCharType="begin"/>
      </w:r>
      <w:r w:rsidR="00DA5AE8">
        <w:instrText xml:space="preserve"> ADDIN ZOTERO_ITEM CSL_CITATION {"citationID":"y82X9Nji","properties":{"formattedCitation":"({\\i{}92}, {\\i{}93})","plainCitation":"(92, 93)","noteIndex":0},"citationItems":[{"id":3234,"uris":["http://zotero.org/users/13901503/items/QMLXH9TP"],"itemData":{"id":3234,"type":"article-journal","abstract":"In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92</w:t>
      </w:r>
      <w:r w:rsidR="00DA5AE8" w:rsidRPr="00DA5AE8">
        <w:rPr>
          <w:rFonts w:eastAsiaTheme="minorHAnsi"/>
          <w14:ligatures w14:val="standardContextual"/>
        </w:rPr>
        <w:t xml:space="preserve">, </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and detoxification pathways for aromatic compounds and aldehydes </w:t>
      </w:r>
      <w:r>
        <w:fldChar w:fldCharType="begin"/>
      </w:r>
      <w:r w:rsidR="00DA5AE8">
        <w:instrText xml:space="preserve"> ADDIN ZOTERO_ITEM CSL_CITATION {"citationID":"G5HPTnWo","properties":{"formattedCitation":"({\\i{}94})","plainCitation":"(94)","noteIndex":0},"citationItems":[{"id":3232,"uris":["http://zotero.org/users/13901503/items/SDBLCJVJ"],"itemData":{"id":3232,"type":"article-journal","abstract":"Despite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94</w:t>
      </w:r>
      <w:r w:rsidR="00DA5AE8" w:rsidRPr="00DA5AE8">
        <w:rPr>
          <w:rFonts w:eastAsiaTheme="minorHAnsi"/>
          <w14:ligatures w14:val="standardContextual"/>
        </w:rPr>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DA5AE8">
        <w:instrText xml:space="preserve"> ADDIN ZOTERO_ITEM CSL_CITATION {"citationID":"VWKBgd91","properties":{"formattedCitation":"({\\i{}95}, {\\i{}96})","plainCitation":"(95, 96)","noteIndex":0},"citationItems":[{"id":3291,"uris":["http://zotero.org/users/13901503/items/6MPJ4SKF"],"itemData":{"id":3291,"type":"article-journal","abstract":"Most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95</w:t>
      </w:r>
      <w:r w:rsidR="00DA5AE8" w:rsidRPr="00DA5AE8">
        <w:rPr>
          <w:rFonts w:eastAsiaTheme="minorHAnsi"/>
          <w14:ligatures w14:val="standardContextual"/>
        </w:rPr>
        <w:t xml:space="preserve">, </w:t>
      </w:r>
      <w:r w:rsidR="00DA5AE8" w:rsidRPr="00DA5AE8">
        <w:rPr>
          <w:rFonts w:eastAsiaTheme="minorHAnsi"/>
          <w:i/>
          <w:iCs/>
          <w14:ligatures w14:val="standardContextual"/>
        </w:rPr>
        <w:t>96</w:t>
      </w:r>
      <w:r w:rsidR="00DA5AE8" w:rsidRPr="00DA5AE8">
        <w:rPr>
          <w:rFonts w:eastAsiaTheme="minorHAnsi"/>
          <w14:ligatures w14:val="standardContextual"/>
        </w:rPr>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DA5AE8">
        <w:instrText xml:space="preserve"> ADDIN ZOTERO_ITEM CSL_CITATION {"citationID":"myPXfqfe","properties":{"formattedCitation":"({\\i{}97})","plainCitation":"(97)","noteIndex":0},"citationItems":[{"id":3370,"uris":["http://zotero.org/users/13901503/items/M6A7QA65"],"itemData":{"id":3370,"type":"article-journal","abstract":"tRNAs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97</w:t>
      </w:r>
      <w:r w:rsidR="00DA5AE8" w:rsidRPr="00DA5AE8">
        <w:rPr>
          <w:rFonts w:eastAsiaTheme="minorHAnsi"/>
          <w14:ligatures w14:val="standardContextual"/>
        </w:rPr>
        <w:t>)</w:t>
      </w:r>
      <w:r>
        <w:fldChar w:fldCharType="end"/>
      </w:r>
      <w:r>
        <w:t xml:space="preserve">. </w:t>
      </w:r>
      <w:r w:rsidRPr="005B0F26">
        <w:t xml:space="preserve">This coordinated increase in nucleotide and translation-associated metabolism may reflect the consequences of redox imbalance at high temperatures because the accumulation of ROS can lead to DNA damage </w:t>
      </w:r>
      <w:r w:rsidRPr="005B0F26">
        <w:fldChar w:fldCharType="begin"/>
      </w:r>
      <w:r w:rsidR="00DA5AE8">
        <w:instrText xml:space="preserve"> ADDIN ZOTERO_ITEM CSL_CITATION {"citationID":"De7gRBET","properties":{"formattedCitation":"({\\i{}98})","plainCitation":"(98)","noteIndex":0},"citationItems":[{"id":3368,"uris":["http://zotero.org/users/13901503/items/R3YTNYU9"],"itemData":{"id":3368,"type":"article-journal","abstract":"Excess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Pr="005B0F26">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rsidRPr="005B0F26">
        <w:fldChar w:fldCharType="end"/>
      </w:r>
      <w:r w:rsidRPr="005B0F26">
        <w:t>. Some pathways that support redox maintenance increased with rising</w:t>
      </w:r>
      <w:r>
        <w:t xml:space="preserve"> temperatures (Fig 3D), including the synthesis of antioxidant precursors and vitamin B12 </w:t>
      </w:r>
      <w:r>
        <w:fldChar w:fldCharType="begin"/>
      </w:r>
      <w:r w:rsidR="00DA5AE8">
        <w:instrText xml:space="preserve"> ADDIN ZOTERO_ITEM CSL_CITATION {"citationID":"RysgoECv","properties":{"formattedCitation":"({\\i{}99})","plainCitation":"(99)","noteIndex":0},"citationItems":[{"id":3337,"uris":["http://zotero.org/users/13901503/items/ZQRDCT8W"],"itemData":{"id":3337,"type":"article-journal","abstract":"One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99</w:t>
      </w:r>
      <w:r w:rsidR="00DA5AE8" w:rsidRPr="00DA5AE8">
        <w:rPr>
          <w:rFonts w:eastAsiaTheme="minorHAnsi"/>
          <w14:ligatures w14:val="standardContextual"/>
        </w:rPr>
        <w:t>)</w:t>
      </w:r>
      <w:r>
        <w:fldChar w:fldCharType="end"/>
      </w:r>
      <w:r>
        <w:t xml:space="preserve">, coenzyme metabolism </w:t>
      </w:r>
      <w:r>
        <w:fldChar w:fldCharType="begin"/>
      </w:r>
      <w:r w:rsidR="00DA5AE8">
        <w:instrText xml:space="preserve"> ADDIN ZOTERO_ITEM CSL_CITATION {"citationID":"RUb5pm3b","properties":{"formattedCitation":"({\\i{}100})","plainCitation":"(100)","noteIndex":0},"citationItems":[{"id":3246,"uris":["http://zotero.org/users/13901503/items/SBMSGALS"],"itemData":{"id":3246,"type":"article-journal","container-title":"Trends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100</w:t>
      </w:r>
      <w:r w:rsidR="00DA5AE8" w:rsidRPr="00DA5AE8">
        <w:rPr>
          <w:rFonts w:eastAsiaTheme="minorHAnsi"/>
          <w14:ligatures w14:val="standardContextual"/>
        </w:rPr>
        <w:t>)</w:t>
      </w:r>
      <w:r>
        <w:fldChar w:fldCharType="end"/>
      </w:r>
      <w:r>
        <w:t xml:space="preserve">, and degradation of vitamin-like compounds </w:t>
      </w:r>
      <w:r>
        <w:fldChar w:fldCharType="begin"/>
      </w:r>
      <w:r w:rsidR="00DA5AE8">
        <w:instrText xml:space="preserve"> ADDIN ZOTERO_ITEM CSL_CITATION {"citationID":"CONirrgu","properties":{"formattedCitation":"({\\i{}101})","plainCitation":"(101)","noteIndex":0},"citationItems":[{"id":3334,"uris":["http://zotero.org/users/13901503/items/68BGK4TV"],"itemData":{"id":3334,"type":"article-journal","abstract":"Vitamin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101</w:t>
      </w:r>
      <w:r w:rsidR="00DA5AE8" w:rsidRPr="00DA5AE8">
        <w:rPr>
          <w:rFonts w:eastAsiaTheme="minorHAnsi"/>
          <w14:ligatures w14:val="standardContextual"/>
        </w:rPr>
        <w:t>)</w:t>
      </w:r>
      <w:r>
        <w:fldChar w:fldCharType="end"/>
      </w:r>
      <w:r>
        <w:t xml:space="preserve">, which may reflect a compensatory effort to restore redox balance. </w:t>
      </w:r>
    </w:p>
    <w:p w14:paraId="70235817" w14:textId="3E1F8710" w:rsidR="005B0F26" w:rsidRDefault="005B0F26" w:rsidP="005B0F2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DA5AE8">
        <w:instrText xml:space="preserve"> ADDIN ZOTERO_ITEM CSL_CITATION {"citationID":"BKbHZJDj","properties":{"formattedCitation":"({\\i{}42}, {\\i{}102})","plainCitation":"(42,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fldChar w:fldCharType="end"/>
      </w:r>
      <w:r>
        <w:t xml:space="preserve">, catabolism of monounsaturated fatty acids like oleate </w:t>
      </w:r>
      <w:r>
        <w:fldChar w:fldCharType="begin"/>
      </w:r>
      <w:r w:rsidR="00DA5AE8">
        <w:instrText xml:space="preserve"> ADDIN ZOTERO_ITEM CSL_CITATION {"citationID":"wYIcCrwU","properties":{"formattedCitation":"({\\i{}103})","plainCitation":"(103)","noteIndex":0},"citationItems":[{"id":3176,"uris":["http://zotero.org/users/13901503/items/HTMPX6GE"],"itemData":{"id":3176,"type":"article-journal","abstract":"Monocytes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polyamine production from arginine degradation </w:t>
      </w:r>
      <w:r w:rsidRPr="001A4F55">
        <w:t xml:space="preserve">and ornithine synthesis </w:t>
      </w:r>
      <w:r w:rsidRPr="001A4F55">
        <w:fldChar w:fldCharType="begin"/>
      </w:r>
      <w:r w:rsidR="00DA5AE8">
        <w:instrText xml:space="preserve"> ADDIN ZOTERO_ITEM CSL_CITATION {"citationID":"CTjLWKQl","properties":{"formattedCitation":"({\\i{}104})","plainCitation":"(104)","noteIndex":0},"citationItems":[{"id":3995,"uris":["http://zotero.org/users/13901503/items/3CHW39VH"],"itemData":{"id":3995,"type":"article-journal","abstract":"The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104</w:t>
      </w:r>
      <w:r w:rsidR="00DA5AE8" w:rsidRPr="00DA5AE8">
        <w:rPr>
          <w:rFonts w:eastAsiaTheme="minorHAnsi"/>
          <w14:ligatures w14:val="standardContextual"/>
        </w:rPr>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w:t>
      </w:r>
      <w:r>
        <w:lastRenderedPageBreak/>
        <w:t>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DA5AE8">
        <w:instrText xml:space="preserve"> ADDIN ZOTERO_ITEM CSL_CITATION {"citationID":"WbrfEbW1","properties":{"formattedCitation":"({\\i{}105})","plainCitation":"(105)","noteIndex":0},"citationItems":[{"id":3532,"uris":["http://zotero.org/users/13901503/items/X4GCYZZS"],"itemData":{"id":3532,"type":"article-journal","abstract":"Actions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105</w:t>
      </w:r>
      <w:r w:rsidR="00DA5AE8" w:rsidRPr="00DA5AE8">
        <w:rPr>
          <w:rFonts w:eastAsiaTheme="minorHAnsi"/>
          <w14:ligatures w14:val="standardContextual"/>
        </w:rPr>
        <w:t>)</w:t>
      </w:r>
      <w:r>
        <w:fldChar w:fldCharType="end"/>
      </w:r>
      <w:r>
        <w:t>.</w:t>
      </w:r>
    </w:p>
    <w:p w14:paraId="70630EDE" w14:textId="77777777" w:rsidR="005B0F26" w:rsidRDefault="005B0F26" w:rsidP="005B0F26">
      <w:pPr>
        <w:ind w:firstLine="720"/>
      </w:pPr>
    </w:p>
    <w:p w14:paraId="35695237" w14:textId="77777777" w:rsidR="005B0F26" w:rsidRDefault="005B0F26" w:rsidP="005B0F26">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2D2E834" w14:textId="72DE7C76" w:rsidR="005B0F26" w:rsidRDefault="005B0F26" w:rsidP="005B0F26">
      <w:r w:rsidRPr="00991E79">
        <w:rPr>
          <w:i/>
          <w:iCs/>
        </w:rPr>
        <w:t>Community-level</w:t>
      </w:r>
      <w:r>
        <w:rPr>
          <w:i/>
          <w:iCs/>
        </w:rPr>
        <w:t xml:space="preserve"> results</w:t>
      </w:r>
    </w:p>
    <w:p w14:paraId="702AE199" w14:textId="02A15400" w:rsidR="005B0F26" w:rsidRDefault="005B0F26" w:rsidP="005B0F26">
      <w:pPr>
        <w:ind w:firstLine="720"/>
      </w:pPr>
      <w:r>
        <w:t xml:space="preserve">For taxonomic composition, the model including the interaction effect between temperature and neopterin concentration provided the best fit (controlling for complexity) for every principal component, accounting for at least 60% of the model weight (Fig </w:t>
      </w:r>
      <w:r w:rsidR="002D1193">
        <w:t>5</w:t>
      </w:r>
      <w:r>
        <w:t xml:space="preserve">S). Principal component 1 was the only component with confidence intervals that did not include zero.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2D1193">
        <w:t>5</w:t>
      </w:r>
      <w:r>
        <w:t>S),</w:t>
      </w:r>
      <w:r w:rsidRPr="0081413B">
        <w:t xml:space="preserve"> </w:t>
      </w:r>
      <w:r>
        <w:t>suggest that the relationship between taxonomic alpha diversity and temperature is independent of neopterin concentration.</w:t>
      </w:r>
    </w:p>
    <w:p w14:paraId="381DAF48" w14:textId="28B5383B" w:rsidR="005B0F26" w:rsidRDefault="005B0F26" w:rsidP="005B0F26">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w:t>
      </w:r>
      <w:r w:rsidR="002D1193">
        <w:t>5</w:t>
      </w:r>
      <w:r>
        <w:t xml:space="preserve">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65DA2B01" w14:textId="77777777" w:rsidR="005B0F26" w:rsidRDefault="005B0F26" w:rsidP="005B0F26"/>
    <w:p w14:paraId="7DB0BAFF" w14:textId="77777777" w:rsidR="005B0F26" w:rsidRDefault="005B0F26" w:rsidP="005B0F26">
      <w:pPr>
        <w:rPr>
          <w:i/>
          <w:iCs/>
        </w:rPr>
      </w:pPr>
      <w:r>
        <w:rPr>
          <w:i/>
          <w:iCs/>
        </w:rPr>
        <w:t>Individual taxon and metabolic pathway results</w:t>
      </w:r>
    </w:p>
    <w:p w14:paraId="0002CF96" w14:textId="6DAB67C8" w:rsidR="005B0F26" w:rsidRDefault="005B0F26" w:rsidP="005B0F26">
      <w:r>
        <w:t>Neopterin concentration was also associated with the relationship between</w:t>
      </w:r>
      <w:r w:rsidRPr="008852E2">
        <w:t xml:space="preserve"> </w:t>
      </w:r>
      <w:r>
        <w:t>temperature and the abundance of individual taxa.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DA5AE8">
        <w:instrText xml:space="preserve"> ADDIN ZOTERO_ITEM CSL_CITATION {"citationID":"wESsU6it","properties":{"formattedCitation":"({\\i{}106},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106</w:t>
      </w:r>
      <w:r w:rsidR="00DA5AE8" w:rsidRPr="00DA5AE8">
        <w:rPr>
          <w:rFonts w:eastAsiaTheme="minorHAnsi"/>
          <w14:ligatures w14:val="standardContextual"/>
        </w:rPr>
        <w:t xml:space="preserve">, </w:t>
      </w:r>
      <w:r w:rsidR="00DA5AE8" w:rsidRPr="00DA5AE8">
        <w:rPr>
          <w:rFonts w:eastAsiaTheme="minorHAnsi"/>
          <w:i/>
          <w:iCs/>
          <w14:ligatures w14:val="standardContextual"/>
        </w:rPr>
        <w:t>107</w:t>
      </w:r>
      <w:r w:rsidR="00DA5AE8" w:rsidRPr="00DA5AE8">
        <w:rPr>
          <w:rFonts w:eastAsiaTheme="minorHAnsi"/>
          <w14:ligatures w14:val="standardContextual"/>
        </w:rPr>
        <w:t>)</w:t>
      </w:r>
      <w:r>
        <w:fldChar w:fldCharType="end"/>
      </w:r>
      <w:r>
        <w:t xml:space="preserve">. The taxa that exhibited increasing slopes (8 out of 20) showed two distinct patterns: one where a positive slope became steeper when neopterin was high, and another where a negative slope changed to positive when neopterin was </w:t>
      </w:r>
      <w:r>
        <w:lastRenderedPageBreak/>
        <w:t>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DA5AE8">
        <w:instrText xml:space="preserve"> ADDIN ZOTERO_ITEM CSL_CITATION {"citationID":"nc5nFo7O","properties":{"formattedCitation":"({\\i{}108}, {\\i{}109})","plainCitation":"(108, 109)","noteIndex":0},"citationItems":[{"id":3715,"uris":["http://zotero.org/users/13901503/items/6SAKEANZ"],"itemData":{"id":3715,"type":"article-journal","abstract":"Summary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108</w:t>
      </w:r>
      <w:r w:rsidR="00DA5AE8" w:rsidRPr="00DA5AE8">
        <w:rPr>
          <w:rFonts w:eastAsiaTheme="minorHAnsi"/>
          <w14:ligatures w14:val="standardContextual"/>
        </w:rPr>
        <w:t xml:space="preserve">, </w:t>
      </w:r>
      <w:r w:rsidR="00DA5AE8" w:rsidRPr="00DA5AE8">
        <w:rPr>
          <w:rFonts w:eastAsiaTheme="minorHAnsi"/>
          <w:i/>
          <w:iCs/>
          <w14:ligatures w14:val="standardContextual"/>
        </w:rPr>
        <w:t>109</w:t>
      </w:r>
      <w:r w:rsidR="00DA5AE8" w:rsidRPr="00DA5AE8">
        <w:rPr>
          <w:rFonts w:eastAsiaTheme="minorHAnsi"/>
          <w14:ligatures w14:val="standardContextual"/>
        </w:rPr>
        <w:t>)</w:t>
      </w:r>
      <w:r>
        <w:fldChar w:fldCharType="end"/>
      </w:r>
      <w:r>
        <w:t xml:space="preserve">, and the family </w:t>
      </w:r>
      <w:proofErr w:type="spellStart"/>
      <w:r w:rsidRPr="005B0F26">
        <w:rPr>
          <w:rStyle w:val="Strong"/>
          <w:rFonts w:eastAsiaTheme="majorEastAsia"/>
          <w:b w:val="0"/>
          <w:bCs w:val="0"/>
          <w:i/>
          <w:iCs/>
        </w:rPr>
        <w:t>Helicobacteraceae</w:t>
      </w:r>
      <w:proofErr w:type="spellEnd"/>
      <w:r w:rsidRPr="005B0F26">
        <w:rPr>
          <w:rStyle w:val="Strong"/>
          <w:rFonts w:eastAsiaTheme="majorEastAsia"/>
          <w:b w:val="0"/>
          <w:bCs w:val="0"/>
        </w:rPr>
        <w:t xml:space="preserve">, which commonly includes facultative anaerobes </w:t>
      </w:r>
      <w:r w:rsidRPr="005B0F26">
        <w:rPr>
          <w:rStyle w:val="Strong"/>
          <w:rFonts w:eastAsiaTheme="majorEastAsia"/>
          <w:b w:val="0"/>
          <w:bCs w:val="0"/>
        </w:rPr>
        <w:fldChar w:fldCharType="begin"/>
      </w:r>
      <w:r w:rsidR="00DA5AE8">
        <w:rPr>
          <w:rStyle w:val="Strong"/>
          <w:rFonts w:eastAsiaTheme="majorEastAsia"/>
          <w:b w:val="0"/>
          <w:bCs w:val="0"/>
        </w:rPr>
        <w:instrText xml:space="preserve"> ADDIN ZOTERO_ITEM CSL_CITATION {"citationID":"o9UAt3dv","properties":{"formattedCitation":"({\\i{}110})","plainCitation":"(110)","noteIndex":0},"citationItems":[{"id":3984,"uris":["http://zotero.org/users/13901503/items/PFZ9P5R3"],"itemData":{"id":3984,"type":"article-journal","abstract":"Helicobacter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Pr="005B0F26">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110</w:t>
      </w:r>
      <w:r w:rsidR="00DA5AE8" w:rsidRPr="00DA5AE8">
        <w:rPr>
          <w:rFonts w:eastAsiaTheme="minorHAnsi"/>
          <w14:ligatures w14:val="standardContextual"/>
        </w:rPr>
        <w:t>)</w:t>
      </w:r>
      <w:r w:rsidRPr="005B0F26">
        <w:rPr>
          <w:rStyle w:val="Strong"/>
          <w:rFonts w:eastAsiaTheme="majorEastAsia"/>
          <w:b w:val="0"/>
          <w:bCs w:val="0"/>
        </w:rPr>
        <w:fldChar w:fldCharType="end"/>
      </w:r>
      <w:r w:rsidRPr="005B0F26">
        <w:rPr>
          <w:rStyle w:val="Strong"/>
          <w:rFonts w:eastAsiaTheme="majorEastAsia"/>
          <w:b w:val="0"/>
          <w:bCs w:val="0"/>
        </w:rPr>
        <w:t>.</w:t>
      </w:r>
      <w:r>
        <w:t xml:space="preserve"> </w:t>
      </w:r>
    </w:p>
    <w:p w14:paraId="06E26637" w14:textId="2EC797F6" w:rsidR="005B0F26" w:rsidRDefault="005B0F26" w:rsidP="005B0F26">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DA5AE8">
        <w:instrText xml:space="preserve"> ADDIN ZOTERO_ITEM CSL_CITATION {"citationID":"Yyg97aqJ","properties":{"formattedCitation":"({\\i{}103})","plainCitation":"(103)","noteIndex":0},"citationItems":[{"id":3176,"uris":["http://zotero.org/users/13901503/items/HTMPX6GE"],"itemData":{"id":3176,"type":"article-journal","abstract":"Monocytes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DA5AE8">
        <w:rPr>
          <w:rStyle w:val="Strong"/>
          <w:rFonts w:eastAsiaTheme="majorEastAsia"/>
        </w:rPr>
        <w:instrText xml:space="preserve"> ADDIN ZOTERO_ITEM CSL_CITATION {"citationID":"yCxgcM3a","properties":{"formattedCitation":"({\\i{}111})","plainCitation":"(111)","noteIndex":0},"citationItems":[{"id":3707,"uris":["http://zotero.org/users/13901503/items/DINXISI6"],"itemData":{"id":3707,"type":"article-journal","abstract":"The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111</w:t>
      </w:r>
      <w:r w:rsidR="00DA5AE8" w:rsidRPr="00DA5AE8">
        <w:rPr>
          <w:rFonts w:eastAsiaTheme="minorHAnsi"/>
          <w14:ligatures w14:val="standardContextual"/>
        </w:rPr>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DA5AE8">
        <w:instrText xml:space="preserve"> ADDIN ZOTERO_ITEM CSL_CITATION {"citationID":"MREWhKrM","properties":{"formattedCitation":"({\\i{}112})","plainCitation":"(112)","noteIndex":0},"citationItems":[{"id":3666,"uris":["http://zotero.org/users/13901503/items/787C6UND"],"itemData":{"id":3666,"type":"article-journal","abstract":"&lt;p&gt;The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w:t>
      </w:r>
      <w:r>
        <w:fldChar w:fldCharType="end"/>
      </w:r>
      <w:r>
        <w:t xml:space="preserve">, </w:t>
      </w:r>
      <w:r w:rsidRPr="001261A1">
        <w:t>Rubisco shunt</w:t>
      </w:r>
      <w:r>
        <w:t xml:space="preserve"> </w:t>
      </w:r>
      <w:r>
        <w:fldChar w:fldCharType="begin"/>
      </w:r>
      <w:r w:rsidR="00DA5AE8">
        <w:instrText xml:space="preserve"> ADDIN ZOTERO_ITEM CSL_CITATION {"citationID":"8lsfxZT8","properties":{"formattedCitation":"({\\i{}113})","plainCitation":"(113)","noteIndex":0},"citationItems":[{"id":3661,"uris":["http://zotero.org/users/13901503/items/7EH7QSRX"],"itemData":{"id":3661,"type":"article-journal","abstract":"Rubisco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113</w:t>
      </w:r>
      <w:r w:rsidR="00DA5AE8" w:rsidRPr="00DA5AE8">
        <w:rPr>
          <w:rFonts w:eastAsiaTheme="minorHAnsi"/>
          <w14:ligatures w14:val="standardContextual"/>
        </w:rPr>
        <w:t>)</w:t>
      </w:r>
      <w:r>
        <w:fldChar w:fldCharType="end"/>
      </w:r>
      <w:r>
        <w:t xml:space="preserve">, ubiquinone biosynthesis </w:t>
      </w:r>
      <w:r>
        <w:fldChar w:fldCharType="begin"/>
      </w:r>
      <w:r w:rsidR="00DA5AE8">
        <w:instrText xml:space="preserve"> ADDIN ZOTERO_ITEM CSL_CITATION {"citationID":"hub5pdYU","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114</w:t>
      </w:r>
      <w:r w:rsidR="00DA5AE8" w:rsidRPr="00DA5AE8">
        <w:rPr>
          <w:rFonts w:eastAsiaTheme="minorHAnsi"/>
          <w14:ligatures w14:val="standardContextual"/>
        </w:rPr>
        <w:t>)</w:t>
      </w:r>
      <w:r>
        <w:fldChar w:fldCharType="end"/>
      </w:r>
      <w:r>
        <w:t xml:space="preserve">, </w:t>
      </w:r>
      <w:r w:rsidRPr="001261A1">
        <w:t>enterobacterial common antigen biosynthesis</w:t>
      </w:r>
      <w:r>
        <w:t xml:space="preserve"> </w:t>
      </w:r>
      <w:r>
        <w:fldChar w:fldCharType="begin"/>
      </w:r>
      <w:r w:rsidR="00DA5AE8">
        <w:instrText xml:space="preserve"> ADDIN ZOTERO_ITEM CSL_CITATION {"citationID":"FvN60f2B","properties":{"formattedCitation":"({\\i{}115})","plainCitation":"(115)","noteIndex":0},"citationItems":[{"id":3712,"uris":["http://zotero.org/users/13901503/items/S8VNSY7N"],"itemData":{"id":3712,"type":"article-journal","abstract":"Enterobacterial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115</w:t>
      </w:r>
      <w:r w:rsidR="00DA5AE8" w:rsidRPr="00DA5AE8">
        <w:rPr>
          <w:rFonts w:eastAsiaTheme="minorHAnsi"/>
          <w14:ligatures w14:val="standardContextual"/>
        </w:rPr>
        <w:t>)</w:t>
      </w:r>
      <w:r>
        <w:fldChar w:fldCharType="end"/>
      </w:r>
      <w:r>
        <w:t xml:space="preserve">, and Lipid A biosynthesis </w:t>
      </w:r>
      <w:r>
        <w:fldChar w:fldCharType="begin"/>
      </w:r>
      <w:r w:rsidR="00DA5AE8">
        <w:instrText xml:space="preserve"> ADDIN ZOTERO_ITEM CSL_CITATION {"citationID":"XLDjRCPa","properties":{"formattedCitation":"({\\i{}116})","plainCitation":"(116)","noteIndex":0},"citationItems":[{"id":3710,"uris":["http://zotero.org/users/13901503/items/7XBTXUWV"],"itemData":{"id":3710,"type":"article-journal","abstract":"Bacterial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116</w:t>
      </w:r>
      <w:r w:rsidR="00DA5AE8" w:rsidRPr="00DA5AE8">
        <w:rPr>
          <w:rFonts w:eastAsiaTheme="minorHAnsi"/>
          <w14:ligatures w14:val="standardContextual"/>
        </w:rPr>
        <w:t>)</w:t>
      </w:r>
      <w:r>
        <w:fldChar w:fldCharType="end"/>
      </w:r>
      <w:r>
        <w:t xml:space="preserve">. They also included pathways involved in redox maintenance, including the synthesis of B vitamins </w:t>
      </w:r>
      <w:r>
        <w:fldChar w:fldCharType="begin"/>
      </w:r>
      <w:r w:rsidR="00DA5AE8">
        <w:instrText xml:space="preserve"> ADDIN ZOTERO_ITEM CSL_CITATION {"citationID":"UqKOmPfK","properties":{"formattedCitation":"({\\i{}88}, {\\i{}89})","plainCitation":"(88, 89)","noteIndex":0},"citationItems":[{"id":3227,"uris":["http://zotero.org/users/13901503/items/9DQLWAKU"],"itemData":{"id":3227,"type":"article-journal","abstract":"Vitamin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88</w:t>
      </w:r>
      <w:r w:rsidR="00DA5AE8" w:rsidRPr="00DA5AE8">
        <w:rPr>
          <w:rFonts w:eastAsiaTheme="minorHAnsi"/>
          <w14:ligatures w14:val="standardContextual"/>
        </w:rPr>
        <w:t xml:space="preserve">, </w:t>
      </w:r>
      <w:r w:rsidR="00DA5AE8" w:rsidRPr="00DA5AE8">
        <w:rPr>
          <w:rFonts w:eastAsiaTheme="minorHAnsi"/>
          <w:i/>
          <w:iCs/>
          <w14:ligatures w14:val="standardContextual"/>
        </w:rPr>
        <w:t>89</w:t>
      </w:r>
      <w:r w:rsidR="00DA5AE8" w:rsidRPr="00DA5AE8">
        <w:rPr>
          <w:rFonts w:eastAsiaTheme="minorHAnsi"/>
          <w14:ligatures w14:val="standardContextual"/>
        </w:rPr>
        <w:t>)</w:t>
      </w:r>
      <w:r>
        <w:fldChar w:fldCharType="end"/>
      </w:r>
      <w:r>
        <w:t xml:space="preserve">, </w:t>
      </w:r>
      <w:proofErr w:type="spellStart"/>
      <w:r>
        <w:t>menaquinol</w:t>
      </w:r>
      <w:proofErr w:type="spellEnd"/>
      <w:r>
        <w:t xml:space="preserve"> </w:t>
      </w:r>
      <w:r>
        <w:fldChar w:fldCharType="begin"/>
      </w:r>
      <w:r w:rsidR="00DA5AE8">
        <w:instrText xml:space="preserve"> ADDIN ZOTERO_ITEM CSL_CITATION {"citationID":"DQoEAwSK","properties":{"formattedCitation":"({\\i{}90})","plainCitation":"(90)","noteIndex":0},"citationItems":[{"id":3237,"uris":["http://zotero.org/users/13901503/items/VLNZSILJ"],"itemData":{"id":3237,"type":"article-journal","abstract":"In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90</w:t>
      </w:r>
      <w:r w:rsidR="00DA5AE8" w:rsidRPr="00DA5AE8">
        <w:rPr>
          <w:rFonts w:eastAsiaTheme="minorHAnsi"/>
          <w14:ligatures w14:val="standardContextual"/>
        </w:rPr>
        <w:t>)</w:t>
      </w:r>
      <w:r>
        <w:fldChar w:fldCharType="end"/>
      </w:r>
      <w:r>
        <w:t xml:space="preserve">, and NADPH </w:t>
      </w:r>
      <w:r>
        <w:fldChar w:fldCharType="begin"/>
      </w:r>
      <w:r w:rsidR="00DA5AE8">
        <w:instrText xml:space="preserve"> ADDIN ZOTERO_ITEM CSL_CITATION {"citationID":"ie0Y7lhz","properties":{"formattedCitation":"({\\i{}93})","plainCitation":"(93)","noteIndex":0},"citationItems":[{"id":3239,"uris":["http://zotero.org/users/13901503/items/F8CEHMIS"],"itemData":{"id":3239,"type":"article-journal","abstract":"Accumulating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93</w:t>
      </w:r>
      <w:r w:rsidR="00DA5AE8" w:rsidRPr="00DA5AE8">
        <w:rPr>
          <w:rFonts w:eastAsiaTheme="minorHAnsi"/>
          <w14:ligatures w14:val="standardContextual"/>
        </w:rPr>
        <w:t>)</w:t>
      </w:r>
      <w:r>
        <w:fldChar w:fldCharType="end"/>
      </w:r>
      <w:r>
        <w:t xml:space="preserve">. </w:t>
      </w:r>
    </w:p>
    <w:p w14:paraId="0E444A17" w14:textId="77777777" w:rsidR="00BC1EDA" w:rsidRDefault="00BC1EDA" w:rsidP="005B0F26"/>
    <w:p w14:paraId="1B9A3BF5" w14:textId="3DE8279B" w:rsidR="005B0F26" w:rsidRDefault="005B0F26" w:rsidP="005B0F26">
      <w:r>
        <w:t xml:space="preserve">Discussion: </w:t>
      </w:r>
    </w:p>
    <w:p w14:paraId="4BD96ADC" w14:textId="0B502E5E" w:rsidR="004E622C" w:rsidRDefault="005B0F26" w:rsidP="004E622C">
      <w:r>
        <w:t>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w:t>
      </w:r>
      <w:r w:rsidR="006E102A">
        <w:t xml:space="preserve"> that may indicate the capuchins are undergoing periods of heat stress. </w:t>
      </w:r>
      <w:r w:rsidRPr="00AB141F">
        <w:rPr>
          <w:highlight w:val="green"/>
        </w:rPr>
        <w:t xml:space="preserve">Moreover, the microbiome’s taxonomic and functional </w:t>
      </w:r>
      <w:r w:rsidR="00AB141F" w:rsidRPr="00AB141F">
        <w:rPr>
          <w:highlight w:val="green"/>
        </w:rPr>
        <w:t xml:space="preserve">responses to temperature are linked to differences in urinary neopterin concentrations, </w:t>
      </w:r>
      <w:r w:rsidR="004E622C" w:rsidRPr="004E622C">
        <w:rPr>
          <w:highlight w:val="green"/>
        </w:rPr>
        <w:t>suggesting that immunity is related to the gut microbiome’s response</w:t>
      </w:r>
      <w:r w:rsidR="004E622C">
        <w:rPr>
          <w:highlight w:val="green"/>
        </w:rPr>
        <w:t xml:space="preserve"> to heat</w:t>
      </w:r>
      <w:r w:rsidR="004E622C" w:rsidRPr="004E622C">
        <w:rPr>
          <w:highlight w:val="green"/>
        </w:rPr>
        <w:t>.</w:t>
      </w:r>
      <w:r w:rsidR="004E622C">
        <w:t xml:space="preserve"> </w:t>
      </w:r>
    </w:p>
    <w:p w14:paraId="32E51D5F" w14:textId="3CDA8C0F" w:rsidR="00440E37" w:rsidRDefault="00440E37" w:rsidP="00494677"/>
    <w:p w14:paraId="7BB2973F" w14:textId="77777777" w:rsidR="00494677" w:rsidRDefault="00150BEB" w:rsidP="00494677">
      <w:pPr>
        <w:rPr>
          <w:u w:val="single"/>
        </w:rPr>
      </w:pPr>
      <w:r>
        <w:t xml:space="preserve"> </w:t>
      </w:r>
      <w:r w:rsidR="00494677" w:rsidRPr="00C64C3B">
        <w:rPr>
          <w:u w:val="single"/>
        </w:rPr>
        <w:t xml:space="preserve">Gut microbiome </w:t>
      </w:r>
      <w:r w:rsidR="00494677">
        <w:rPr>
          <w:u w:val="single"/>
        </w:rPr>
        <w:t>response to</w:t>
      </w:r>
      <w:r w:rsidR="00494677" w:rsidRPr="00C64C3B">
        <w:rPr>
          <w:u w:val="single"/>
        </w:rPr>
        <w:t xml:space="preserve"> temperature</w:t>
      </w:r>
    </w:p>
    <w:p w14:paraId="07C7E7DB" w14:textId="34C98617" w:rsidR="00DF25ED" w:rsidRDefault="00494677" w:rsidP="00DF25E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DA5AE8">
        <w:instrText xml:space="preserve"> ADDIN ZOTERO_ITEM CSL_CITATION {"citationID":"BOTDPuFp","properties":{"formattedCitation":"({\\i{}117})","plainCitation":"(117)","noteIndex":0},"citationItems":[{"id":1527,"uris":["http://zotero.org/users/13901503/items/2LNX23SB"],"itemData":{"id":1527,"type":"article-journal","abstract":"A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117</w:t>
      </w:r>
      <w:r w:rsidR="00DA5AE8" w:rsidRPr="00DA5AE8">
        <w:rPr>
          <w:rFonts w:eastAsiaTheme="minorHAnsi"/>
          <w14:ligatures w14:val="standardContextual"/>
        </w:rPr>
        <w:t>)</w:t>
      </w:r>
      <w:r>
        <w:fldChar w:fldCharType="end"/>
      </w:r>
      <w:r>
        <w:t>.</w:t>
      </w:r>
      <w:r w:rsidRPr="00D763E3">
        <w:t xml:space="preserve"> </w:t>
      </w:r>
      <w:r>
        <w:t xml:space="preserve">Community-level analysis reveals that taxonomic alpha diversity declines with increasing temperatures (Fig 2S), suggesting that heat may impair the gut microbiome’s ability to resist colonization by reducing the diversity of taxa that are available to compete with pathogens </w:t>
      </w:r>
      <w:r>
        <w:fldChar w:fldCharType="begin"/>
      </w:r>
      <w:r w:rsidR="00DA5AE8">
        <w:instrText xml:space="preserve"> ADDIN ZOTERO_ITEM CSL_CITATION {"citationID":"t7jhlu8l","properties":{"formattedCitation":"({\\i{}118})","plainCitation":"(118)","noteIndex":0},"citationItems":[{"id":1008,"uris":["http://zotero.org/users/13901503/items/5W73TYRF"],"itemData":{"id":1008,"type":"article-journal","abstract":"The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118</w:t>
      </w:r>
      <w:r w:rsidR="00DA5AE8" w:rsidRPr="00DA5AE8">
        <w:rPr>
          <w:rFonts w:eastAsiaTheme="minorHAnsi"/>
          <w14:ligatures w14:val="standardContextual"/>
        </w:rPr>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DA5AE8">
        <w:instrText xml:space="preserve"> ADDIN ZOTERO_ITEM CSL_CITATION {"citationID":"niRie4ap","properties":{"formattedCitation":"({\\i{}119})","plainCitation":"(119)","noteIndex":0},"citationItems":[{"id":1477,"uris":["http://zotero.org/users/13901503/items/HC276HZJ"],"itemData":{"id":1477,"type":"article-journal","abstract":"Antibiotic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119</w:t>
      </w:r>
      <w:r w:rsidR="00DA5AE8" w:rsidRPr="00DA5AE8">
        <w:rPr>
          <w:rFonts w:eastAsiaTheme="minorHAnsi"/>
          <w14:ligatures w14:val="standardContextual"/>
        </w:rPr>
        <w:t>)</w:t>
      </w:r>
      <w:r>
        <w:fldChar w:fldCharType="end"/>
      </w:r>
      <w:r>
        <w:t xml:space="preserve">, which may leave hosts more vulnerable to infection. However, functional alpha diversity appears more resilient to increasing temperatures (Fig 1), likely due to functional redundancy— when </w:t>
      </w:r>
      <w:r>
        <w:lastRenderedPageBreak/>
        <w:t xml:space="preserve">taxonomically distinct microbes perform similar functional roles </w:t>
      </w:r>
      <w:r>
        <w:fldChar w:fldCharType="begin"/>
      </w:r>
      <w:r w:rsidR="00DA5AE8">
        <w:instrText xml:space="preserve"> ADDIN ZOTERO_ITEM CSL_CITATION {"citationID":"hwQmyei2","properties":{"formattedCitation":"({\\i{}120})","plainCitation":"(120)","noteIndex":0},"citationItems":[{"id":3181,"uris":["http://zotero.org/users/13901503/items/N5RMCRXY"],"itemData":{"id":3181,"type":"article-journal","abstract":"Microbial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120</w:t>
      </w:r>
      <w:r w:rsidR="00DA5AE8" w:rsidRPr="00DA5AE8">
        <w:rPr>
          <w:rFonts w:eastAsiaTheme="minorHAnsi"/>
          <w14:ligatures w14:val="standardContextual"/>
        </w:rPr>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DA5AE8">
        <w:instrText xml:space="preserve"> ADDIN ZOTERO_ITEM CSL_CITATION {"citationID":"08yGUd4c","properties":{"formattedCitation":"({\\i{}36}, {\\i{}121})","plainCitation":"(36, 121)","noteIndex":0},"citationItems":[{"id":3980,"uris":["http://zotero.org/users/13901503/items/D55I9RZZ"],"itemData":{"id":3980,"type":"article-journal","abstract":"SUMMARYCampylobacter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36</w:t>
      </w:r>
      <w:r w:rsidR="00DA5AE8" w:rsidRPr="00DA5AE8">
        <w:rPr>
          <w:rFonts w:eastAsiaTheme="minorHAnsi"/>
          <w14:ligatures w14:val="standardContextual"/>
        </w:rPr>
        <w:t xml:space="preserve">, </w:t>
      </w:r>
      <w:r w:rsidR="00DA5AE8" w:rsidRPr="00DA5AE8">
        <w:rPr>
          <w:rFonts w:eastAsiaTheme="minorHAnsi"/>
          <w:i/>
          <w:iCs/>
          <w14:ligatures w14:val="standardContextual"/>
        </w:rPr>
        <w:t>121</w:t>
      </w:r>
      <w:r w:rsidR="00DA5AE8" w:rsidRPr="00DA5AE8">
        <w:rPr>
          <w:rFonts w:eastAsiaTheme="minorHAnsi"/>
          <w14:ligatures w14:val="standardContextual"/>
        </w:rPr>
        <w:t>)</w:t>
      </w:r>
      <w:r>
        <w:fldChar w:fldCharType="end"/>
      </w:r>
      <w:r>
        <w:t>, are less sensitive to heat compared to other phyla. Therefore, sustained high temperatures may continue to erode both taxonomic and functional diversity, eventually increasing the host’s vulnerability to infection</w:t>
      </w:r>
    </w:p>
    <w:p w14:paraId="14F7A2CF" w14:textId="7BAE35E6" w:rsidR="00DF25ED" w:rsidRDefault="00DF25ED" w:rsidP="00DF25E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DA5AE8">
        <w:instrText xml:space="preserve"> ADDIN ZOTERO_ITEM CSL_CITATION {"citationID":"SIOKOfLi","properties":{"formattedCitation":"({\\i{}84}, {\\i{}122})","plainCitation":"(84, 122)","noteIndex":0},"citationItems":[{"id":3378,"uris":["http://zotero.org/users/13901503/items/TZK8TZFH"],"itemData":{"id":3378,"type":"article-journal","container-title":"Journal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84</w:t>
      </w:r>
      <w:r w:rsidR="00DA5AE8" w:rsidRPr="00DA5AE8">
        <w:rPr>
          <w:rFonts w:eastAsiaTheme="minorHAnsi"/>
          <w14:ligatures w14:val="standardContextual"/>
        </w:rPr>
        <w:t xml:space="preserve">, </w:t>
      </w:r>
      <w:r w:rsidR="00DA5AE8" w:rsidRPr="00DA5AE8">
        <w:rPr>
          <w:rFonts w:eastAsiaTheme="minorHAnsi"/>
          <w:i/>
          <w:iCs/>
          <w14:ligatures w14:val="standardContextual"/>
        </w:rPr>
        <w:t>122</w:t>
      </w:r>
      <w:r w:rsidR="00DA5AE8" w:rsidRPr="00DA5AE8">
        <w:rPr>
          <w:rFonts w:eastAsiaTheme="minorHAnsi"/>
          <w14:ligatures w14:val="standardContextual"/>
        </w:rPr>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DA5AE8">
        <w:instrText xml:space="preserve"> ADDIN ZOTERO_ITEM CSL_CITATION {"citationID":"0Z2ejPon","properties":{"formattedCitation":"({\\i{}85})","plainCitation":"(85)","noteIndex":0},"citationItems":[{"id":3286,"uris":["http://zotero.org/users/13901503/items/VXSZL448"],"itemData":{"id":3286,"type":"article-journal","abstract":"The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85</w:t>
      </w:r>
      <w:r w:rsidR="00DA5AE8" w:rsidRPr="00DA5AE8">
        <w:rPr>
          <w:rFonts w:eastAsiaTheme="minorHAnsi"/>
          <w14:ligatures w14:val="standardContextual"/>
        </w:rPr>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DA5AE8">
        <w:instrText xml:space="preserve"> ADDIN ZOTERO_ITEM CSL_CITATION {"citationID":"XWxqevTe","properties":{"formattedCitation":"({\\i{}21}, {\\i{}123})","plainCitation":"(21, 123)","noteIndex":0},"citationItems":[{"id":3717,"uris":["http://zotero.org/users/13901503/items/UEK27R7E"],"itemData":{"id":3717,"type":"article-journal","abstract":"In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21</w:t>
      </w:r>
      <w:r w:rsidR="00DA5AE8" w:rsidRPr="00DA5AE8">
        <w:rPr>
          <w:rFonts w:eastAsiaTheme="minorHAnsi"/>
          <w14:ligatures w14:val="standardContextual"/>
        </w:rPr>
        <w:t xml:space="preserve">, </w:t>
      </w:r>
      <w:r w:rsidR="00DA5AE8" w:rsidRPr="00DA5AE8">
        <w:rPr>
          <w:rFonts w:eastAsiaTheme="minorHAnsi"/>
          <w:i/>
          <w:iCs/>
          <w14:ligatures w14:val="standardContextual"/>
        </w:rPr>
        <w:t>123</w:t>
      </w:r>
      <w:r w:rsidR="00DA5AE8" w:rsidRPr="00DA5AE8">
        <w:rPr>
          <w:rFonts w:eastAsiaTheme="minorHAnsi"/>
          <w14:ligatures w14:val="standardContextual"/>
        </w:rPr>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DA5AE8">
        <w:instrText xml:space="preserve"> ADDIN ZOTERO_ITEM CSL_CITATION {"citationID":"MA64tDiH","properties":{"formattedCitation":"({\\i{}87})","plainCitation":"(87)","noteIndex":0},"citationItems":[{"id":3205,"uris":["http://zotero.org/users/13901503/items/CADITA73"],"itemData":{"id":3205,"type":"article-journal","abstract":"Exposure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DA5AE8">
        <w:rPr>
          <w:rFonts w:ascii="Cambria Math" w:hAnsi="Cambria Math" w:cs="Cambria Math"/>
        </w:rPr>
        <w:instrText>𝑃</w:instrText>
      </w:r>
      <w:r w:rsidR="00DA5AE8">
        <w:instrText xml:space="preserve">⁢CO2P⁢CO2, while decreasing venous O2 saturation and venous pH. One hour after heat exposure, liver glycogen levels were decreased </w:instrText>
      </w:r>
      <w:r w:rsidR="00DA5AE8">
        <w:rPr>
          <w:rFonts w:ascii="Cambria Math" w:hAnsi="Cambria Math" w:cs="Cambria Math"/>
        </w:rPr>
        <w:instrText>∼</w:instrText>
      </w:r>
      <w:r w:rsidR="00DA5AE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87</w:t>
      </w:r>
      <w:r w:rsidR="00DA5AE8" w:rsidRPr="00DA5AE8">
        <w:rPr>
          <w:rFonts w:eastAsiaTheme="minorHAnsi"/>
          <w14:ligatures w14:val="standardContextual"/>
        </w:rPr>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DA5AE8">
        <w:instrText xml:space="preserve"> ADDIN ZOTERO_ITEM CSL_CITATION {"citationID":"mHntz9tf","properties":{"formattedCitation":"({\\i{}124}, {\\i{}125})","plainCitation":"(124, 125)","noteIndex":0},"citationItems":[{"id":3719,"uris":["http://zotero.org/users/13901503/items/ZGBKX69N"],"itemData":{"id":3719,"type":"article-journal","abstract":"Antibiotic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124</w:t>
      </w:r>
      <w:r w:rsidR="00DA5AE8" w:rsidRPr="00DA5AE8">
        <w:rPr>
          <w:rFonts w:eastAsiaTheme="minorHAnsi"/>
          <w14:ligatures w14:val="standardContextual"/>
        </w:rPr>
        <w:t xml:space="preserve">, </w:t>
      </w:r>
      <w:r w:rsidR="00DA5AE8" w:rsidRPr="00DA5AE8">
        <w:rPr>
          <w:rFonts w:eastAsiaTheme="minorHAnsi"/>
          <w:i/>
          <w:iCs/>
          <w14:ligatures w14:val="standardContextual"/>
        </w:rPr>
        <w:t>125</w:t>
      </w:r>
      <w:r w:rsidR="00DA5AE8" w:rsidRPr="00DA5AE8">
        <w:rPr>
          <w:rFonts w:eastAsiaTheme="minorHAnsi"/>
          <w14:ligatures w14:val="standardContextual"/>
        </w:rPr>
        <w:t>)</w:t>
      </w:r>
      <w:r>
        <w:fldChar w:fldCharType="end"/>
      </w:r>
      <w:r>
        <w:t xml:space="preserve">, and coincide with a decline in complex polysaccharide fermentation typical of obligate taxa </w:t>
      </w:r>
      <w:r>
        <w:fldChar w:fldCharType="begin"/>
      </w:r>
      <w:r>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DA5AE8">
        <w:instrText xml:space="preserve"> ADDIN ZOTERO_ITEM CSL_CITATION {"citationID":"GyT07F19","properties":{"formattedCitation":"({\\i{}126})","plainCitation":"(126)","noteIndex":0},"citationItems":[{"id":3688,"uris":["http://zotero.org/users/13901503/items/45UWS9R3"],"itemData":{"id":3688,"type":"article-journal","container-title":"Cell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126</w:t>
      </w:r>
      <w:r w:rsidR="00DA5AE8" w:rsidRPr="00DA5AE8">
        <w:rPr>
          <w:rFonts w:eastAsiaTheme="minorHAnsi"/>
          <w14:ligatures w14:val="standardContextual"/>
        </w:rPr>
        <w:t>)</w:t>
      </w:r>
      <w:r>
        <w:fldChar w:fldCharType="end"/>
      </w:r>
      <w:r>
        <w:t xml:space="preserve"> and immunomodulators </w:t>
      </w:r>
      <w:r>
        <w:fldChar w:fldCharType="begin"/>
      </w:r>
      <w:r>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Pr="00B52801">
        <w:t>(</w:t>
      </w:r>
      <w:r w:rsidRPr="00B52801">
        <w:rPr>
          <w:i/>
          <w:iCs/>
        </w:rPr>
        <w:t>41</w:t>
      </w:r>
      <w:r w:rsidRPr="00B52801">
        <w:t xml:space="preserve">, </w:t>
      </w:r>
      <w:r w:rsidRPr="00B52801">
        <w:rPr>
          <w:i/>
          <w:iCs/>
        </w:rPr>
        <w:t>42</w:t>
      </w:r>
      <w:r w:rsidRPr="00B52801">
        <w:t>)</w:t>
      </w:r>
      <w:r>
        <w:fldChar w:fldCharType="end"/>
      </w:r>
      <w:r>
        <w:t>, extended periods of high temperatures may eventually cause a decline in overall energy availability and affect immune function</w:t>
      </w:r>
      <w:r w:rsidRPr="00DF25ED">
        <w:t>. While these metabolic shifts suggest that capuchin gut microbes actively respond to heat in ways that may support community stability, the decline in membrane repair and inferred loss of obligate fermenters indicate that this response is unlikely to be sustainable over longer periods of high temperatures.</w:t>
      </w:r>
      <w:r>
        <w:t xml:space="preserve"> </w:t>
      </w:r>
    </w:p>
    <w:p w14:paraId="60229926" w14:textId="7E0752C2" w:rsidR="002B5CD8" w:rsidRDefault="002B5CD8" w:rsidP="000560CC">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DA5AE8">
        <w:instrText xml:space="preserve"> ADDIN ZOTERO_ITEM CSL_CITATION {"citationID":"25zGiPQC","properties":{"formattedCitation":"({\\i{}127}, {\\i{}128})","plainCitation":"(127, 128)","noteIndex":0},"citationItems":[{"id":2229,"uris":["http://zotero.org/users/13901503/items/J3568CMW"],"itemData":{"id":2229,"type":"article-journal","abstract":"We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127</w:t>
      </w:r>
      <w:r w:rsidR="00DA5AE8" w:rsidRPr="00DA5AE8">
        <w:rPr>
          <w:rFonts w:eastAsiaTheme="minorHAnsi"/>
          <w14:ligatures w14:val="standardContextual"/>
        </w:rPr>
        <w:t xml:space="preserve">, </w:t>
      </w:r>
      <w:r w:rsidR="00DA5AE8" w:rsidRPr="00DA5AE8">
        <w:rPr>
          <w:rFonts w:eastAsiaTheme="minorHAnsi"/>
          <w:i/>
          <w:iCs/>
          <w14:ligatures w14:val="standardContextual"/>
        </w:rPr>
        <w:t>128</w:t>
      </w:r>
      <w:r w:rsidR="00DA5AE8" w:rsidRPr="00DA5AE8">
        <w:rPr>
          <w:rFonts w:eastAsiaTheme="minorHAnsi"/>
          <w14:ligatures w14:val="standardContextual"/>
        </w:rPr>
        <w:t>)</w:t>
      </w:r>
      <w:r>
        <w:fldChar w:fldCharType="end"/>
      </w:r>
      <w:r>
        <w:t xml:space="preserve">, reptiles </w:t>
      </w:r>
      <w:r>
        <w:fldChar w:fldCharType="begin"/>
      </w:r>
      <w:r>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amphibians, birds </w:t>
      </w:r>
      <w:r>
        <w:fldChar w:fldCharType="begin"/>
      </w:r>
      <w:r>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w:t>
      </w:r>
      <w:r>
        <w:fldChar w:fldCharType="end"/>
      </w:r>
      <w:r>
        <w:t xml:space="preserve">, and mammals </w:t>
      </w:r>
      <w:r>
        <w:fldChar w:fldCharType="begin"/>
      </w:r>
      <w:r w:rsidR="00DA5AE8">
        <w:instrText xml:space="preserve"> ADDIN ZOTERO_ITEM CSL_CITATION {"citationID":"QftC6azE","properties":{"formattedCitation":"({\\i{}129})","plainCitation":"(129)","noteIndex":0},"citationItems":[{"id":1959,"uris":["http://zotero.org/users/13901503/items/ZXQ5TW3X"],"itemData":{"id":1959,"type":"article-journal","abstract":"Summary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129</w:t>
      </w:r>
      <w:r w:rsidR="00DA5AE8" w:rsidRPr="00DA5AE8">
        <w:rPr>
          <w:rFonts w:eastAsiaTheme="minorHAnsi"/>
          <w14:ligatures w14:val="standardContextual"/>
        </w:rPr>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xml:space="preserve">. We also observe an increase in DNA repair pathways (Fig 3D) that suggests cellular damage from the accumulation of ROS </w:t>
      </w:r>
      <w:r>
        <w:fldChar w:fldCharType="begin"/>
      </w:r>
      <w:r w:rsidR="00DA5AE8">
        <w:instrText xml:space="preserve"> ADDIN ZOTERO_ITEM CSL_CITATION {"citationID":"6OoDTMXc","properties":{"formattedCitation":"({\\i{}98})","plainCitation":"(98)","noteIndex":0},"citationItems":[{"id":3368,"uris":["http://zotero.org/users/13901503/items/R3YTNYU9"],"itemData":{"id":3368,"type":"article-journal","abstract":"Excess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98</w:t>
      </w:r>
      <w:r w:rsidR="00DA5AE8" w:rsidRPr="00DA5AE8">
        <w:rPr>
          <w:rFonts w:eastAsiaTheme="minorHAnsi"/>
          <w14:ligatures w14:val="standardContextual"/>
        </w:rPr>
        <w:t>)</w:t>
      </w:r>
      <w:r>
        <w:fldChar w:fldCharType="end"/>
      </w:r>
      <w:r>
        <w:t>.</w:t>
      </w:r>
      <w:r w:rsidR="000560CC">
        <w:t xml:space="preserve"> </w:t>
      </w:r>
      <w:r w:rsidR="000560CC" w:rsidRPr="002B5CD8">
        <w:t xml:space="preserve">Together, these results </w:t>
      </w:r>
      <w:r w:rsidR="000560CC" w:rsidRPr="002B5CD8">
        <w:lastRenderedPageBreak/>
        <w:t xml:space="preserve">provide compelling evidence that capuchins experience periods of redox imbalance at high temperatures that </w:t>
      </w:r>
      <w:r w:rsidR="006A0CCA">
        <w:t>may affect the</w:t>
      </w:r>
      <w:r w:rsidR="000560CC" w:rsidRPr="002B5CD8">
        <w:t xml:space="preserve"> relative abundance of facultative versus obligate anaerobes.</w:t>
      </w:r>
    </w:p>
    <w:p w14:paraId="56F9ABBE" w14:textId="034DD184" w:rsidR="00E37B25" w:rsidRDefault="000560CC" w:rsidP="0032533A">
      <w:pPr>
        <w:ind w:firstLine="720"/>
      </w:pPr>
      <w:r>
        <w:t>Further, a</w:t>
      </w:r>
      <w:r w:rsidR="002B5CD8">
        <w:t xml:space="preserve">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002B5CD8" w:rsidRPr="00E42C53">
        <w:t xml:space="preserve"> </w:t>
      </w:r>
      <w:r w:rsidR="002B5CD8">
        <w:fldChar w:fldCharType="begin"/>
      </w:r>
      <w:r w:rsidR="00DA5AE8">
        <w:instrText xml:space="preserve"> ADDIN ZOTERO_ITEM CSL_CITATION {"citationID":"rUdKSzFd","properties":{"formattedCitation":"({\\i{}41}, {\\i{}102})","plainCitation":"(41, 102)","noteIndex":0},"citationItems":[{"id":3266,"uris":["http://zotero.org/users/13901503/items/ZX3K6GKV"],"itemData":{"id":3266,"type":"article-journal","abstract":"In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41</w:t>
      </w:r>
      <w:r w:rsidR="00DA5AE8" w:rsidRPr="00DA5AE8">
        <w:rPr>
          <w:rFonts w:eastAsiaTheme="minorHAnsi"/>
          <w14:ligatures w14:val="standardContextual"/>
        </w:rPr>
        <w:t xml:space="preserve">, </w:t>
      </w:r>
      <w:r w:rsidR="00DA5AE8" w:rsidRPr="00DA5AE8">
        <w:rPr>
          <w:rFonts w:eastAsiaTheme="minorHAnsi"/>
          <w:i/>
          <w:iCs/>
          <w14:ligatures w14:val="standardContextual"/>
        </w:rPr>
        <w:t>102</w:t>
      </w:r>
      <w:r w:rsidR="00DA5AE8" w:rsidRPr="00DA5AE8">
        <w:rPr>
          <w:rFonts w:eastAsiaTheme="minorHAnsi"/>
          <w14:ligatures w14:val="standardContextual"/>
        </w:rPr>
        <w:t>)</w:t>
      </w:r>
      <w:r w:rsidR="002B5CD8">
        <w:fldChar w:fldCharType="end"/>
      </w:r>
      <w:r w:rsidR="002B5CD8">
        <w:t xml:space="preserve"> and the suppression of proinflammatory cytokine signaling </w:t>
      </w:r>
      <w:r w:rsidR="002B5CD8">
        <w:fldChar w:fldCharType="begin"/>
      </w:r>
      <w:r w:rsidR="00DA5AE8">
        <w:instrText xml:space="preserve"> ADDIN ZOTERO_ITEM CSL_CITATION {"citationID":"5WMcbnWb","properties":{"formattedCitation":"({\\i{}42}, {\\i{}103})","plainCitation":"(42, 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42</w:t>
      </w:r>
      <w:r w:rsidR="00DA5AE8" w:rsidRPr="00DA5AE8">
        <w:rPr>
          <w:rFonts w:eastAsiaTheme="minorHAnsi"/>
          <w14:ligatures w14:val="standardContextual"/>
        </w:rPr>
        <w:t xml:space="preserve">, </w:t>
      </w:r>
      <w:r w:rsidR="00DA5AE8" w:rsidRPr="00DA5AE8">
        <w:rPr>
          <w:rFonts w:eastAsiaTheme="minorHAnsi"/>
          <w:i/>
          <w:iCs/>
          <w14:ligatures w14:val="standardContextual"/>
        </w:rPr>
        <w:t>103</w:t>
      </w:r>
      <w:r w:rsidR="00DA5AE8" w:rsidRPr="00DA5AE8">
        <w:rPr>
          <w:rFonts w:eastAsiaTheme="minorHAnsi"/>
          <w14:ligatures w14:val="standardContextual"/>
        </w:rPr>
        <w:t>)</w:t>
      </w:r>
      <w:r w:rsidR="002B5CD8">
        <w:fldChar w:fldCharType="end"/>
      </w:r>
      <w:r w:rsidR="002B5CD8">
        <w:t>.</w:t>
      </w:r>
      <w:r w:rsidR="002B5CD8" w:rsidRPr="00A835F8">
        <w:t xml:space="preserve"> </w:t>
      </w:r>
      <w:r w:rsidR="002B5CD8">
        <w:t>The decrease in SCFA-producing pathways, particularly butyrate and pyruvate (Fig 3E), likely reflects the loss of obligate anaerobes at high temperatures due to redox imbalance and may decrease host tolerance towards gut microbiomes.</w:t>
      </w:r>
      <w:r w:rsidR="002B5CD8" w:rsidRPr="00A835F8">
        <w:t xml:space="preserve"> </w:t>
      </w:r>
      <w:r w:rsidR="002B5CD8">
        <w:t xml:space="preserve">The resulting increase in immune activity may exacerbate redox imbalance because activated immune cells, particularly phagocytes, release ROS as part of the inflammatory response </w:t>
      </w:r>
      <w:r w:rsidR="002B5CD8">
        <w:fldChar w:fldCharType="begin"/>
      </w:r>
      <w:r w:rsidR="00DA5AE8">
        <w:instrText xml:space="preserve"> ADDIN ZOTERO_ITEM CSL_CITATION {"citationID":"1C9evp4M","properties":{"formattedCitation":"({\\i{}130})","plainCitation":"(130)","noteIndex":0},"citationItems":[{"id":3724,"uris":["http://zotero.org/users/13901503/items/IM2TT9E8"],"itemData":{"id":3724,"type":"article-journal","abstract":"Reactive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2B5CD8">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130</w:t>
      </w:r>
      <w:r w:rsidR="00DA5AE8" w:rsidRPr="00DA5AE8">
        <w:rPr>
          <w:rFonts w:eastAsiaTheme="minorHAnsi"/>
          <w14:ligatures w14:val="standardContextual"/>
        </w:rPr>
        <w:t>)</w:t>
      </w:r>
      <w:r w:rsidR="002B5CD8">
        <w:fldChar w:fldCharType="end"/>
      </w:r>
      <w:r w:rsidR="002B5CD8">
        <w:t xml:space="preserve">. </w:t>
      </w:r>
    </w:p>
    <w:p w14:paraId="14C1062E" w14:textId="3AEF30A8" w:rsidR="002C7F8C" w:rsidRDefault="004213D8" w:rsidP="0032533A">
      <w:pPr>
        <w:ind w:firstLine="720"/>
        <w:rPr>
          <w:highlight w:val="green"/>
        </w:rPr>
      </w:pPr>
      <w:commentRangeStart w:id="4"/>
      <w:r w:rsidRPr="0032533A">
        <w:rPr>
          <w:highlight w:val="green"/>
        </w:rPr>
        <w:t>These results may be driven by confounding variables related to seasonal ecology, such as changes in diet, ranging patterns, social structure, activity budgets, or water sources that can influence microbiome composition and function</w:t>
      </w:r>
      <w:r w:rsidR="00440E37" w:rsidRPr="0032533A">
        <w:rPr>
          <w:highlight w:val="green"/>
        </w:rPr>
        <w:fldChar w:fldCharType="begin"/>
      </w:r>
      <w:r w:rsidR="00DA5AE8">
        <w:rPr>
          <w:highlight w:val="green"/>
        </w:rPr>
        <w:instrText xml:space="preserve"> ADDIN ZOTERO_ITEM CSL_CITATION {"citationID":"u5D6sbzn","properties":{"formattedCitation":"({\\i{}55}, {\\i{}73}, {\\i{}131})","plainCitation":"(55, 73, 131)","noteIndex":0},"citationItems":[{"id":700,"uris":["http://zotero.org/users/13901503/items/HCYVY6PR"],"itemData":{"id":700,"type":"article-journal","abstract":"Research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S."}],"issued":{"date-parts":[["2018"]]}}}],"schema":"https://github.com/citation-style-language/schema/raw/master/csl-citation.json"} </w:instrText>
      </w:r>
      <w:r w:rsidR="00440E37" w:rsidRPr="0032533A">
        <w:rPr>
          <w:highlight w:val="green"/>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55</w:t>
      </w:r>
      <w:r w:rsidR="00DA5AE8" w:rsidRPr="00DA5AE8">
        <w:rPr>
          <w:rFonts w:eastAsiaTheme="minorHAnsi"/>
          <w14:ligatures w14:val="standardContextual"/>
        </w:rPr>
        <w:t xml:space="preserve">, </w:t>
      </w:r>
      <w:r w:rsidR="00DA5AE8" w:rsidRPr="00DA5AE8">
        <w:rPr>
          <w:rFonts w:eastAsiaTheme="minorHAnsi"/>
          <w:i/>
          <w:iCs/>
          <w14:ligatures w14:val="standardContextual"/>
        </w:rPr>
        <w:t>73</w:t>
      </w:r>
      <w:r w:rsidR="00DA5AE8" w:rsidRPr="00DA5AE8">
        <w:rPr>
          <w:rFonts w:eastAsiaTheme="minorHAnsi"/>
          <w14:ligatures w14:val="standardContextual"/>
        </w:rPr>
        <w:t xml:space="preserve">, </w:t>
      </w:r>
      <w:r w:rsidR="00DA5AE8" w:rsidRPr="00DA5AE8">
        <w:rPr>
          <w:rFonts w:eastAsiaTheme="minorHAnsi"/>
          <w:i/>
          <w:iCs/>
          <w14:ligatures w14:val="standardContextual"/>
        </w:rPr>
        <w:t>131</w:t>
      </w:r>
      <w:r w:rsidR="00DA5AE8" w:rsidRPr="00DA5AE8">
        <w:rPr>
          <w:rFonts w:eastAsiaTheme="minorHAnsi"/>
          <w14:ligatures w14:val="standardContextual"/>
        </w:rPr>
        <w:t>)</w:t>
      </w:r>
      <w:r w:rsidR="00440E37" w:rsidRPr="0032533A">
        <w:rPr>
          <w:highlight w:val="green"/>
        </w:rPr>
        <w:fldChar w:fldCharType="end"/>
      </w:r>
      <w:r w:rsidRPr="0032533A">
        <w:rPr>
          <w:highlight w:val="green"/>
        </w:rPr>
        <w:t>. However, many of our results mirror those from experimental studies evaluating the effects of high temperature on the microbiome</w:t>
      </w:r>
      <w:r w:rsidR="00440E37" w:rsidRPr="0032533A">
        <w:rPr>
          <w:highlight w:val="green"/>
        </w:rPr>
        <w:t xml:space="preserve">, indicating that we have likely captured a true temperature effect rather than an indirect signature of seasonal ecology. This is likely because we used a </w:t>
      </w:r>
      <w:commentRangeStart w:id="5"/>
      <w:r w:rsidR="00440E37" w:rsidRPr="0032533A">
        <w:rPr>
          <w:highlight w:val="green"/>
        </w:rPr>
        <w:t>long-term (two-week</w:t>
      </w:r>
      <w:commentRangeEnd w:id="5"/>
      <w:r w:rsidR="008533DB">
        <w:rPr>
          <w:rStyle w:val="CommentReference"/>
        </w:rPr>
        <w:commentReference w:id="5"/>
      </w:r>
      <w:r w:rsidR="00440E37" w:rsidRPr="0032533A">
        <w:rPr>
          <w:highlight w:val="green"/>
        </w:rPr>
        <w:t>) temperature predictor, which reflects cumulative exposure to high temperatures rather than short-term fluctuations that</w:t>
      </w:r>
      <w:r w:rsidR="00804D7A" w:rsidRPr="0032533A">
        <w:rPr>
          <w:highlight w:val="green"/>
        </w:rPr>
        <w:t xml:space="preserve"> are more likely to</w:t>
      </w:r>
      <w:r w:rsidR="00440E37" w:rsidRPr="0032533A">
        <w:rPr>
          <w:highlight w:val="green"/>
        </w:rPr>
        <w:t xml:space="preserve"> covary with other ecological variables.</w:t>
      </w:r>
      <w:r w:rsidR="00E37B25" w:rsidRPr="0032533A">
        <w:rPr>
          <w:highlight w:val="green"/>
        </w:rPr>
        <w:t xml:space="preserve"> </w:t>
      </w:r>
      <w:r w:rsidR="0032533A" w:rsidRPr="0032533A">
        <w:rPr>
          <w:highlight w:val="green"/>
        </w:rPr>
        <w:t xml:space="preserve">We also focused on </w:t>
      </w:r>
      <w:r w:rsidR="000D1A59">
        <w:rPr>
          <w:highlight w:val="green"/>
        </w:rPr>
        <w:t>interpreting</w:t>
      </w:r>
      <w:r w:rsidR="0032533A" w:rsidRPr="0032533A">
        <w:rPr>
          <w:highlight w:val="green"/>
        </w:rPr>
        <w:t xml:space="preserve"> broad patterns across taxonomic groups and metabolic pathways</w:t>
      </w:r>
      <w:r w:rsidR="000D1A59">
        <w:rPr>
          <w:highlight w:val="green"/>
        </w:rPr>
        <w:t xml:space="preserve"> (Figs. 2 &amp; 3)</w:t>
      </w:r>
      <w:r w:rsidR="0032533A" w:rsidRPr="0032533A">
        <w:rPr>
          <w:highlight w:val="green"/>
        </w:rPr>
        <w:t xml:space="preserve"> rather than interpreting individual features that may be more sensitive to ecological confounds.</w:t>
      </w:r>
      <w:r w:rsidR="00D237ED" w:rsidRPr="0032533A">
        <w:rPr>
          <w:highlight w:val="green"/>
        </w:rPr>
        <w:t xml:space="preserve"> </w:t>
      </w:r>
    </w:p>
    <w:p w14:paraId="777C97A6" w14:textId="2E18DB2A" w:rsidR="005F69FD" w:rsidRDefault="00D237ED" w:rsidP="005F69FD">
      <w:pPr>
        <w:ind w:firstLine="720"/>
      </w:pPr>
      <w:r w:rsidRPr="0032533A">
        <w:rPr>
          <w:highlight w:val="green"/>
        </w:rPr>
        <w:t>Importantly, our results resemble those associated with heat stress in experimental work</w:t>
      </w:r>
      <w:r w:rsidR="00033021" w:rsidRPr="0032533A">
        <w:rPr>
          <w:highlight w:val="green"/>
        </w:rPr>
        <w:t>,</w:t>
      </w:r>
      <w:r w:rsidRPr="0032533A">
        <w:rPr>
          <w:highlight w:val="green"/>
        </w:rPr>
        <w:t xml:space="preserve"> including a decrease in obligate anaerobes relative to facultative anaerobes </w:t>
      </w:r>
      <w:r w:rsidRPr="0032533A">
        <w:rPr>
          <w:highlight w:val="green"/>
        </w:rPr>
        <w:fldChar w:fldCharType="begin"/>
      </w:r>
      <w:r w:rsidRPr="0032533A">
        <w:rPr>
          <w:highlight w:val="green"/>
        </w:rPr>
        <w:instrText xml:space="preserve"> ADDIN ZOTERO_ITEM CSL_CITATION {"citationID":"WH23QP2G","properties":{"formattedCitation":"({\\i{}16})","plainCitation":"(16)","noteIndex":0},"citationItems":[{"id":960,"uris":["http://zotero.org/users/13901503/items/KQS25QFF"],"itemData":{"id":960,"type":"article-journal","abstract":"Temperature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32533A">
        <w:rPr>
          <w:highlight w:val="green"/>
        </w:rPr>
        <w:fldChar w:fldCharType="separate"/>
      </w:r>
      <w:r w:rsidRPr="0032533A">
        <w:rPr>
          <w:highlight w:val="green"/>
        </w:rPr>
        <w:t>(</w:t>
      </w:r>
      <w:r w:rsidRPr="0032533A">
        <w:rPr>
          <w:i/>
          <w:iCs/>
          <w:highlight w:val="green"/>
        </w:rPr>
        <w:t>16</w:t>
      </w:r>
      <w:r w:rsidRPr="0032533A">
        <w:rPr>
          <w:highlight w:val="green"/>
        </w:rPr>
        <w:t>)</w:t>
      </w:r>
      <w:r w:rsidRPr="0032533A">
        <w:rPr>
          <w:highlight w:val="green"/>
        </w:rPr>
        <w:fldChar w:fldCharType="end"/>
      </w:r>
      <w:r w:rsidRPr="0032533A">
        <w:rPr>
          <w:highlight w:val="green"/>
        </w:rPr>
        <w:t xml:space="preserve">, evidence of redox imbalance </w:t>
      </w:r>
      <w:r w:rsidRPr="0032533A">
        <w:rPr>
          <w:highlight w:val="green"/>
        </w:rPr>
        <w:fldChar w:fldCharType="begin"/>
      </w:r>
      <w:r w:rsidRPr="0032533A">
        <w:rPr>
          <w:highlight w:val="green"/>
        </w:rPr>
        <w:instrText xml:space="preserve"> ADDIN ZOTERO_ITEM CSL_CITATION {"citationID":"rVBKu8ac","properties":{"formattedCitation":"({\\i{}28},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Pr="0032533A">
        <w:rPr>
          <w:highlight w:val="green"/>
        </w:rPr>
        <w:fldChar w:fldCharType="separate"/>
      </w:r>
      <w:r w:rsidRPr="0032533A">
        <w:rPr>
          <w:highlight w:val="green"/>
        </w:rPr>
        <w:t>(</w:t>
      </w:r>
      <w:r w:rsidRPr="0032533A">
        <w:rPr>
          <w:i/>
          <w:iCs/>
          <w:highlight w:val="green"/>
        </w:rPr>
        <w:t>28</w:t>
      </w:r>
      <w:r w:rsidRPr="0032533A">
        <w:rPr>
          <w:highlight w:val="green"/>
        </w:rPr>
        <w:t xml:space="preserve">, </w:t>
      </w:r>
      <w:r w:rsidRPr="0032533A">
        <w:rPr>
          <w:i/>
          <w:iCs/>
          <w:highlight w:val="green"/>
        </w:rPr>
        <w:t>29</w:t>
      </w:r>
      <w:r w:rsidRPr="0032533A">
        <w:rPr>
          <w:highlight w:val="green"/>
        </w:rPr>
        <w:t>)</w:t>
      </w:r>
      <w:r w:rsidRPr="0032533A">
        <w:rPr>
          <w:highlight w:val="green"/>
        </w:rPr>
        <w:fldChar w:fldCharType="end"/>
      </w:r>
      <w:r w:rsidRPr="0032533A">
        <w:rPr>
          <w:highlight w:val="green"/>
        </w:rPr>
        <w:t xml:space="preserve">, and changes in </w:t>
      </w:r>
      <w:r w:rsidR="0032533A" w:rsidRPr="0032533A">
        <w:rPr>
          <w:highlight w:val="green"/>
        </w:rPr>
        <w:t xml:space="preserve">immunomodulatory function </w:t>
      </w:r>
      <w:bookmarkStart w:id="6" w:name="_Hlk212808190"/>
      <w:r w:rsidRPr="0032533A">
        <w:rPr>
          <w:highlight w:val="green"/>
        </w:rPr>
        <w:fldChar w:fldCharType="begin"/>
      </w:r>
      <w:r w:rsidR="00EB13C3">
        <w:rPr>
          <w:highlight w:val="green"/>
        </w:rPr>
        <w:instrText xml:space="preserve"> ADDIN ZOTERO_ITEM CSL_CITATION {"citationID":"0Wn5DKmj","properties":{"formattedCitation":"({\\i{}17},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Pr="0032533A">
        <w:rPr>
          <w:highlight w:val="green"/>
        </w:rPr>
        <w:fldChar w:fldCharType="separate"/>
      </w:r>
      <w:r w:rsidR="00EB13C3" w:rsidRPr="00EB13C3">
        <w:rPr>
          <w:rFonts w:eastAsiaTheme="minorHAnsi"/>
          <w14:ligatures w14:val="standardContextual"/>
        </w:rPr>
        <w:t>(</w:t>
      </w:r>
      <w:r w:rsidR="00EB13C3" w:rsidRPr="00EB13C3">
        <w:rPr>
          <w:rFonts w:eastAsiaTheme="minorHAnsi"/>
          <w:i/>
          <w:iCs/>
          <w14:ligatures w14:val="standardContextual"/>
        </w:rPr>
        <w:t>17</w:t>
      </w:r>
      <w:r w:rsidR="00EB13C3" w:rsidRPr="00EB13C3">
        <w:rPr>
          <w:rFonts w:eastAsiaTheme="minorHAnsi"/>
          <w14:ligatures w14:val="standardContextual"/>
        </w:rPr>
        <w:t xml:space="preserve">, </w:t>
      </w:r>
      <w:r w:rsidR="00EB13C3" w:rsidRPr="00EB13C3">
        <w:rPr>
          <w:rFonts w:eastAsiaTheme="minorHAnsi"/>
          <w:i/>
          <w:iCs/>
          <w14:ligatures w14:val="standardContextual"/>
        </w:rPr>
        <w:t>19</w:t>
      </w:r>
      <w:r w:rsidR="00EB13C3" w:rsidRPr="00EB13C3">
        <w:rPr>
          <w:rFonts w:eastAsiaTheme="minorHAnsi"/>
          <w14:ligatures w14:val="standardContextual"/>
        </w:rPr>
        <w:t xml:space="preserve">, </w:t>
      </w:r>
      <w:r w:rsidR="00EB13C3" w:rsidRPr="00EB13C3">
        <w:rPr>
          <w:rFonts w:eastAsiaTheme="minorHAnsi"/>
          <w:i/>
          <w:iCs/>
          <w14:ligatures w14:val="standardContextual"/>
        </w:rPr>
        <w:t>44</w:t>
      </w:r>
      <w:r w:rsidR="00EB13C3" w:rsidRPr="00EB13C3">
        <w:rPr>
          <w:rFonts w:eastAsiaTheme="minorHAnsi"/>
          <w14:ligatures w14:val="standardContextual"/>
        </w:rPr>
        <w:t>)</w:t>
      </w:r>
      <w:r w:rsidRPr="0032533A">
        <w:rPr>
          <w:highlight w:val="green"/>
        </w:rPr>
        <w:fldChar w:fldCharType="end"/>
      </w:r>
      <w:bookmarkEnd w:id="6"/>
      <w:r w:rsidRPr="0032533A">
        <w:rPr>
          <w:highlight w:val="green"/>
        </w:rPr>
        <w:t>. Together, these findings suggest that the capuchins may be experiencing heat stress at the upper limit of their thermal range</w:t>
      </w:r>
      <w:r w:rsidR="002C7F8C">
        <w:rPr>
          <w:highlight w:val="green"/>
        </w:rPr>
        <w:t xml:space="preserve"> that could compromise essential microbiome functions. </w:t>
      </w:r>
      <w:r w:rsidR="005F69FD" w:rsidRPr="005F69FD">
        <w:rPr>
          <w:highlight w:val="green"/>
        </w:rPr>
        <w:t xml:space="preserve">These effects also likely reinforce one another during extended periods of high temperatures via reciprocal interactions linking redox balance, microbial composition, and immune function </w:t>
      </w:r>
      <w:r w:rsidR="005F69FD" w:rsidRPr="005F69FD">
        <w:rPr>
          <w:highlight w:val="green"/>
        </w:rPr>
        <w:fldChar w:fldCharType="begin"/>
      </w:r>
      <w:r w:rsidR="00DA5AE8">
        <w:rPr>
          <w:highlight w:val="green"/>
        </w:rPr>
        <w:instrText xml:space="preserve"> ADDIN ZOTERO_ITEM CSL_CITATION {"citationID":"ZVo4Iuph","properties":{"formattedCitation":"({\\i{}132}, {\\i{}133})","plainCitation":"(132, 133)","noteIndex":0},"citationItems":[{"id":3497,"uris":["http://zotero.org/users/13901503/items/RMY7RJ4R"],"itemData":{"id":3497,"type":"article-journal","abstract":"Inflammatory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5F69FD" w:rsidRPr="005F69FD">
        <w:rPr>
          <w:highlight w:val="green"/>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132</w:t>
      </w:r>
      <w:r w:rsidR="00DA5AE8" w:rsidRPr="00DA5AE8">
        <w:rPr>
          <w:rFonts w:eastAsiaTheme="minorHAnsi"/>
          <w14:ligatures w14:val="standardContextual"/>
        </w:rPr>
        <w:t xml:space="preserve">, </w:t>
      </w:r>
      <w:r w:rsidR="00DA5AE8" w:rsidRPr="00DA5AE8">
        <w:rPr>
          <w:rFonts w:eastAsiaTheme="minorHAnsi"/>
          <w:i/>
          <w:iCs/>
          <w14:ligatures w14:val="standardContextual"/>
        </w:rPr>
        <w:t>133</w:t>
      </w:r>
      <w:r w:rsidR="00DA5AE8" w:rsidRPr="00DA5AE8">
        <w:rPr>
          <w:rFonts w:eastAsiaTheme="minorHAnsi"/>
          <w14:ligatures w14:val="standardContextual"/>
        </w:rPr>
        <w:t>)</w:t>
      </w:r>
      <w:r w:rsidR="005F69FD" w:rsidRPr="005F69FD">
        <w:rPr>
          <w:highlight w:val="green"/>
        </w:rPr>
        <w:fldChar w:fldCharType="end"/>
      </w:r>
      <w:r w:rsidR="005F69FD" w:rsidRPr="005F69FD">
        <w:rPr>
          <w:highlight w:val="green"/>
        </w:rPr>
        <w:t>(Fig 3F).</w:t>
      </w:r>
      <w:commentRangeEnd w:id="4"/>
      <w:r w:rsidR="008533DB">
        <w:rPr>
          <w:rStyle w:val="CommentReference"/>
        </w:rPr>
        <w:commentReference w:id="4"/>
      </w:r>
    </w:p>
    <w:p w14:paraId="2667DCD6" w14:textId="01C7362B" w:rsidR="00D237ED" w:rsidRDefault="00D237ED" w:rsidP="0032533A"/>
    <w:p w14:paraId="31DE4463" w14:textId="6498BC86" w:rsidR="00D237ED" w:rsidRDefault="00D237ED" w:rsidP="00D237ED">
      <w:pPr>
        <w:rPr>
          <w:u w:val="single"/>
        </w:rPr>
      </w:pPr>
      <w:r w:rsidRPr="00C64C3B">
        <w:rPr>
          <w:u w:val="single"/>
        </w:rPr>
        <w:t xml:space="preserve">Gut microbiome </w:t>
      </w:r>
      <w:r>
        <w:rPr>
          <w:u w:val="single"/>
        </w:rPr>
        <w:t xml:space="preserve">response to temperature is related to microbiome-immune </w:t>
      </w:r>
      <w:r w:rsidR="00AB141F">
        <w:rPr>
          <w:u w:val="single"/>
        </w:rPr>
        <w:t>interactions</w:t>
      </w:r>
    </w:p>
    <w:p w14:paraId="26AB897A" w14:textId="7DA6BDCE" w:rsidR="00F06D13" w:rsidRDefault="006F1050" w:rsidP="004F5B78">
      <w:pPr>
        <w:ind w:firstLine="720"/>
      </w:pPr>
      <w:r>
        <w:rPr>
          <w:highlight w:val="green"/>
        </w:rPr>
        <w:t xml:space="preserve">Declines in the abundance of obligate </w:t>
      </w:r>
      <w:r w:rsidR="00033021" w:rsidRPr="006F1050">
        <w:rPr>
          <w:highlight w:val="green"/>
        </w:rPr>
        <w:t xml:space="preserve">anaerobes </w:t>
      </w:r>
      <w:r>
        <w:rPr>
          <w:highlight w:val="green"/>
        </w:rPr>
        <w:t xml:space="preserve">with temperature </w:t>
      </w:r>
      <w:r w:rsidR="00033021" w:rsidRPr="006F1050">
        <w:rPr>
          <w:highlight w:val="green"/>
        </w:rPr>
        <w:t xml:space="preserve">may </w:t>
      </w:r>
      <w:r w:rsidR="006F07A1" w:rsidRPr="006F1050">
        <w:rPr>
          <w:highlight w:val="green"/>
        </w:rPr>
        <w:t>impact</w:t>
      </w:r>
      <w:r w:rsidR="00033021" w:rsidRPr="006F1050">
        <w:rPr>
          <w:highlight w:val="green"/>
        </w:rPr>
        <w:t xml:space="preserve"> </w:t>
      </w:r>
      <w:r w:rsidR="00950571" w:rsidRPr="006F1050">
        <w:rPr>
          <w:highlight w:val="green"/>
        </w:rPr>
        <w:t>host immunity.</w:t>
      </w:r>
      <w:r w:rsidR="00033021">
        <w:t xml:space="preserve"> </w:t>
      </w:r>
      <w:r w:rsidR="00033021" w:rsidRPr="00D237ED">
        <w:t>For example, stronger declines in obligate anaerobes</w:t>
      </w:r>
      <w:r w:rsidR="006F07A1">
        <w:t xml:space="preserve"> at high temperatures</w:t>
      </w:r>
      <w:r w:rsidR="00033021" w:rsidRPr="00D237ED">
        <w:t xml:space="preserve">, such as </w:t>
      </w:r>
      <w:r w:rsidR="00033021" w:rsidRPr="00D237ED">
        <w:rPr>
          <w:rStyle w:val="Emphasis"/>
          <w:rFonts w:eastAsiaTheme="majorEastAsia"/>
        </w:rPr>
        <w:t>Parabacteroides</w:t>
      </w:r>
      <w:r w:rsidR="00033021" w:rsidRPr="00D237ED">
        <w:t xml:space="preserve"> and </w:t>
      </w:r>
      <w:proofErr w:type="spellStart"/>
      <w:r w:rsidR="00033021" w:rsidRPr="00D237ED">
        <w:rPr>
          <w:rStyle w:val="Emphasis"/>
          <w:rFonts w:eastAsiaTheme="majorEastAsia"/>
        </w:rPr>
        <w:t>Alistipes</w:t>
      </w:r>
      <w:proofErr w:type="spellEnd"/>
      <w:r w:rsidR="00033021" w:rsidRPr="00D237ED">
        <w:rPr>
          <w:rStyle w:val="Emphasis"/>
          <w:rFonts w:eastAsiaTheme="majorEastAsia"/>
        </w:rPr>
        <w:t>,</w:t>
      </w:r>
      <w:r w:rsidR="00033021" w:rsidRPr="00D237ED">
        <w:t xml:space="preserve"> are associated with higher neopterin levels (Fig 4A). These taxa contribute to anti-inflammatory signaling through the production of SCFAs</w:t>
      </w:r>
      <w:r w:rsidR="00033021" w:rsidRPr="00D237ED">
        <w:rPr>
          <w:rStyle w:val="Emphasis"/>
          <w:rFonts w:eastAsiaTheme="majorEastAsia"/>
        </w:rPr>
        <w:t xml:space="preserve"> </w:t>
      </w:r>
      <w:r w:rsidR="00033021" w:rsidRPr="00D237ED">
        <w:fldChar w:fldCharType="begin"/>
      </w:r>
      <w:r w:rsidR="00DA5AE8">
        <w:instrText xml:space="preserve"> ADDIN ZOTERO_ITEM CSL_CITATION {"citationID":"56Usf7sy","properties":{"formattedCitation":"({\\i{}106}, {\\i{}107})","plainCitation":"(106, 107)","noteIndex":0},"citationItems":[{"id":2193,"uris":["http://zotero.org/users/13901503/items/TK9QBJNS"],"itemData":{"id":2193,"type":"article-journal","abstract":"Altered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033021" w:rsidRPr="00D237ED">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106</w:t>
      </w:r>
      <w:r w:rsidR="00DA5AE8" w:rsidRPr="00DA5AE8">
        <w:rPr>
          <w:rFonts w:eastAsiaTheme="minorHAnsi"/>
          <w14:ligatures w14:val="standardContextual"/>
        </w:rPr>
        <w:t xml:space="preserve">, </w:t>
      </w:r>
      <w:r w:rsidR="00DA5AE8" w:rsidRPr="00DA5AE8">
        <w:rPr>
          <w:rFonts w:eastAsiaTheme="minorHAnsi"/>
          <w:i/>
          <w:iCs/>
          <w14:ligatures w14:val="standardContextual"/>
        </w:rPr>
        <w:t>107</w:t>
      </w:r>
      <w:r w:rsidR="00DA5AE8" w:rsidRPr="00DA5AE8">
        <w:rPr>
          <w:rFonts w:eastAsiaTheme="minorHAnsi"/>
          <w14:ligatures w14:val="standardContextual"/>
        </w:rPr>
        <w:t>)</w:t>
      </w:r>
      <w:r w:rsidR="00033021" w:rsidRPr="00D237ED">
        <w:fldChar w:fldCharType="end"/>
      </w:r>
      <w:r w:rsidR="00033021" w:rsidRPr="00D237ED">
        <w:t xml:space="preserve">, </w:t>
      </w:r>
      <w:r w:rsidR="00033021" w:rsidRPr="00D237ED">
        <w:rPr>
          <w:rStyle w:val="Emphasis"/>
          <w:rFonts w:eastAsiaTheme="majorEastAsia"/>
          <w:i w:val="0"/>
          <w:iCs w:val="0"/>
        </w:rPr>
        <w:t xml:space="preserve">suggesting that their loss </w:t>
      </w:r>
      <w:r w:rsidR="006F07A1">
        <w:rPr>
          <w:rStyle w:val="Emphasis"/>
          <w:rFonts w:eastAsiaTheme="majorEastAsia"/>
          <w:i w:val="0"/>
          <w:iCs w:val="0"/>
        </w:rPr>
        <w:t>may affect</w:t>
      </w:r>
      <w:r w:rsidR="00033021" w:rsidRPr="00D237ED">
        <w:rPr>
          <w:rStyle w:val="Emphasis"/>
          <w:rFonts w:eastAsiaTheme="majorEastAsia"/>
          <w:i w:val="0"/>
          <w:iCs w:val="0"/>
        </w:rPr>
        <w:t xml:space="preserve"> immune tolerance towards gut microbes.</w:t>
      </w:r>
      <w:r w:rsidR="006F07A1">
        <w:rPr>
          <w:rStyle w:val="Emphasis"/>
          <w:rFonts w:eastAsiaTheme="majorEastAsia"/>
          <w:i w:val="0"/>
          <w:iCs w:val="0"/>
        </w:rPr>
        <w:t xml:space="preserve"> </w:t>
      </w:r>
      <w:r w:rsidR="006F07A1" w:rsidRPr="00D237ED">
        <w:rPr>
          <w:rStyle w:val="Emphasis"/>
          <w:rFonts w:eastAsiaTheme="majorEastAsia"/>
          <w:i w:val="0"/>
          <w:iCs w:val="0"/>
        </w:rPr>
        <w:t>Similarly, stronger declines in metabolic pathways that produce anti-inflammatory immunomodulators are also associated with higher neopterin</w:t>
      </w:r>
      <w:r w:rsidR="006F07A1" w:rsidRPr="00D237ED">
        <w:rPr>
          <w:i/>
          <w:iCs/>
        </w:rPr>
        <w:t xml:space="preserve">. </w:t>
      </w:r>
      <w:r w:rsidR="006F07A1" w:rsidRPr="00D237ED">
        <w:t xml:space="preserve">This includes </w:t>
      </w:r>
      <w:r w:rsidR="006F07A1" w:rsidRPr="00D237ED">
        <w:rPr>
          <w:rStyle w:val="Emphasis"/>
          <w:rFonts w:eastAsiaTheme="majorEastAsia"/>
          <w:i w:val="0"/>
          <w:iCs w:val="0"/>
        </w:rPr>
        <w:t xml:space="preserve">the </w:t>
      </w:r>
      <w:r w:rsidR="006F07A1" w:rsidRPr="00D237ED">
        <w:t xml:space="preserve">synthesis of monounsaturated fatty acids </w:t>
      </w:r>
      <w:r w:rsidR="006F07A1" w:rsidRPr="00D237ED">
        <w:fldChar w:fldCharType="begin"/>
      </w:r>
      <w:r w:rsidR="00DA5AE8">
        <w:instrText xml:space="preserve"> ADDIN ZOTERO_ITEM CSL_CITATION {"citationID":"mhDvr5M0","properties":{"formattedCitation":"({\\i{}103})","plainCitation":"(103)","noteIndex":0},"citationItems":[{"id":3176,"uris":["http://zotero.org/users/13901503/items/HTMPX6GE"],"itemData":{"id":3176,"type":"article-journal","abstract":"Monocytes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6F07A1" w:rsidRPr="00D237ED">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103</w:t>
      </w:r>
      <w:r w:rsidR="00DA5AE8" w:rsidRPr="00DA5AE8">
        <w:rPr>
          <w:rFonts w:eastAsiaTheme="minorHAnsi"/>
          <w14:ligatures w14:val="standardContextual"/>
        </w:rPr>
        <w:t>)</w:t>
      </w:r>
      <w:r w:rsidR="006F07A1" w:rsidRPr="00D237ED">
        <w:fldChar w:fldCharType="end"/>
      </w:r>
      <w:r w:rsidR="006F07A1" w:rsidRPr="00D237ED">
        <w:t xml:space="preserve"> and tryptophan, a compound primarily synthesized by obligate anaerobes </w:t>
      </w:r>
      <w:r w:rsidR="006F07A1" w:rsidRPr="00D237ED">
        <w:fldChar w:fldCharType="begin"/>
      </w:r>
      <w:r w:rsidR="00DA5AE8">
        <w:instrText xml:space="preserve"> ADDIN ZOTERO_ITEM CSL_CITATION {"citationID":"0vbqoJY6","properties":{"formattedCitation":"({\\i{}134}, {\\i{}135})","plainCitation":"(134, 135)","noteIndex":0},"citationItems":[{"id":3659,"uris":["http://zotero.org/users/13901503/items/WFUC2V8A"],"itemData":{"id":3659,"type":"article-journal","abstract":"A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6F07A1" w:rsidRPr="00D237ED">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134</w:t>
      </w:r>
      <w:r w:rsidR="00DA5AE8" w:rsidRPr="00DA5AE8">
        <w:rPr>
          <w:rFonts w:eastAsiaTheme="minorHAnsi"/>
          <w14:ligatures w14:val="standardContextual"/>
        </w:rPr>
        <w:t xml:space="preserve">, </w:t>
      </w:r>
      <w:r w:rsidR="00DA5AE8" w:rsidRPr="00DA5AE8">
        <w:rPr>
          <w:rFonts w:eastAsiaTheme="minorHAnsi"/>
          <w:i/>
          <w:iCs/>
          <w14:ligatures w14:val="standardContextual"/>
        </w:rPr>
        <w:t>135</w:t>
      </w:r>
      <w:r w:rsidR="00DA5AE8" w:rsidRPr="00DA5AE8">
        <w:rPr>
          <w:rFonts w:eastAsiaTheme="minorHAnsi"/>
          <w14:ligatures w14:val="standardContextual"/>
        </w:rPr>
        <w:t>)</w:t>
      </w:r>
      <w:r w:rsidR="006F07A1" w:rsidRPr="00D237ED">
        <w:fldChar w:fldCharType="end"/>
      </w:r>
      <w:r w:rsidR="006F07A1" w:rsidRPr="00D237ED">
        <w:t xml:space="preserve"> (Fig 5A &amp; B).</w:t>
      </w:r>
      <w:r w:rsidR="006F07A1">
        <w:t xml:space="preserve"> </w:t>
      </w:r>
      <w:r w:rsidR="004F5B78" w:rsidRPr="00992CB0">
        <w:rPr>
          <w:highlight w:val="green"/>
        </w:rPr>
        <w:t>Conversely,</w:t>
      </w:r>
      <w:r w:rsidR="004F5B78">
        <w:t xml:space="preserve"> </w:t>
      </w:r>
      <w:r w:rsidR="004F5B78">
        <w:rPr>
          <w:highlight w:val="green"/>
        </w:rPr>
        <w:t>h</w:t>
      </w:r>
      <w:r w:rsidR="006F07A1" w:rsidRPr="006F1050">
        <w:rPr>
          <w:highlight w:val="green"/>
        </w:rPr>
        <w:t xml:space="preserve">igh neopterin </w:t>
      </w:r>
      <w:r w:rsidR="00950571" w:rsidRPr="006F1050">
        <w:rPr>
          <w:highlight w:val="green"/>
        </w:rPr>
        <w:t>could also</w:t>
      </w:r>
      <w:r w:rsidR="006F07A1" w:rsidRPr="006F1050">
        <w:rPr>
          <w:highlight w:val="green"/>
        </w:rPr>
        <w:t xml:space="preserve"> contribute to a stronger decline in obligate anaerobes at high temperatures</w:t>
      </w:r>
      <w:r w:rsidR="004F5B78">
        <w:t xml:space="preserve">, </w:t>
      </w:r>
      <w:r w:rsidR="004F5B78" w:rsidRPr="004F5B78">
        <w:rPr>
          <w:highlight w:val="green"/>
        </w:rPr>
        <w:t>likely because increased macrophage activity exacerbates heat-driven redox imbalance</w:t>
      </w:r>
      <w:r w:rsidR="004F5B78">
        <w:t xml:space="preserve">. </w:t>
      </w:r>
      <w:r w:rsidR="00950571">
        <w:t>T</w:t>
      </w:r>
      <w:r w:rsidR="006F07A1" w:rsidRPr="00D237ED">
        <w:t xml:space="preserve">axa that exhibit stronger declines when neopterin is high are primarily from the </w:t>
      </w:r>
      <w:proofErr w:type="spellStart"/>
      <w:r w:rsidR="006F07A1" w:rsidRPr="00D237ED">
        <w:t>Bacteroidota</w:t>
      </w:r>
      <w:proofErr w:type="spellEnd"/>
      <w:r w:rsidR="006F07A1" w:rsidRPr="00D237ED">
        <w:t xml:space="preserve"> and Firmicutes phyla, which include many obligate anaerobes (Fig 4A). We also observed a stronger decline in pathways commonly associated with obligate anaerobes </w:t>
      </w:r>
      <w:r w:rsidR="006F07A1" w:rsidRPr="00D237ED">
        <w:lastRenderedPageBreak/>
        <w:t xml:space="preserve">including complex carb fermentation </w:t>
      </w:r>
      <w:r w:rsidR="006F07A1" w:rsidRPr="00D237ED">
        <w:rPr>
          <w:rStyle w:val="Strong"/>
          <w:rFonts w:eastAsiaTheme="majorEastAsia"/>
          <w:b w:val="0"/>
          <w:bCs w:val="0"/>
        </w:rPr>
        <w:fldChar w:fldCharType="begin"/>
      </w:r>
      <w:r w:rsidR="006F07A1" w:rsidRPr="00D237ED">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6F07A1" w:rsidRPr="00D237ED">
        <w:rPr>
          <w:rStyle w:val="Strong"/>
          <w:rFonts w:eastAsiaTheme="majorEastAsia"/>
          <w:b w:val="0"/>
          <w:bCs w:val="0"/>
        </w:rPr>
        <w:fldChar w:fldCharType="separate"/>
      </w:r>
      <w:r w:rsidR="006F07A1" w:rsidRPr="00D237ED">
        <w:t>(37)</w:t>
      </w:r>
      <w:r w:rsidR="006F07A1" w:rsidRPr="00D237ED">
        <w:rPr>
          <w:rStyle w:val="Strong"/>
          <w:rFonts w:eastAsiaTheme="majorEastAsia"/>
          <w:b w:val="0"/>
          <w:bCs w:val="0"/>
        </w:rPr>
        <w:fldChar w:fldCharType="end"/>
      </w:r>
      <w:r w:rsidR="006F07A1" w:rsidRPr="00D237ED">
        <w:rPr>
          <w:b/>
          <w:bCs/>
        </w:rPr>
        <w:t xml:space="preserve"> </w:t>
      </w:r>
      <w:r w:rsidR="006F07A1" w:rsidRPr="00D237ED">
        <w:t xml:space="preserve">and Gram-positive cell wall biosynthesis characteristic of obligates from the Firmicutes </w:t>
      </w:r>
      <w:r w:rsidR="006F07A1" w:rsidRPr="00D237ED">
        <w:rPr>
          <w:rStyle w:val="Strong"/>
          <w:rFonts w:eastAsiaTheme="majorEastAsia"/>
          <w:b w:val="0"/>
          <w:bCs w:val="0"/>
        </w:rPr>
        <w:t>phylum</w:t>
      </w:r>
      <w:r w:rsidR="006F07A1" w:rsidRPr="00D237ED">
        <w:rPr>
          <w:rStyle w:val="Strong"/>
          <w:rFonts w:eastAsiaTheme="majorEastAsia"/>
        </w:rPr>
        <w:t xml:space="preserve"> </w:t>
      </w:r>
      <w:r w:rsidR="006F07A1" w:rsidRPr="00D237ED">
        <w:rPr>
          <w:rStyle w:val="Strong"/>
          <w:rFonts w:eastAsiaTheme="majorEastAsia"/>
          <w:b w:val="0"/>
          <w:bCs w:val="0"/>
        </w:rPr>
        <w:fldChar w:fldCharType="begin"/>
      </w:r>
      <w:r w:rsidR="00DA5AE8">
        <w:rPr>
          <w:rStyle w:val="Strong"/>
          <w:rFonts w:eastAsiaTheme="majorEastAsia"/>
        </w:rPr>
        <w:instrText xml:space="preserve"> ADDIN ZOTERO_ITEM CSL_CITATION {"citationID":"M9J7IkJO","properties":{"formattedCitation":"({\\i{}111})","plainCitation":"(111)","noteIndex":0},"citationItems":[{"id":3707,"uris":["http://zotero.org/users/13901503/items/DINXISI6"],"itemData":{"id":3707,"type":"article-journal","abstract":"The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6F07A1" w:rsidRPr="00D237ED">
        <w:rPr>
          <w:rStyle w:val="Strong"/>
          <w:rFonts w:eastAsiaTheme="majorEastAsia"/>
          <w:b w:val="0"/>
          <w:bCs w:val="0"/>
        </w:rPr>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111</w:t>
      </w:r>
      <w:r w:rsidR="00DA5AE8" w:rsidRPr="00DA5AE8">
        <w:rPr>
          <w:rFonts w:eastAsiaTheme="minorHAnsi"/>
          <w14:ligatures w14:val="standardContextual"/>
        </w:rPr>
        <w:t>)</w:t>
      </w:r>
      <w:r w:rsidR="006F07A1" w:rsidRPr="00D237ED">
        <w:rPr>
          <w:rStyle w:val="Strong"/>
          <w:rFonts w:eastAsiaTheme="majorEastAsia"/>
          <w:b w:val="0"/>
          <w:bCs w:val="0"/>
        </w:rPr>
        <w:fldChar w:fldCharType="end"/>
      </w:r>
      <w:r w:rsidR="006F07A1" w:rsidRPr="00D237ED">
        <w:rPr>
          <w:rStyle w:val="Strong"/>
          <w:rFonts w:eastAsiaTheme="majorEastAsia"/>
        </w:rPr>
        <w:t>(</w:t>
      </w:r>
      <w:r w:rsidR="006F07A1" w:rsidRPr="00D237ED">
        <w:t>Fig 5A).</w:t>
      </w:r>
      <w:r w:rsidR="00804D7A">
        <w:t xml:space="preserve"> </w:t>
      </w:r>
    </w:p>
    <w:p w14:paraId="06326755" w14:textId="796B332B" w:rsidR="00992CB0" w:rsidRDefault="004F5B78" w:rsidP="00190DE4">
      <w:pPr>
        <w:ind w:firstLine="720"/>
      </w:pPr>
      <w:r>
        <w:t xml:space="preserve">In contrast, facultative anaerobes may be more resilient to these conditions. </w:t>
      </w:r>
      <w:r w:rsidR="00F06D13">
        <w:t xml:space="preserve">For example, </w:t>
      </w:r>
      <w:proofErr w:type="spellStart"/>
      <w:r w:rsidR="00F06D13" w:rsidRPr="00F06D13">
        <w:rPr>
          <w:rStyle w:val="Strong"/>
          <w:rFonts w:eastAsiaTheme="majorEastAsia"/>
          <w:b w:val="0"/>
          <w:bCs w:val="0"/>
          <w:i/>
          <w:iCs/>
        </w:rPr>
        <w:t>Helicobacteraceae</w:t>
      </w:r>
      <w:proofErr w:type="spellEnd"/>
      <w:r w:rsidR="00F06D13" w:rsidRPr="00455FE7">
        <w:t xml:space="preserve"> </w:t>
      </w:r>
      <w:r w:rsidR="00F06D13">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00F06D13" w:rsidRPr="009647C8">
        <w:t xml:space="preserve"> </w:t>
      </w:r>
      <w:r w:rsidR="00F06D13">
        <w:t xml:space="preserve">under oxygen and energy-limited conditions </w:t>
      </w:r>
      <w:r w:rsidR="00F06D13">
        <w:fldChar w:fldCharType="begin"/>
      </w:r>
      <w:r w:rsidR="00DA5AE8">
        <w:instrText xml:space="preserve"> ADDIN ZOTERO_ITEM CSL_CITATION {"citationID":"PvilTIb8","properties":{"formattedCitation":"({\\i{}112}, {\\i{}113})","plainCitation":"(112, 113)","noteIndex":0},"citationItems":[{"id":3666,"uris":["http://zotero.org/users/13901503/items/787C6UND"],"itemData":{"id":3666,"type":"article-journal","abstract":"&lt;p&gt;The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112</w:t>
      </w:r>
      <w:r w:rsidR="00DA5AE8" w:rsidRPr="00DA5AE8">
        <w:rPr>
          <w:rFonts w:eastAsiaTheme="minorHAnsi"/>
          <w14:ligatures w14:val="standardContextual"/>
        </w:rPr>
        <w:t xml:space="preserve">, </w:t>
      </w:r>
      <w:r w:rsidR="00DA5AE8" w:rsidRPr="00DA5AE8">
        <w:rPr>
          <w:rFonts w:eastAsiaTheme="minorHAnsi"/>
          <w:i/>
          <w:iCs/>
          <w14:ligatures w14:val="standardContextual"/>
        </w:rPr>
        <w:t>113</w:t>
      </w:r>
      <w:r w:rsidR="00DA5AE8" w:rsidRPr="00DA5AE8">
        <w:rPr>
          <w:rFonts w:eastAsiaTheme="minorHAnsi"/>
          <w14:ligatures w14:val="standardContextual"/>
        </w:rPr>
        <w:t>)</w:t>
      </w:r>
      <w:r w:rsidR="00F06D13">
        <w:fldChar w:fldCharType="end"/>
      </w:r>
      <w:r w:rsidR="00F06D13">
        <w:t xml:space="preserve">. In addition, redox maintenance pathways such as ubiquinone biosynthesis also increase which helps facultative anaerobes neutralize ROS </w:t>
      </w:r>
      <w:r w:rsidR="00F06D13">
        <w:fldChar w:fldCharType="begin"/>
      </w:r>
      <w:r w:rsidR="00DA5AE8">
        <w:instrText xml:space="preserve"> ADDIN ZOTERO_ITEM CSL_CITATION {"citationID":"Fk5o5734","properties":{"formattedCitation":"({\\i{}114})","plainCitation":"(114)","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114</w:t>
      </w:r>
      <w:r w:rsidR="00DA5AE8" w:rsidRPr="00DA5AE8">
        <w:rPr>
          <w:rFonts w:eastAsiaTheme="minorHAnsi"/>
          <w14:ligatures w14:val="standardContextual"/>
        </w:rPr>
        <w:t>)</w:t>
      </w:r>
      <w:r w:rsidR="00F06D13">
        <w:fldChar w:fldCharType="end"/>
      </w:r>
      <w:r w:rsidR="00F06D13">
        <w:t>.</w:t>
      </w:r>
      <w:r w:rsidR="00F06D13" w:rsidRPr="009647C8">
        <w:t xml:space="preserve"> </w:t>
      </w:r>
      <w:r w:rsidR="00F06D13">
        <w:t xml:space="preserve">Synthesis of enterobacterial common antigen (ECA) also increases, which is characteristic of </w:t>
      </w:r>
      <w:r w:rsidR="00F06D13" w:rsidRPr="00E344E1">
        <w:rPr>
          <w:i/>
          <w:iCs/>
        </w:rPr>
        <w:t>Enterobacteriaceae</w:t>
      </w:r>
      <w:r w:rsidR="00F06D13">
        <w:t xml:space="preserve"> </w:t>
      </w:r>
      <w:r w:rsidR="00F06D13">
        <w:fldChar w:fldCharType="begin"/>
      </w:r>
      <w:r w:rsidR="00DA5AE8">
        <w:instrText xml:space="preserve"> ADDIN ZOTERO_ITEM CSL_CITATION {"citationID":"run2xhG6","properties":{"formattedCitation":"({\\i{}115})","plainCitation":"(115)","noteIndex":0},"citationItems":[{"id":3712,"uris":["http://zotero.org/users/13901503/items/S8VNSY7N"],"itemData":{"id":3712,"type":"article-journal","abstract":"Enterobacterial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115</w:t>
      </w:r>
      <w:r w:rsidR="00DA5AE8" w:rsidRPr="00DA5AE8">
        <w:rPr>
          <w:rFonts w:eastAsiaTheme="minorHAnsi"/>
          <w14:ligatures w14:val="standardContextual"/>
        </w:rPr>
        <w:t>)</w:t>
      </w:r>
      <w:r w:rsidR="00F06D13">
        <w:fldChar w:fldCharType="end"/>
      </w:r>
      <w:r w:rsidR="00F06D13">
        <w:t xml:space="preserve">. </w:t>
      </w:r>
      <w:r w:rsidRPr="004F5B78">
        <w:rPr>
          <w:highlight w:val="green"/>
        </w:rPr>
        <w:t>Conversely,</w:t>
      </w:r>
      <w:r>
        <w:t xml:space="preserve"> </w:t>
      </w:r>
      <w:r>
        <w:rPr>
          <w:highlight w:val="green"/>
        </w:rPr>
        <w:t>a</w:t>
      </w:r>
      <w:r w:rsidR="00F06D13" w:rsidRPr="00F06D13">
        <w:rPr>
          <w:highlight w:val="green"/>
        </w:rPr>
        <w:t>n increase in facultative anaerobes at high temperatures could also affect host immunity.</w:t>
      </w:r>
      <w:r w:rsidR="00F06D13">
        <w:t xml:space="preserve"> For example, lipid A synthesis, which is characteristic of many facultative taxa, increases at higher neopterin and forms pathogen-associated molecular patterns (PAMPs) that are recognized by Toll-like receptors (TLRs) and can initiate pro-inflammatory signaling </w:t>
      </w:r>
      <w:r w:rsidR="00F06D13">
        <w:fldChar w:fldCharType="begin"/>
      </w:r>
      <w:r w:rsidR="00DA5AE8">
        <w:instrText xml:space="preserve"> ADDIN ZOTERO_ITEM CSL_CITATION {"citationID":"EGWGOe9I","properties":{"formattedCitation":"({\\i{}116})","plainCitation":"(116)","noteIndex":0},"citationItems":[{"id":3710,"uris":["http://zotero.org/users/13901503/items/7XBTXUWV"],"itemData":{"id":3710,"type":"article-journal","abstract":"Bacterial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116</w:t>
      </w:r>
      <w:r w:rsidR="00DA5AE8" w:rsidRPr="00DA5AE8">
        <w:rPr>
          <w:rFonts w:eastAsiaTheme="minorHAnsi"/>
          <w14:ligatures w14:val="standardContextual"/>
        </w:rPr>
        <w:t>)</w:t>
      </w:r>
      <w:r w:rsidR="00F06D13">
        <w:fldChar w:fldCharType="end"/>
      </w:r>
      <w:r w:rsidR="00F06D13">
        <w:t xml:space="preserve">(Fig 5D). </w:t>
      </w:r>
      <w:proofErr w:type="spellStart"/>
      <w:r w:rsidR="00F06D13">
        <w:rPr>
          <w:rStyle w:val="Emphasis"/>
          <w:rFonts w:eastAsiaTheme="majorEastAsia"/>
        </w:rPr>
        <w:t>Helicobacteraceae</w:t>
      </w:r>
      <w:proofErr w:type="spellEnd"/>
      <w:r w:rsidR="00F06D13">
        <w:rPr>
          <w:rStyle w:val="Emphasis"/>
          <w:rFonts w:eastAsiaTheme="majorEastAsia"/>
        </w:rPr>
        <w:t xml:space="preserve"> </w:t>
      </w:r>
      <w:r w:rsidR="00F06D13" w:rsidRPr="004F5B78">
        <w:rPr>
          <w:rStyle w:val="Emphasis"/>
          <w:rFonts w:eastAsiaTheme="majorEastAsia"/>
          <w:i w:val="0"/>
          <w:iCs w:val="0"/>
        </w:rPr>
        <w:t>is also associated with</w:t>
      </w:r>
      <w:r w:rsidR="00F06D13">
        <w:rPr>
          <w:rStyle w:val="Emphasis"/>
          <w:rFonts w:eastAsiaTheme="majorEastAsia"/>
        </w:rPr>
        <w:t xml:space="preserve"> </w:t>
      </w:r>
      <w:r w:rsidR="00F06D13">
        <w:t xml:space="preserve">inflammatory diseases and may promote macrophage activation by damaging the gut epithelium and disrupting the mucosal barrier </w:t>
      </w:r>
      <w:r w:rsidR="00F06D13">
        <w:fldChar w:fldCharType="begin"/>
      </w:r>
      <w:r w:rsidR="00DA5AE8">
        <w:instrText xml:space="preserve"> ADDIN ZOTERO_ITEM CSL_CITATION {"citationID":"cZJ2yfWg","properties":{"formattedCitation":"({\\i{}136})","plainCitation":"(136)","noteIndex":0},"citationItems":[{"id":3644,"uris":["http://zotero.org/users/13901503/items/GZ2VQ6TK"],"itemData":{"id":3644,"type":"article-journal","abstract":"Abstract: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F06D13">
        <w:fldChar w:fldCharType="separate"/>
      </w:r>
      <w:r w:rsidR="00DA5AE8" w:rsidRPr="00DA5AE8">
        <w:rPr>
          <w:rFonts w:eastAsiaTheme="minorHAnsi"/>
          <w14:ligatures w14:val="standardContextual"/>
        </w:rPr>
        <w:t>(</w:t>
      </w:r>
      <w:r w:rsidR="00DA5AE8" w:rsidRPr="00DA5AE8">
        <w:rPr>
          <w:rFonts w:eastAsiaTheme="minorHAnsi"/>
          <w:i/>
          <w:iCs/>
          <w14:ligatures w14:val="standardContextual"/>
        </w:rPr>
        <w:t>136</w:t>
      </w:r>
      <w:r w:rsidR="00DA5AE8" w:rsidRPr="00DA5AE8">
        <w:rPr>
          <w:rFonts w:eastAsiaTheme="minorHAnsi"/>
          <w14:ligatures w14:val="standardContextual"/>
        </w:rPr>
        <w:t>)</w:t>
      </w:r>
      <w:r w:rsidR="00F06D13">
        <w:fldChar w:fldCharType="end"/>
      </w:r>
      <w:r w:rsidR="00F06D13">
        <w:t>.</w:t>
      </w:r>
    </w:p>
    <w:p w14:paraId="651073F5" w14:textId="27057278" w:rsidR="00755D6C" w:rsidRDefault="00835F44" w:rsidP="00835F44">
      <w:pPr>
        <w:pStyle w:val="Bibliography"/>
        <w:ind w:left="0" w:firstLine="0"/>
      </w:pPr>
      <w:r>
        <w:rPr>
          <w:highlight w:val="green"/>
        </w:rPr>
        <w:tab/>
      </w:r>
      <w:r w:rsidR="00992CB0" w:rsidRPr="00755D6C">
        <w:rPr>
          <w:highlight w:val="green"/>
        </w:rPr>
        <w:t>Therefore, the decline of obligate anaerobes relative to facultative taxa at high temperatures may</w:t>
      </w:r>
      <w:r w:rsidR="000D1A59">
        <w:rPr>
          <w:highlight w:val="green"/>
        </w:rPr>
        <w:t xml:space="preserve"> </w:t>
      </w:r>
      <w:r w:rsidR="00992CB0" w:rsidRPr="00755D6C">
        <w:rPr>
          <w:highlight w:val="green"/>
        </w:rPr>
        <w:t xml:space="preserve">drive, and be driven by, increased immune activity in the gut. </w:t>
      </w:r>
      <w:r w:rsidR="00190DE4" w:rsidRPr="00755D6C">
        <w:rPr>
          <w:highlight w:val="green"/>
        </w:rPr>
        <w:t>Although we cannot conclude directionality, these findings suggest that gut–immune interactions are an integral component of the gut microbiome’s response to heat and may increase</w:t>
      </w:r>
      <w:r w:rsidR="00EB13C3">
        <w:rPr>
          <w:highlight w:val="green"/>
        </w:rPr>
        <w:t xml:space="preserve"> </w:t>
      </w:r>
      <w:r w:rsidR="00190DE4" w:rsidRPr="00755D6C">
        <w:rPr>
          <w:highlight w:val="green"/>
        </w:rPr>
        <w:t>susceptibility to gut inflammation during prolonged high temperatures.</w:t>
      </w:r>
      <w:r w:rsidR="00755D6C" w:rsidRPr="00755D6C">
        <w:rPr>
          <w:highlight w:val="green"/>
        </w:rPr>
        <w:t xml:space="preserve"> These results may also reflect physiological heat stress in the capuchins, given the observed relationship between taxonomic shifts and immune activity that mirrors experimental findings</w:t>
      </w:r>
      <w:r w:rsidR="00755D6C">
        <w:rPr>
          <w:highlight w:val="green"/>
        </w:rPr>
        <w:t>,</w:t>
      </w:r>
      <w:r w:rsidR="00755D6C" w:rsidRPr="00755D6C">
        <w:rPr>
          <w:highlight w:val="green"/>
        </w:rPr>
        <w:t xml:space="preserve"> and the potential inflammatory consequences</w:t>
      </w:r>
      <w:r w:rsidR="00755D6C">
        <w:rPr>
          <w:highlight w:val="green"/>
        </w:rPr>
        <w:t xml:space="preserve"> of long-term heat exposure</w:t>
      </w:r>
      <w:r w:rsidR="00EB13C3">
        <w:t xml:space="preserve"> </w:t>
      </w:r>
      <w:r w:rsidR="00EB13C3" w:rsidRPr="0032533A">
        <w:rPr>
          <w:highlight w:val="green"/>
        </w:rPr>
        <w:fldChar w:fldCharType="begin"/>
      </w:r>
      <w:r w:rsidR="00EB13C3">
        <w:rPr>
          <w:highlight w:val="green"/>
        </w:rPr>
        <w:instrText xml:space="preserve"> ADDIN ZOTERO_ITEM CSL_CITATION {"citationID":"ClgI24bW","properties":{"formattedCitation":"({\\i{}16}, {\\i{}17}, {\\i{}19}, {\\i{}44})","plainCitation":"(16, 17, 19, 44)","noteIndex":0},"citationItems":[{"id":960,"uris":["http://zotero.org/users/13901503/items/KQS25QFF"],"itemData":{"id":960,"type":"article-journal","abstract":"Temperature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EB13C3" w:rsidRPr="0032533A">
        <w:rPr>
          <w:highlight w:val="green"/>
        </w:rPr>
        <w:fldChar w:fldCharType="separate"/>
      </w:r>
      <w:r w:rsidR="00EB13C3" w:rsidRPr="00EB13C3">
        <w:rPr>
          <w:rFonts w:eastAsiaTheme="minorHAnsi"/>
          <w14:ligatures w14:val="standardContextual"/>
        </w:rPr>
        <w:t>(</w:t>
      </w:r>
      <w:r w:rsidR="00EB13C3" w:rsidRPr="00EB13C3">
        <w:rPr>
          <w:rFonts w:eastAsiaTheme="minorHAnsi"/>
          <w:i/>
          <w:iCs/>
          <w14:ligatures w14:val="standardContextual"/>
        </w:rPr>
        <w:t>16</w:t>
      </w:r>
      <w:r w:rsidR="00EB13C3" w:rsidRPr="00EB13C3">
        <w:rPr>
          <w:rFonts w:eastAsiaTheme="minorHAnsi"/>
          <w14:ligatures w14:val="standardContextual"/>
        </w:rPr>
        <w:t xml:space="preserve">, </w:t>
      </w:r>
      <w:r w:rsidR="00EB13C3" w:rsidRPr="00EB13C3">
        <w:rPr>
          <w:rFonts w:eastAsiaTheme="minorHAnsi"/>
          <w:i/>
          <w:iCs/>
          <w14:ligatures w14:val="standardContextual"/>
        </w:rPr>
        <w:t>17</w:t>
      </w:r>
      <w:r w:rsidR="00EB13C3" w:rsidRPr="00EB13C3">
        <w:rPr>
          <w:rFonts w:eastAsiaTheme="minorHAnsi"/>
          <w14:ligatures w14:val="standardContextual"/>
        </w:rPr>
        <w:t xml:space="preserve">, </w:t>
      </w:r>
      <w:r w:rsidR="00EB13C3" w:rsidRPr="00EB13C3">
        <w:rPr>
          <w:rFonts w:eastAsiaTheme="minorHAnsi"/>
          <w:i/>
          <w:iCs/>
          <w14:ligatures w14:val="standardContextual"/>
        </w:rPr>
        <w:t>19</w:t>
      </w:r>
      <w:r w:rsidR="00EB13C3" w:rsidRPr="00EB13C3">
        <w:rPr>
          <w:rFonts w:eastAsiaTheme="minorHAnsi"/>
          <w14:ligatures w14:val="standardContextual"/>
        </w:rPr>
        <w:t xml:space="preserve">, </w:t>
      </w:r>
      <w:r w:rsidR="00EB13C3" w:rsidRPr="00EB13C3">
        <w:rPr>
          <w:rFonts w:eastAsiaTheme="minorHAnsi"/>
          <w:i/>
          <w:iCs/>
          <w14:ligatures w14:val="standardContextual"/>
        </w:rPr>
        <w:t>44</w:t>
      </w:r>
      <w:r w:rsidR="00EB13C3" w:rsidRPr="00EB13C3">
        <w:rPr>
          <w:rFonts w:eastAsiaTheme="minorHAnsi"/>
          <w14:ligatures w14:val="standardContextual"/>
        </w:rPr>
        <w:t>)</w:t>
      </w:r>
      <w:r w:rsidR="00EB13C3" w:rsidRPr="0032533A">
        <w:rPr>
          <w:highlight w:val="green"/>
        </w:rPr>
        <w:fldChar w:fldCharType="end"/>
      </w:r>
      <w:r>
        <w:rPr>
          <w:highlight w:val="green"/>
        </w:rPr>
        <w:t xml:space="preserve">. </w:t>
      </w:r>
      <w:r w:rsidR="00755D6C" w:rsidRPr="004E622C">
        <w:rPr>
          <w:highlight w:val="green"/>
        </w:rPr>
        <w:t>Future work should incorporate additional immune biomarkers that directly assess inflammation, as neopterin primarily reflects macrophage activation and represents only one of the many mechanisms linking immunity and the gut microbiome.</w:t>
      </w:r>
      <w:r w:rsidR="004E622C" w:rsidRPr="004E622C">
        <w:rPr>
          <w:highlight w:val="green"/>
        </w:rPr>
        <w:t xml:space="preserve"> Continued research should </w:t>
      </w:r>
      <w:r w:rsidR="000D1A59">
        <w:rPr>
          <w:highlight w:val="green"/>
        </w:rPr>
        <w:t xml:space="preserve">also </w:t>
      </w:r>
      <w:r w:rsidR="004E622C" w:rsidRPr="004E622C">
        <w:rPr>
          <w:highlight w:val="green"/>
        </w:rPr>
        <w:t xml:space="preserve">assess whether these effects have measurable impacts on host health and fitness, providing </w:t>
      </w:r>
      <w:commentRangeStart w:id="7"/>
      <w:r w:rsidR="004E622C" w:rsidRPr="004E622C">
        <w:rPr>
          <w:highlight w:val="green"/>
        </w:rPr>
        <w:t>critical insight into how climate warming may influence wildlife through gut–immune pathways.</w:t>
      </w:r>
      <w:commentRangeEnd w:id="7"/>
      <w:r w:rsidR="008C7E15">
        <w:rPr>
          <w:rStyle w:val="CommentReference"/>
        </w:rPr>
        <w:commentReference w:id="7"/>
      </w:r>
    </w:p>
    <w:p w14:paraId="1558F915" w14:textId="77777777" w:rsidR="004E622C" w:rsidRDefault="004E622C" w:rsidP="004E622C">
      <w:r>
        <w:t xml:space="preserve">Conclusion: </w:t>
      </w:r>
    </w:p>
    <w:p w14:paraId="70E3AE2B" w14:textId="5EC3E600" w:rsidR="00E83647" w:rsidRDefault="004E622C" w:rsidP="00E83647">
      <w:r w:rsidRPr="00E83647">
        <w:rPr>
          <w:highlight w:val="green"/>
        </w:rPr>
        <w:t xml:space="preserve">Our results highlight the pivotal role of temperature in shaping the gut microbiome and its relationship with host immunity in a wild primate species. </w:t>
      </w:r>
      <w:r w:rsidR="00E83647" w:rsidRPr="00E83647">
        <w:rPr>
          <w:highlight w:val="green"/>
        </w:rPr>
        <w:t xml:space="preserve">Many of the observed taxonomic and metabolic shifts resemble those characteristic of experimentally induced heat stress, including declines in obligate anaerobes relative to facultative anaerobes, evidence of redox imbalance, and altered immunomodulatory functions, suggesting that the capuchins may be experiencing </w:t>
      </w:r>
      <w:bookmarkStart w:id="8" w:name="_Hlk213234900"/>
      <w:commentRangeStart w:id="9"/>
      <w:r w:rsidR="00E83647" w:rsidRPr="00E83647">
        <w:rPr>
          <w:highlight w:val="green"/>
        </w:rPr>
        <w:t>heat stress that could compromise essential microbiome functions</w:t>
      </w:r>
      <w:bookmarkEnd w:id="8"/>
      <w:commentRangeEnd w:id="9"/>
      <w:r w:rsidR="008C7E15">
        <w:rPr>
          <w:rStyle w:val="CommentReference"/>
        </w:rPr>
        <w:commentReference w:id="9"/>
      </w:r>
      <w:r w:rsidR="00E83647" w:rsidRPr="00E83647">
        <w:rPr>
          <w:highlight w:val="green"/>
        </w:rPr>
        <w:t>. We also found that gut–immune interactions are linked to the gut microbiome’s response to heat and may increase susceptibility to gut inflammation during prolonged high temperatures. These results highlight the crucial role of temperature in shaping essential gut microbiome functions in a wild endotherm species and offer insight into how rising temperatures due to climate change may threaten species resilience through their microbiomes.</w:t>
      </w:r>
      <w:r w:rsidR="00E83647">
        <w:t xml:space="preserve"> </w:t>
      </w:r>
    </w:p>
    <w:p w14:paraId="3B2C5E5E" w14:textId="77777777" w:rsidR="00835F44" w:rsidRDefault="00835F44" w:rsidP="00DE0C60"/>
    <w:p w14:paraId="78BEE7E6" w14:textId="1705236A" w:rsidR="00DE0C60" w:rsidRDefault="00DE0C60" w:rsidP="00DE0C60">
      <w:r>
        <w:lastRenderedPageBreak/>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4ED35DD0" w14:textId="77777777" w:rsidR="00DE0C60" w:rsidRDefault="00DE0C60" w:rsidP="00DE0C60">
      <w:pPr>
        <w:ind w:firstLine="720"/>
      </w:pPr>
    </w:p>
    <w:p w14:paraId="1DC2C6C3" w14:textId="77777777" w:rsidR="00DE0C60" w:rsidRDefault="00DE0C60" w:rsidP="00DE0C60">
      <w:r>
        <w:t xml:space="preserve">Author contributions statement: </w:t>
      </w:r>
    </w:p>
    <w:p w14:paraId="544FE448" w14:textId="77777777" w:rsidR="00DE0C60" w:rsidRDefault="00DE0C60" w:rsidP="00DE0C60">
      <w:r>
        <w:t xml:space="preserve">Conception and design of the manuscript: J.M.L. and A.J.M. </w:t>
      </w:r>
    </w:p>
    <w:p w14:paraId="17F575E6" w14:textId="77777777" w:rsidR="00DE0C60" w:rsidRDefault="00DE0C60" w:rsidP="00DE0C60">
      <w:r>
        <w:t xml:space="preserve">Drafting of the manuscript: J.M.L., A.J.M., and K.R.A. </w:t>
      </w:r>
    </w:p>
    <w:p w14:paraId="3EB8C6EE" w14:textId="77777777" w:rsidR="00DE0C60" w:rsidRDefault="00DE0C60" w:rsidP="00DE0C60">
      <w:r>
        <w:t xml:space="preserve">Statistical analysis and figures: J.M.L. and A.J.M. </w:t>
      </w:r>
    </w:p>
    <w:p w14:paraId="51B47226" w14:textId="77777777" w:rsidR="00DE0C60" w:rsidRDefault="00DE0C60" w:rsidP="00DE0C60">
      <w:r w:rsidRPr="00AA2BE7">
        <w:t xml:space="preserve">R code: J.M.L. </w:t>
      </w:r>
    </w:p>
    <w:p w14:paraId="128C05E8" w14:textId="77777777" w:rsidR="00DE0C60" w:rsidRDefault="00DE0C60" w:rsidP="00DE0C60">
      <w:r>
        <w:t xml:space="preserve">Sample acquisition: J.M.L., </w:t>
      </w:r>
      <w:r w:rsidRPr="00AA2BE7">
        <w:t>A.F.W.</w:t>
      </w:r>
      <w:r>
        <w:t>, and</w:t>
      </w:r>
      <w:r w:rsidRPr="00AA2BE7">
        <w:t xml:space="preserve"> J.C.O.</w:t>
      </w:r>
    </w:p>
    <w:p w14:paraId="20CB508D" w14:textId="77777777" w:rsidR="00DE0C60" w:rsidRDefault="00DE0C60" w:rsidP="00DE0C60">
      <w:r>
        <w:t xml:space="preserve">Sample processing: J.M.L., M.L.S.S., M.E.B., and </w:t>
      </w:r>
      <w:r w:rsidRPr="00AA2BE7">
        <w:t>A.F.W.</w:t>
      </w:r>
    </w:p>
    <w:p w14:paraId="32DDFEB3" w14:textId="77777777" w:rsidR="00DE0C60" w:rsidRDefault="00DE0C60" w:rsidP="00DE0C60">
      <w:r>
        <w:t xml:space="preserve">Study funding: </w:t>
      </w:r>
      <w:r w:rsidRPr="00DC0AF6">
        <w:t>J.M.L., M.E.B., and A.J.M.</w:t>
      </w:r>
    </w:p>
    <w:p w14:paraId="0980EBD4" w14:textId="77777777" w:rsidR="00DE0C60" w:rsidRDefault="00DE0C60" w:rsidP="00DE0C60">
      <w:r>
        <w:t>Field site funding, logistics, and management:</w:t>
      </w:r>
      <w:r w:rsidRPr="00AA2BE7">
        <w:t xml:space="preserve"> M.E.B., J.C.B., T.J.B.</w:t>
      </w:r>
      <w:r>
        <w:t>,</w:t>
      </w:r>
      <w:r w:rsidRPr="00AA2BE7">
        <w:t xml:space="preserve"> and J.C.O.</w:t>
      </w:r>
    </w:p>
    <w:p w14:paraId="31E3CC7A" w14:textId="77777777" w:rsidR="00DE0C60" w:rsidRDefault="00DE0C60" w:rsidP="00DE0C60"/>
    <w:p w14:paraId="0B284176" w14:textId="77777777" w:rsidR="00DE0C60" w:rsidRDefault="00DE0C60" w:rsidP="00DE0C60">
      <w:r>
        <w:t>Competing interests: The authors declare that they have no competing interests.</w:t>
      </w:r>
    </w:p>
    <w:p w14:paraId="2263F6E1" w14:textId="77777777" w:rsidR="00DE0C60" w:rsidRDefault="00DE0C60" w:rsidP="00DE0C60"/>
    <w:p w14:paraId="7002D340" w14:textId="77777777" w:rsidR="00DE0C60" w:rsidRDefault="00DE0C60" w:rsidP="00DE0C60">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376F4353" w14:textId="77777777" w:rsidR="00DE0C60" w:rsidRDefault="00DE0C60" w:rsidP="00DE0C60"/>
    <w:p w14:paraId="42769168" w14:textId="77777777" w:rsidR="00DE0C60" w:rsidRDefault="00DE0C60" w:rsidP="00DE0C60">
      <w:r>
        <w:t xml:space="preserve">Acknowledgements: We would like to thank the Costa Rican institutions </w:t>
      </w:r>
      <w:proofErr w:type="spellStart"/>
      <w:r>
        <w:t>el</w:t>
      </w:r>
      <w:proofErr w:type="spellEnd"/>
      <w:r>
        <w:t xml:space="preserve"> Sistema Nacional</w:t>
      </w:r>
    </w:p>
    <w:p w14:paraId="59B51CD8" w14:textId="77777777" w:rsidR="00DE0C60" w:rsidRDefault="00DE0C60" w:rsidP="00DE0C60">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1420710C" w14:textId="77777777" w:rsidR="00DE0C60" w:rsidRDefault="00DE0C60" w:rsidP="00DE0C60">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3B9DA663" w14:textId="77777777" w:rsidR="00DE0C60" w:rsidRDefault="00DE0C60" w:rsidP="00DE0C60">
      <w:r>
        <w:t>Nacional (UTN) for supporting our research. We acknowledge the Capuchinos de Taboga field</w:t>
      </w:r>
    </w:p>
    <w:p w14:paraId="2A04F351" w14:textId="77777777" w:rsidR="00DE0C60" w:rsidRDefault="00DE0C60" w:rsidP="00DE0C60">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2B8876DB" w14:textId="77777777" w:rsidR="004E622C" w:rsidRDefault="004E622C" w:rsidP="004E622C"/>
    <w:p w14:paraId="7A99D07F" w14:textId="77777777" w:rsidR="005F69FD" w:rsidRDefault="005F69FD" w:rsidP="005F69FD">
      <w:pPr>
        <w:rPr>
          <w:highlight w:val="green"/>
        </w:rPr>
      </w:pPr>
    </w:p>
    <w:p w14:paraId="5403C913" w14:textId="77777777" w:rsidR="00992CB0" w:rsidRPr="00992CB0" w:rsidRDefault="00992CB0" w:rsidP="00992CB0">
      <w:pPr>
        <w:rPr>
          <w:b/>
          <w:bCs/>
        </w:rPr>
      </w:pPr>
    </w:p>
    <w:p w14:paraId="59EB04C7" w14:textId="77777777" w:rsidR="00F06D13" w:rsidRDefault="00F06D13" w:rsidP="006F07A1"/>
    <w:p w14:paraId="79399C58" w14:textId="77777777" w:rsidR="00F06D13" w:rsidRDefault="00F06D13" w:rsidP="006F07A1"/>
    <w:p w14:paraId="711B75C8" w14:textId="77777777" w:rsidR="00F06D13" w:rsidRDefault="00F06D13" w:rsidP="006F07A1"/>
    <w:p w14:paraId="3A169842" w14:textId="77777777" w:rsidR="00F06D13" w:rsidRDefault="00F06D13" w:rsidP="006F07A1"/>
    <w:p w14:paraId="02DCD6D6" w14:textId="77777777" w:rsidR="00F06D13" w:rsidRDefault="00F06D13" w:rsidP="006F07A1"/>
    <w:p w14:paraId="59D54178" w14:textId="77777777" w:rsidR="00DE0C60" w:rsidRDefault="00DE0C60" w:rsidP="00DE0C60">
      <w:r>
        <w:rPr>
          <w:noProof/>
          <w14:ligatures w14:val="standardContextual"/>
        </w:rPr>
        <w:lastRenderedPageBreak/>
        <w:drawing>
          <wp:anchor distT="0" distB="0" distL="114300" distR="114300" simplePos="0" relativeHeight="251659264" behindDoc="0" locked="0" layoutInCell="1" allowOverlap="1" wp14:anchorId="653D73B4" wp14:editId="018CBBCD">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11"/>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t>Figures:</w:t>
      </w:r>
    </w:p>
    <w:p w14:paraId="5B0FA20F" w14:textId="77777777" w:rsidR="000560CC" w:rsidRDefault="000560CC" w:rsidP="002B5CD8">
      <w:pPr>
        <w:ind w:firstLine="720"/>
      </w:pPr>
    </w:p>
    <w:p w14:paraId="7E3E1752" w14:textId="77777777" w:rsidR="00DE0C60" w:rsidRDefault="00DE0C60" w:rsidP="00DE0C60">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181E2D8B" w14:textId="77777777" w:rsidR="000560CC" w:rsidRDefault="000560CC" w:rsidP="00DE0C60">
      <w:pPr>
        <w:ind w:firstLine="720"/>
      </w:pPr>
    </w:p>
    <w:p w14:paraId="2B4E5190" w14:textId="12EC8F1A" w:rsidR="00DE0C60" w:rsidRDefault="00DE0C60" w:rsidP="00DE0C60">
      <w:r>
        <w:rPr>
          <w:noProof/>
          <w14:ligatures w14:val="standardContextual"/>
        </w:rPr>
        <w:lastRenderedPageBreak/>
        <w:drawing>
          <wp:anchor distT="0" distB="0" distL="114300" distR="114300" simplePos="0" relativeHeight="251661312" behindDoc="0" locked="0" layoutInCell="1" allowOverlap="1" wp14:anchorId="0896ABB0" wp14:editId="58278885">
            <wp:simplePos x="0" y="0"/>
            <wp:positionH relativeFrom="column">
              <wp:posOffset>57070</wp:posOffset>
            </wp:positionH>
            <wp:positionV relativeFrom="paragraph">
              <wp:posOffset>18</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12"/>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4DF96433" w14:textId="77777777" w:rsidR="00DE0C60" w:rsidRDefault="00DE0C60" w:rsidP="00DE0C60">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513C5AFB" w14:textId="754D64B6" w:rsidR="00DE0C60" w:rsidRDefault="00DE0C60" w:rsidP="00DE0C60"/>
    <w:p w14:paraId="1AA5F733" w14:textId="0954BD3D" w:rsidR="00DE0C60" w:rsidRDefault="00DE0C60" w:rsidP="00DE0C60"/>
    <w:p w14:paraId="15A2A005" w14:textId="77777777" w:rsidR="004C046C" w:rsidRDefault="004C046C" w:rsidP="00DE0C60"/>
    <w:p w14:paraId="5A697B17" w14:textId="77777777" w:rsidR="004C046C" w:rsidRDefault="004C046C" w:rsidP="00DE0C60"/>
    <w:p w14:paraId="7E8C2BF3" w14:textId="77777777" w:rsidR="004C046C" w:rsidRDefault="004C046C" w:rsidP="00DE0C60"/>
    <w:p w14:paraId="405BF141" w14:textId="77777777" w:rsidR="004C046C" w:rsidRDefault="004C046C" w:rsidP="00DE0C60"/>
    <w:p w14:paraId="0738CC87" w14:textId="77777777" w:rsidR="004C046C" w:rsidRDefault="004C046C" w:rsidP="00DE0C60"/>
    <w:p w14:paraId="2979ACA7" w14:textId="77777777" w:rsidR="004C046C" w:rsidRDefault="004C046C" w:rsidP="00DE0C60"/>
    <w:p w14:paraId="4B6B09A7" w14:textId="77777777" w:rsidR="004C046C" w:rsidRDefault="004C046C" w:rsidP="00DE0C60"/>
    <w:p w14:paraId="0D9D7DB3" w14:textId="77777777" w:rsidR="004C046C" w:rsidRDefault="004C046C" w:rsidP="00DE0C60"/>
    <w:p w14:paraId="10B189A2" w14:textId="77777777" w:rsidR="004C046C" w:rsidRDefault="004C046C" w:rsidP="00DE0C60"/>
    <w:p w14:paraId="57E619EE" w14:textId="77777777" w:rsidR="004C046C" w:rsidRDefault="004C046C" w:rsidP="00DE0C60"/>
    <w:p w14:paraId="3BC7E120" w14:textId="77777777" w:rsidR="004C046C" w:rsidRDefault="004C046C" w:rsidP="00DE0C60"/>
    <w:p w14:paraId="6FA1FA6F" w14:textId="77777777" w:rsidR="004C046C" w:rsidRDefault="004C046C" w:rsidP="00DE0C60"/>
    <w:p w14:paraId="1A7CCA24" w14:textId="77777777" w:rsidR="004C046C" w:rsidRDefault="004C046C" w:rsidP="00DE0C60"/>
    <w:p w14:paraId="44ABFC63" w14:textId="77777777" w:rsidR="004C046C" w:rsidRDefault="004C046C" w:rsidP="00DE0C60"/>
    <w:p w14:paraId="762F97B0" w14:textId="77777777" w:rsidR="004C046C" w:rsidRDefault="004C046C" w:rsidP="00DE0C60"/>
    <w:p w14:paraId="67E8C0B4" w14:textId="77777777" w:rsidR="004C046C" w:rsidRDefault="004C046C" w:rsidP="00DE0C60"/>
    <w:p w14:paraId="11F5BB37" w14:textId="77777777" w:rsidR="004C046C" w:rsidRDefault="004C046C" w:rsidP="00DE0C60"/>
    <w:p w14:paraId="17CC56B0" w14:textId="77777777" w:rsidR="004C046C" w:rsidRDefault="004C046C" w:rsidP="00DE0C60"/>
    <w:p w14:paraId="7A8F7B5B" w14:textId="77777777" w:rsidR="004C046C" w:rsidRDefault="004C046C" w:rsidP="00DE0C60"/>
    <w:p w14:paraId="564FBBCB" w14:textId="77777777" w:rsidR="004C046C" w:rsidRDefault="004C046C" w:rsidP="00DE0C60"/>
    <w:p w14:paraId="0FA7CECD" w14:textId="77777777" w:rsidR="004C046C" w:rsidRDefault="004C046C" w:rsidP="00DE0C60"/>
    <w:p w14:paraId="4D4246D8" w14:textId="77777777" w:rsidR="004C046C" w:rsidRDefault="004C046C" w:rsidP="00DE0C60"/>
    <w:p w14:paraId="014239BD" w14:textId="77777777" w:rsidR="004C046C" w:rsidRDefault="004C046C" w:rsidP="00DE0C60"/>
    <w:p w14:paraId="76AF24DE" w14:textId="77777777" w:rsidR="004C046C" w:rsidRDefault="004C046C" w:rsidP="00DE0C60"/>
    <w:p w14:paraId="2E0F6447" w14:textId="77777777" w:rsidR="004C046C" w:rsidRDefault="004C046C" w:rsidP="00DE0C60"/>
    <w:p w14:paraId="0F31078A" w14:textId="77777777" w:rsidR="004C046C" w:rsidRDefault="004C046C" w:rsidP="00DE0C60"/>
    <w:p w14:paraId="44B57E70" w14:textId="77777777" w:rsidR="004C046C" w:rsidRDefault="004C046C" w:rsidP="00DE0C60"/>
    <w:p w14:paraId="4C2C4396" w14:textId="77777777" w:rsidR="004C046C" w:rsidRDefault="004C046C" w:rsidP="00DE0C60"/>
    <w:p w14:paraId="3095CDEC" w14:textId="77777777" w:rsidR="004C046C" w:rsidRDefault="004C046C" w:rsidP="00DE0C60"/>
    <w:p w14:paraId="5482CC2D" w14:textId="77777777" w:rsidR="004C046C" w:rsidRDefault="004C046C" w:rsidP="00DE0C60"/>
    <w:p w14:paraId="7C52019A" w14:textId="77777777" w:rsidR="004C046C" w:rsidRDefault="004C046C" w:rsidP="00DE0C60"/>
    <w:p w14:paraId="37541B6A" w14:textId="77777777" w:rsidR="004C046C" w:rsidRDefault="004C046C" w:rsidP="00DE0C60"/>
    <w:p w14:paraId="3ADE750B" w14:textId="77777777" w:rsidR="004C046C" w:rsidRDefault="004C046C" w:rsidP="00DE0C60"/>
    <w:p w14:paraId="3C82106F" w14:textId="3BBF1010" w:rsidR="004C046C" w:rsidRDefault="004C046C" w:rsidP="00DE0C60">
      <w:r>
        <w:rPr>
          <w:noProof/>
          <w14:ligatures w14:val="standardContextual"/>
        </w:rPr>
        <w:lastRenderedPageBreak/>
        <w:drawing>
          <wp:anchor distT="0" distB="0" distL="114300" distR="114300" simplePos="0" relativeHeight="251662336" behindDoc="0" locked="0" layoutInCell="1" allowOverlap="1" wp14:anchorId="4A21F636" wp14:editId="6A4307B5">
            <wp:simplePos x="0" y="0"/>
            <wp:positionH relativeFrom="column">
              <wp:posOffset>-103505</wp:posOffset>
            </wp:positionH>
            <wp:positionV relativeFrom="paragraph">
              <wp:posOffset>0</wp:posOffset>
            </wp:positionV>
            <wp:extent cx="5843905" cy="6944995"/>
            <wp:effectExtent l="0" t="0" r="0" b="1905"/>
            <wp:wrapTopAndBottom/>
            <wp:docPr id="61350183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1831" name="Picture 1" descr="A screenshot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43905" cy="6944995"/>
                    </a:xfrm>
                    <a:prstGeom prst="rect">
                      <a:avLst/>
                    </a:prstGeom>
                  </pic:spPr>
                </pic:pic>
              </a:graphicData>
            </a:graphic>
            <wp14:sizeRelH relativeFrom="page">
              <wp14:pctWidth>0</wp14:pctWidth>
            </wp14:sizeRelH>
            <wp14:sizeRelV relativeFrom="page">
              <wp14:pctHeight>0</wp14:pctHeight>
            </wp14:sizeRelV>
          </wp:anchor>
        </w:drawing>
      </w:r>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616C99">
        <w:rPr>
          <w:highlight w:val="green"/>
        </w:rPr>
        <w:t xml:space="preserve">Panel </w:t>
      </w:r>
      <w:r w:rsidRPr="00616C99">
        <w:rPr>
          <w:b/>
          <w:bCs/>
          <w:highlight w:val="green"/>
        </w:rPr>
        <w:t>F</w:t>
      </w:r>
      <w:r w:rsidRPr="00616C99">
        <w:rPr>
          <w:highlight w:val="green"/>
        </w:rPr>
        <w:t xml:space="preserve"> visualizes the effects consistent with experimentally induced heat stress and how they may reinforce one another during extended periods of high temperatures.</w:t>
      </w:r>
      <w:r>
        <w:t xml:space="preserve"> </w:t>
      </w:r>
    </w:p>
    <w:p w14:paraId="4C82FC7D" w14:textId="72AA6965" w:rsidR="004C046C" w:rsidRDefault="00616C99" w:rsidP="00DE0C60">
      <w:r w:rsidRPr="00F46EFD">
        <w:rPr>
          <w:noProof/>
        </w:rPr>
        <w:lastRenderedPageBreak/>
        <w:drawing>
          <wp:anchor distT="0" distB="0" distL="114300" distR="114300" simplePos="0" relativeHeight="251664384" behindDoc="0" locked="0" layoutInCell="1" allowOverlap="1" wp14:anchorId="39D25A7E" wp14:editId="0A895649">
            <wp:simplePos x="0" y="0"/>
            <wp:positionH relativeFrom="column">
              <wp:posOffset>-357643</wp:posOffset>
            </wp:positionH>
            <wp:positionV relativeFrom="paragraph">
              <wp:posOffset>194</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14"/>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73B361D6" w14:textId="74DBA693" w:rsidR="004C046C" w:rsidRDefault="004C046C" w:rsidP="00DE0C60"/>
    <w:p w14:paraId="2B50A60D" w14:textId="77777777" w:rsidR="00616C99" w:rsidRDefault="00616C99" w:rsidP="00616C99">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50A44A6C" w14:textId="10FDC63A" w:rsidR="004C046C" w:rsidRDefault="004C046C" w:rsidP="00DE0C60"/>
    <w:p w14:paraId="693D56F6" w14:textId="77777777" w:rsidR="00616C99" w:rsidRDefault="00616C99" w:rsidP="00DE0C60"/>
    <w:p w14:paraId="7483FAED" w14:textId="77777777" w:rsidR="00616C99" w:rsidRDefault="00616C99" w:rsidP="00DE0C60"/>
    <w:p w14:paraId="20259DDC" w14:textId="77777777" w:rsidR="00616C99" w:rsidRDefault="00616C99" w:rsidP="00DE0C60"/>
    <w:p w14:paraId="6B047681" w14:textId="77777777" w:rsidR="00616C99" w:rsidRDefault="00616C99" w:rsidP="00DE0C60"/>
    <w:p w14:paraId="1BA0E0A8" w14:textId="77777777" w:rsidR="00616C99" w:rsidRDefault="00616C99" w:rsidP="00DE0C60"/>
    <w:p w14:paraId="2E4E2757" w14:textId="77777777" w:rsidR="00616C99" w:rsidRDefault="00616C99" w:rsidP="00DE0C60"/>
    <w:p w14:paraId="6EBE86DB" w14:textId="77777777" w:rsidR="00616C99" w:rsidRDefault="00616C99" w:rsidP="00DE0C60"/>
    <w:p w14:paraId="5C8B6255" w14:textId="77777777" w:rsidR="00616C99" w:rsidRDefault="00616C99" w:rsidP="00DE0C60"/>
    <w:p w14:paraId="6DB3ABAC" w14:textId="42E9572B" w:rsidR="00616C99" w:rsidRDefault="00616C99" w:rsidP="00DE0C60">
      <w:r w:rsidRPr="00F46EFD">
        <w:rPr>
          <w:noProof/>
        </w:rPr>
        <w:lastRenderedPageBreak/>
        <w:drawing>
          <wp:anchor distT="0" distB="0" distL="114300" distR="114300" simplePos="0" relativeHeight="251666432" behindDoc="0" locked="0" layoutInCell="1" allowOverlap="1" wp14:anchorId="781F349F" wp14:editId="489039D9">
            <wp:simplePos x="0" y="0"/>
            <wp:positionH relativeFrom="column">
              <wp:posOffset>-389365</wp:posOffset>
            </wp:positionH>
            <wp:positionV relativeFrom="paragraph">
              <wp:posOffset>524</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5"/>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20CDE9E3" w14:textId="2F96AFF7" w:rsidR="00616C99" w:rsidRDefault="00616C99" w:rsidP="00616C99">
      <w:r w:rsidRPr="008F171B">
        <w:rPr>
          <w:b/>
          <w:bCs/>
        </w:rPr>
        <w:t>Figure 5:</w:t>
      </w:r>
      <w:r>
        <w:t xml:space="preserve"> The relationship between metabolic pathway abundance and temperature plotted across two distinct ranges of neopterin concentration. Pathway abundances are shown as centered log-ratio (</w:t>
      </w:r>
      <w:proofErr w:type="spellStart"/>
      <w:r>
        <w:t>clr</w:t>
      </w:r>
      <w:proofErr w:type="spellEnd"/>
      <w:r>
        <w:t xml:space="preserve">)–transformed values. 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7022A1C3" w14:textId="03060A23" w:rsidR="00616C99" w:rsidRDefault="00616C99" w:rsidP="00DE0C60"/>
    <w:p w14:paraId="46F649B7" w14:textId="77777777" w:rsidR="00616C99" w:rsidRDefault="00616C99" w:rsidP="00DE0C60"/>
    <w:p w14:paraId="3E7B3F9F" w14:textId="77777777" w:rsidR="00616C99" w:rsidRDefault="00616C99" w:rsidP="00DE0C60"/>
    <w:p w14:paraId="779FC7C7" w14:textId="77777777" w:rsidR="00616C99" w:rsidRDefault="00616C99" w:rsidP="00DE0C60"/>
    <w:p w14:paraId="2D4FE44E" w14:textId="77777777" w:rsidR="00616C99" w:rsidRDefault="00616C99" w:rsidP="00DE0C60"/>
    <w:p w14:paraId="4170E290" w14:textId="77777777" w:rsidR="00616C99" w:rsidRDefault="00616C99" w:rsidP="00DE0C60"/>
    <w:p w14:paraId="6BBFB6AE" w14:textId="77777777" w:rsidR="00616C99" w:rsidRDefault="00616C99" w:rsidP="00DE0C60"/>
    <w:p w14:paraId="2EBD2705" w14:textId="77777777" w:rsidR="00616C99" w:rsidRDefault="00616C99" w:rsidP="00DE0C60"/>
    <w:p w14:paraId="6271F15A" w14:textId="77777777" w:rsidR="00616C99" w:rsidRDefault="00616C99" w:rsidP="00DE0C60"/>
    <w:p w14:paraId="186C12D4" w14:textId="77777777" w:rsidR="00616C99" w:rsidRDefault="00616C99" w:rsidP="00DE0C60"/>
    <w:p w14:paraId="7A7773B5" w14:textId="77777777" w:rsidR="00616C99" w:rsidRDefault="00616C99" w:rsidP="00DE0C60"/>
    <w:p w14:paraId="0FD3106A" w14:textId="77777777" w:rsidR="00616C99" w:rsidRDefault="00616C99" w:rsidP="00DE0C60"/>
    <w:p w14:paraId="6453CE08" w14:textId="77777777" w:rsidR="00616C99" w:rsidRDefault="00616C99" w:rsidP="00DE0C60"/>
    <w:p w14:paraId="611BAF70" w14:textId="77777777" w:rsidR="00616C99" w:rsidRDefault="00616C99" w:rsidP="00DE0C60"/>
    <w:p w14:paraId="1D922EAE" w14:textId="77777777" w:rsidR="00616C99" w:rsidRDefault="00616C99" w:rsidP="00DE0C60"/>
    <w:p w14:paraId="308DEFE7" w14:textId="77777777" w:rsidR="00616C99" w:rsidRDefault="00616C99" w:rsidP="00DE0C60"/>
    <w:p w14:paraId="3EAB6088" w14:textId="77777777" w:rsidR="00616C99" w:rsidRDefault="00616C99" w:rsidP="00DE0C60"/>
    <w:p w14:paraId="3EC95806" w14:textId="77777777" w:rsidR="00616C99" w:rsidRDefault="00616C99" w:rsidP="00DE0C60"/>
    <w:p w14:paraId="15AB51B2" w14:textId="77777777" w:rsidR="00616C99" w:rsidRDefault="00616C99" w:rsidP="00DE0C60"/>
    <w:p w14:paraId="3F376102" w14:textId="77777777" w:rsidR="00616C99" w:rsidRDefault="00616C99" w:rsidP="00DE0C60"/>
    <w:p w14:paraId="452A146B" w14:textId="77777777" w:rsidR="00616C99" w:rsidRDefault="00616C99" w:rsidP="00DE0C60"/>
    <w:p w14:paraId="09F71AAC" w14:textId="77777777" w:rsidR="00616C99" w:rsidRDefault="00616C99" w:rsidP="00DE0C60"/>
    <w:p w14:paraId="53E71E98" w14:textId="77777777" w:rsidR="00616C99" w:rsidRDefault="00616C99" w:rsidP="00DE0C60"/>
    <w:p w14:paraId="2301ED74" w14:textId="77777777" w:rsidR="00616C99" w:rsidRDefault="00616C99" w:rsidP="00DE0C60"/>
    <w:p w14:paraId="29DF9BB9" w14:textId="77777777" w:rsidR="00616C99" w:rsidRDefault="00616C99" w:rsidP="00DE0C60"/>
    <w:p w14:paraId="193BFC6E" w14:textId="77777777" w:rsidR="00616C99" w:rsidRDefault="00616C99" w:rsidP="00DE0C60"/>
    <w:p w14:paraId="6A8575F1" w14:textId="77777777" w:rsidR="00616C99" w:rsidRDefault="00616C99" w:rsidP="00DE0C60"/>
    <w:p w14:paraId="38B323BB" w14:textId="77777777" w:rsidR="00616C99" w:rsidRDefault="00616C99" w:rsidP="00DE0C60"/>
    <w:p w14:paraId="69DABB49" w14:textId="77777777" w:rsidR="00616C99" w:rsidRDefault="00616C99" w:rsidP="00DE0C60"/>
    <w:p w14:paraId="1A4A1BCB" w14:textId="77777777" w:rsidR="00616C99" w:rsidRDefault="00616C99" w:rsidP="00DE0C60"/>
    <w:p w14:paraId="602CEA3B" w14:textId="77777777" w:rsidR="00616C99" w:rsidRDefault="00616C99" w:rsidP="00DE0C60"/>
    <w:p w14:paraId="6D89277C" w14:textId="77777777" w:rsidR="00616C99" w:rsidRDefault="00616C99" w:rsidP="00DE0C60"/>
    <w:p w14:paraId="004AD2E2" w14:textId="77777777" w:rsidR="00616C99" w:rsidRDefault="00616C99" w:rsidP="00DE0C60"/>
    <w:p w14:paraId="0BDADD3E" w14:textId="77777777" w:rsidR="00616C99" w:rsidRDefault="00616C99" w:rsidP="00DE0C60"/>
    <w:p w14:paraId="7D2EB7A0" w14:textId="77777777" w:rsidR="00616C99" w:rsidRDefault="00616C99" w:rsidP="00DE0C60"/>
    <w:p w14:paraId="4344D682" w14:textId="77777777" w:rsidR="00616C99" w:rsidRDefault="00616C99" w:rsidP="00DE0C60"/>
    <w:p w14:paraId="0FC3E15C" w14:textId="77777777" w:rsidR="00616C99" w:rsidRDefault="00616C99" w:rsidP="00DE0C60"/>
    <w:p w14:paraId="3FA05868" w14:textId="77777777" w:rsidR="00616C99" w:rsidRDefault="00616C99" w:rsidP="00DE0C60"/>
    <w:p w14:paraId="2BB32638" w14:textId="77777777" w:rsidR="00616C99" w:rsidRDefault="00616C99" w:rsidP="00DE0C60"/>
    <w:p w14:paraId="628856A8" w14:textId="63952109" w:rsidR="00616C99" w:rsidRDefault="002D1193" w:rsidP="00616C99">
      <w:r>
        <w:rPr>
          <w:b/>
          <w:bCs/>
          <w:noProof/>
          <w14:ligatures w14:val="standardContextual"/>
        </w:rPr>
        <w:drawing>
          <wp:anchor distT="0" distB="0" distL="114300" distR="114300" simplePos="0" relativeHeight="251668480" behindDoc="0" locked="0" layoutInCell="1" allowOverlap="1" wp14:anchorId="62EC0EE0" wp14:editId="158AE4D8">
            <wp:simplePos x="0" y="0"/>
            <wp:positionH relativeFrom="column">
              <wp:posOffset>0</wp:posOffset>
            </wp:positionH>
            <wp:positionV relativeFrom="paragraph">
              <wp:posOffset>246877</wp:posOffset>
            </wp:positionV>
            <wp:extent cx="3267075" cy="3267075"/>
            <wp:effectExtent l="0" t="0" r="0" b="0"/>
            <wp:wrapTopAndBottom/>
            <wp:docPr id="5614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238" name="Picture 561467238"/>
                    <pic:cNvPicPr/>
                  </pic:nvPicPr>
                  <pic:blipFill>
                    <a:blip r:embed="rId16"/>
                    <a:stretch>
                      <a:fillRect/>
                    </a:stretch>
                  </pic:blipFill>
                  <pic:spPr>
                    <a:xfrm>
                      <a:off x="0" y="0"/>
                      <a:ext cx="3267075" cy="3267075"/>
                    </a:xfrm>
                    <a:prstGeom prst="rect">
                      <a:avLst/>
                    </a:prstGeom>
                  </pic:spPr>
                </pic:pic>
              </a:graphicData>
            </a:graphic>
            <wp14:sizeRelH relativeFrom="page">
              <wp14:pctWidth>0</wp14:pctWidth>
            </wp14:sizeRelH>
            <wp14:sizeRelV relativeFrom="page">
              <wp14:pctHeight>0</wp14:pctHeight>
            </wp14:sizeRelV>
          </wp:anchor>
        </w:drawing>
      </w:r>
      <w:r w:rsidR="00616C99">
        <w:t xml:space="preserve">Supplemental information: </w:t>
      </w:r>
    </w:p>
    <w:p w14:paraId="6F3EEA37" w14:textId="7117EF53" w:rsidR="002D1193" w:rsidRPr="00CE235A" w:rsidRDefault="002D1193" w:rsidP="002D1193">
      <w:r>
        <w:rPr>
          <w:b/>
          <w:bCs/>
        </w:rPr>
        <w:t>Figure 1</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02D939BA" w14:textId="242ED4F0" w:rsidR="00616C99" w:rsidRDefault="002D1193" w:rsidP="00DE0C60">
      <w:r>
        <w:rPr>
          <w:noProof/>
          <w14:ligatures w14:val="standardContextual"/>
        </w:rPr>
        <w:drawing>
          <wp:anchor distT="0" distB="0" distL="114300" distR="114300" simplePos="0" relativeHeight="251670528" behindDoc="0" locked="0" layoutInCell="1" allowOverlap="1" wp14:anchorId="7FD98B7B" wp14:editId="1D6B99A8">
            <wp:simplePos x="0" y="0"/>
            <wp:positionH relativeFrom="column">
              <wp:posOffset>-221</wp:posOffset>
            </wp:positionH>
            <wp:positionV relativeFrom="paragraph">
              <wp:posOffset>208915</wp:posOffset>
            </wp:positionV>
            <wp:extent cx="3254375" cy="3254375"/>
            <wp:effectExtent l="0" t="0" r="0" b="0"/>
            <wp:wrapTopAndBottom/>
            <wp:docPr id="1206368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8259" name="Picture 1206368259"/>
                    <pic:cNvPicPr/>
                  </pic:nvPicPr>
                  <pic:blipFill>
                    <a:blip r:embed="rId17"/>
                    <a:stretch>
                      <a:fillRect/>
                    </a:stretch>
                  </pic:blipFill>
                  <pic:spPr>
                    <a:xfrm>
                      <a:off x="0" y="0"/>
                      <a:ext cx="3254375" cy="3254375"/>
                    </a:xfrm>
                    <a:prstGeom prst="rect">
                      <a:avLst/>
                    </a:prstGeom>
                  </pic:spPr>
                </pic:pic>
              </a:graphicData>
            </a:graphic>
            <wp14:sizeRelH relativeFrom="page">
              <wp14:pctWidth>0</wp14:pctWidth>
            </wp14:sizeRelH>
            <wp14:sizeRelV relativeFrom="page">
              <wp14:pctHeight>0</wp14:pctHeight>
            </wp14:sizeRelV>
          </wp:anchor>
        </w:drawing>
      </w:r>
    </w:p>
    <w:p w14:paraId="5617DDAE" w14:textId="5E6969A2" w:rsidR="002D1193" w:rsidRDefault="002D1193" w:rsidP="002D1193">
      <w:r>
        <w:rPr>
          <w:b/>
          <w:bCs/>
        </w:rPr>
        <w:t>F</w:t>
      </w:r>
      <w:r w:rsidRPr="00B50231">
        <w:rPr>
          <w:b/>
          <w:bCs/>
        </w:rPr>
        <w:t>ig</w:t>
      </w:r>
      <w:r>
        <w:rPr>
          <w:b/>
          <w:bCs/>
        </w:rPr>
        <w:t>ure</w:t>
      </w:r>
      <w:r w:rsidRPr="00B50231">
        <w:rPr>
          <w:b/>
          <w:bCs/>
        </w:rPr>
        <w:t xml:space="preserve"> </w:t>
      </w:r>
      <w:r>
        <w:rPr>
          <w:b/>
          <w:bCs/>
        </w:rPr>
        <w:t>2</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34280266" w14:textId="67435F7F" w:rsidR="002D1193" w:rsidRDefault="002D1193" w:rsidP="002D1193">
      <w:r w:rsidRPr="00BA6CA3">
        <w:rPr>
          <w:noProof/>
        </w:rPr>
        <w:lastRenderedPageBreak/>
        <w:drawing>
          <wp:anchor distT="0" distB="0" distL="114300" distR="114300" simplePos="0" relativeHeight="251672576" behindDoc="0" locked="0" layoutInCell="1" allowOverlap="1" wp14:anchorId="2FD12753" wp14:editId="3F9D6E20">
            <wp:simplePos x="0" y="0"/>
            <wp:positionH relativeFrom="column">
              <wp:posOffset>-914483</wp:posOffset>
            </wp:positionH>
            <wp:positionV relativeFrom="paragraph">
              <wp:posOffset>358</wp:posOffset>
            </wp:positionV>
            <wp:extent cx="7749540" cy="2331085"/>
            <wp:effectExtent l="0" t="0" r="0" b="5715"/>
            <wp:wrapTopAndBottom/>
            <wp:docPr id="1270372679"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8"/>
                    <a:stretch>
                      <a:fillRect/>
                    </a:stretch>
                  </pic:blipFill>
                  <pic:spPr>
                    <a:xfrm>
                      <a:off x="0" y="0"/>
                      <a:ext cx="7749540" cy="2331085"/>
                    </a:xfrm>
                    <a:prstGeom prst="rect">
                      <a:avLst/>
                    </a:prstGeom>
                  </pic:spPr>
                </pic:pic>
              </a:graphicData>
            </a:graphic>
            <wp14:sizeRelH relativeFrom="page">
              <wp14:pctWidth>0</wp14:pctWidth>
            </wp14:sizeRelH>
            <wp14:sizeRelV relativeFrom="page">
              <wp14:pctHeight>0</wp14:pctHeight>
            </wp14:sizeRelV>
          </wp:anchor>
        </w:drawing>
      </w:r>
      <w:r w:rsidRPr="002E4868">
        <w:rPr>
          <w:b/>
          <w:bCs/>
        </w:rPr>
        <w:t xml:space="preserve">Figure </w:t>
      </w:r>
      <w:r>
        <w:rPr>
          <w:b/>
          <w:bCs/>
        </w:rPr>
        <w:t>3S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1CFA646D" w14:textId="7D2513A9" w:rsidR="002D1193" w:rsidRDefault="002D1193" w:rsidP="00DE0C60">
      <w:r>
        <w:rPr>
          <w:b/>
          <w:bCs/>
          <w:noProof/>
          <w14:ligatures w14:val="standardContextual"/>
        </w:rPr>
        <w:drawing>
          <wp:anchor distT="0" distB="0" distL="114300" distR="114300" simplePos="0" relativeHeight="251673600" behindDoc="0" locked="0" layoutInCell="1" allowOverlap="1" wp14:anchorId="78307B0D" wp14:editId="522FB2E1">
            <wp:simplePos x="0" y="0"/>
            <wp:positionH relativeFrom="column">
              <wp:posOffset>-47708</wp:posOffset>
            </wp:positionH>
            <wp:positionV relativeFrom="paragraph">
              <wp:posOffset>328323</wp:posOffset>
            </wp:positionV>
            <wp:extent cx="5943600" cy="2971800"/>
            <wp:effectExtent l="0" t="0" r="0" b="0"/>
            <wp:wrapTopAndBottom/>
            <wp:docPr id="185859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2786" name="Picture 1858592786"/>
                    <pic:cNvPicPr/>
                  </pic:nvPicPr>
                  <pic:blipFill>
                    <a:blip r:embed="rId19"/>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58058E26" w14:textId="28E6FA61" w:rsidR="002D1193" w:rsidRDefault="002D1193" w:rsidP="002D1193">
      <w:pPr>
        <w:rPr>
          <w:b/>
          <w:bCs/>
        </w:rPr>
      </w:pPr>
    </w:p>
    <w:p w14:paraId="28AF1FA5" w14:textId="763734BE" w:rsidR="002D1193" w:rsidRDefault="002D1193" w:rsidP="002D1193">
      <w:r w:rsidRPr="002E4868">
        <w:rPr>
          <w:b/>
          <w:bCs/>
        </w:rPr>
        <w:t xml:space="preserve">Figure </w:t>
      </w:r>
      <w:r>
        <w:rPr>
          <w:b/>
          <w:bCs/>
        </w:rPr>
        <w:t>4S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EB21635" w14:textId="77777777" w:rsidR="002D1193" w:rsidRDefault="002D1193" w:rsidP="002D1193"/>
    <w:p w14:paraId="127E95AD" w14:textId="77777777" w:rsidR="002D1193" w:rsidRDefault="002D1193" w:rsidP="002D1193"/>
    <w:p w14:paraId="5709388D" w14:textId="631FD98B" w:rsidR="002D1193" w:rsidRDefault="002D1193" w:rsidP="002D1193">
      <w:r>
        <w:rPr>
          <w:b/>
          <w:bCs/>
          <w:noProof/>
          <w14:ligatures w14:val="standardContextual"/>
        </w:rPr>
        <w:lastRenderedPageBreak/>
        <w:drawing>
          <wp:anchor distT="0" distB="0" distL="114300" distR="114300" simplePos="0" relativeHeight="251675648" behindDoc="0" locked="0" layoutInCell="1" allowOverlap="1" wp14:anchorId="465654FC" wp14:editId="50335E8B">
            <wp:simplePos x="0" y="0"/>
            <wp:positionH relativeFrom="column">
              <wp:posOffset>-325589</wp:posOffset>
            </wp:positionH>
            <wp:positionV relativeFrom="paragraph">
              <wp:posOffset>441</wp:posOffset>
            </wp:positionV>
            <wp:extent cx="6586220" cy="4390390"/>
            <wp:effectExtent l="0" t="0" r="5080" b="3810"/>
            <wp:wrapTopAndBottom/>
            <wp:docPr id="172134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9890" name="Picture 1721349890"/>
                    <pic:cNvPicPr/>
                  </pic:nvPicPr>
                  <pic:blipFill>
                    <a:blip r:embed="rId20"/>
                    <a:stretch>
                      <a:fillRect/>
                    </a:stretch>
                  </pic:blipFill>
                  <pic:spPr>
                    <a:xfrm>
                      <a:off x="0" y="0"/>
                      <a:ext cx="6586220" cy="4390390"/>
                    </a:xfrm>
                    <a:prstGeom prst="rect">
                      <a:avLst/>
                    </a:prstGeom>
                  </pic:spPr>
                </pic:pic>
              </a:graphicData>
            </a:graphic>
            <wp14:sizeRelH relativeFrom="page">
              <wp14:pctWidth>0</wp14:pctWidth>
            </wp14:sizeRelH>
            <wp14:sizeRelV relativeFrom="page">
              <wp14:pctHeight>0</wp14:pctHeight>
            </wp14:sizeRelV>
          </wp:anchor>
        </w:drawing>
      </w:r>
    </w:p>
    <w:p w14:paraId="54C6E122" w14:textId="262AC899" w:rsidR="002D1193" w:rsidRDefault="002D1193" w:rsidP="002D1193">
      <w:r w:rsidRPr="00F86AC3">
        <w:rPr>
          <w:b/>
          <w:bCs/>
        </w:rPr>
        <w:t xml:space="preserve">Figure </w:t>
      </w:r>
      <w:r>
        <w:rPr>
          <w:b/>
          <w:bCs/>
        </w:rPr>
        <w:t>5S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059CFADE" w14:textId="1B4C8F3D" w:rsidR="002D1193" w:rsidRDefault="002D1193" w:rsidP="00DE0C60"/>
    <w:p w14:paraId="03786956" w14:textId="77777777" w:rsidR="002D1193" w:rsidRDefault="002D1193" w:rsidP="00DE0C60"/>
    <w:p w14:paraId="383CD732" w14:textId="77777777" w:rsidR="002D1193" w:rsidRDefault="002D1193" w:rsidP="00DE0C60"/>
    <w:p w14:paraId="6EEA4299" w14:textId="77777777" w:rsidR="002D1193" w:rsidRDefault="002D1193" w:rsidP="00DE0C60"/>
    <w:p w14:paraId="10591ADD" w14:textId="77777777" w:rsidR="002D1193" w:rsidRDefault="002D1193" w:rsidP="00DE0C60"/>
    <w:p w14:paraId="4B4749A9" w14:textId="77777777" w:rsidR="002D1193" w:rsidRDefault="002D1193" w:rsidP="00DE0C60"/>
    <w:p w14:paraId="541829A2" w14:textId="77777777" w:rsidR="002D1193" w:rsidRDefault="002D1193" w:rsidP="00DE0C60"/>
    <w:p w14:paraId="7843CC8E" w14:textId="77777777" w:rsidR="002D1193" w:rsidRDefault="002D1193" w:rsidP="002D1193">
      <w:r w:rsidRPr="00AE5F46">
        <w:rPr>
          <w:b/>
          <w:bCs/>
        </w:rPr>
        <w:t>Table</w:t>
      </w:r>
      <w:r>
        <w:rPr>
          <w:b/>
          <w:bCs/>
        </w:rPr>
        <w:t xml:space="preserve"> 1S</w:t>
      </w:r>
      <w:r w:rsidRPr="00AE5F46">
        <w:rPr>
          <w:b/>
          <w:bCs/>
        </w:rPr>
        <w:t>:</w:t>
      </w:r>
      <w:r>
        <w:t xml:space="preserve"> Csv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5C0B5B3F" w14:textId="77777777" w:rsidR="002D1193" w:rsidRPr="00CF0C3C" w:rsidRDefault="002D1193" w:rsidP="002D1193">
      <w:pPr>
        <w:pStyle w:val="ListParagraph"/>
        <w:numPr>
          <w:ilvl w:val="0"/>
          <w:numId w:val="1"/>
        </w:numPr>
      </w:pPr>
      <w:r w:rsidRPr="00CF0C3C">
        <w:t>Column 1: Taxon name</w:t>
      </w:r>
    </w:p>
    <w:p w14:paraId="3AB85CE0" w14:textId="77777777" w:rsidR="002D1193" w:rsidRPr="00CF0C3C" w:rsidRDefault="002D1193" w:rsidP="002D119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4DCFC0CF" w14:textId="77777777" w:rsidR="002D1193" w:rsidRPr="00CF0C3C" w:rsidRDefault="002D1193" w:rsidP="002D1193">
      <w:pPr>
        <w:pStyle w:val="ListParagraph"/>
        <w:numPr>
          <w:ilvl w:val="0"/>
          <w:numId w:val="1"/>
        </w:numPr>
      </w:pPr>
      <w:r w:rsidRPr="00CF0C3C">
        <w:t>Columns 3-7: Standard error and 50% and 95% confidence intervals for the temperature coefficient</w:t>
      </w:r>
    </w:p>
    <w:p w14:paraId="3624B152" w14:textId="77777777" w:rsidR="002D1193" w:rsidRPr="00CF0C3C" w:rsidRDefault="002D1193" w:rsidP="002D1193">
      <w:pPr>
        <w:pStyle w:val="ListParagraph"/>
        <w:numPr>
          <w:ilvl w:val="0"/>
          <w:numId w:val="1"/>
        </w:numPr>
      </w:pPr>
      <w:r w:rsidRPr="00CF0C3C">
        <w:t>Columns 8-9: Taxonomic classification</w:t>
      </w:r>
    </w:p>
    <w:p w14:paraId="38B374C0" w14:textId="77777777" w:rsidR="002D1193" w:rsidRPr="00CF0C3C" w:rsidRDefault="002D1193" w:rsidP="002D1193">
      <w:pPr>
        <w:pStyle w:val="ListParagraph"/>
        <w:numPr>
          <w:ilvl w:val="0"/>
          <w:numId w:val="1"/>
        </w:numPr>
      </w:pPr>
      <w:r w:rsidRPr="00CF0C3C">
        <w:t xml:space="preserve">Column 10: Model weight for the </w:t>
      </w:r>
      <w:proofErr w:type="spellStart"/>
      <w:r w:rsidRPr="00CF0C3C">
        <w:rPr>
          <w:i/>
          <w:iCs/>
        </w:rPr>
        <w:t>m_full</w:t>
      </w:r>
      <w:proofErr w:type="spellEnd"/>
      <w:r w:rsidRPr="00CF0C3C">
        <w:t xml:space="preserve"> model</w:t>
      </w:r>
    </w:p>
    <w:p w14:paraId="5792BB0C" w14:textId="77777777" w:rsidR="002D1193" w:rsidRPr="00CF0C3C" w:rsidRDefault="002D1193" w:rsidP="002D1193">
      <w:pPr>
        <w:pStyle w:val="ListParagraph"/>
        <w:numPr>
          <w:ilvl w:val="0"/>
          <w:numId w:val="1"/>
        </w:numPr>
      </w:pPr>
      <w:r w:rsidRPr="00CF0C3C">
        <w:t>Column 11: Direction of the temperature coefficient (positive or negative)</w:t>
      </w:r>
    </w:p>
    <w:p w14:paraId="331E9846" w14:textId="77777777" w:rsidR="002D1193" w:rsidRPr="00CF0C3C" w:rsidRDefault="002D1193" w:rsidP="002D1193">
      <w:pPr>
        <w:pStyle w:val="ListParagraph"/>
        <w:numPr>
          <w:ilvl w:val="0"/>
          <w:numId w:val="1"/>
        </w:numPr>
      </w:pPr>
      <w:r w:rsidRPr="00CF0C3C">
        <w:t>Column 12: Classification of the taxon as temperature-sensitive (model weight &gt; 0.5) or neutral (model weight ≤ 0.5)</w:t>
      </w:r>
    </w:p>
    <w:p w14:paraId="37C471E6" w14:textId="77777777" w:rsidR="002D1193" w:rsidRDefault="002D1193" w:rsidP="002D1193"/>
    <w:p w14:paraId="06524E70" w14:textId="77777777" w:rsidR="002D1193" w:rsidRDefault="002D1193" w:rsidP="002D1193">
      <w:r w:rsidRPr="00AE5F46">
        <w:rPr>
          <w:b/>
          <w:bCs/>
        </w:rPr>
        <w:t>Table</w:t>
      </w:r>
      <w:r>
        <w:rPr>
          <w:b/>
          <w:bCs/>
        </w:rPr>
        <w:t xml:space="preserve"> 2S</w:t>
      </w:r>
      <w:r w:rsidRPr="00AE5F46">
        <w:rPr>
          <w:b/>
          <w:bCs/>
        </w:rPr>
        <w:t>:</w:t>
      </w:r>
      <w:r>
        <w:t xml:space="preserve"> Csv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1E97D5E9" w14:textId="77777777" w:rsidR="002D1193" w:rsidRPr="00CF0C3C" w:rsidRDefault="002D1193" w:rsidP="002D1193">
      <w:pPr>
        <w:pStyle w:val="ListParagraph"/>
        <w:numPr>
          <w:ilvl w:val="0"/>
          <w:numId w:val="1"/>
        </w:numPr>
      </w:pPr>
      <w:r w:rsidRPr="00CF0C3C">
        <w:t xml:space="preserve">Column 1: pathway </w:t>
      </w:r>
      <w:proofErr w:type="spellStart"/>
      <w:r w:rsidRPr="00CF0C3C">
        <w:t>Metacyc</w:t>
      </w:r>
      <w:proofErr w:type="spellEnd"/>
      <w:r w:rsidRPr="00CF0C3C">
        <w:t xml:space="preserve"> ID</w:t>
      </w:r>
    </w:p>
    <w:p w14:paraId="41F62077" w14:textId="77777777" w:rsidR="002D1193" w:rsidRPr="00CF0C3C" w:rsidRDefault="002D1193" w:rsidP="002D119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1A484063" w14:textId="77777777" w:rsidR="002D1193" w:rsidRPr="00CF0C3C" w:rsidRDefault="002D1193" w:rsidP="002D1193">
      <w:pPr>
        <w:pStyle w:val="ListParagraph"/>
        <w:numPr>
          <w:ilvl w:val="0"/>
          <w:numId w:val="1"/>
        </w:numPr>
      </w:pPr>
      <w:r w:rsidRPr="00CF0C3C">
        <w:t>Columns 3–7: Standard error and 50% and 95% confidence intervals for the temperature coefficient</w:t>
      </w:r>
    </w:p>
    <w:p w14:paraId="60DAD08F" w14:textId="77777777" w:rsidR="002D1193" w:rsidRPr="00CF0C3C" w:rsidRDefault="002D1193" w:rsidP="002D1193">
      <w:pPr>
        <w:pStyle w:val="ListParagraph"/>
        <w:numPr>
          <w:ilvl w:val="0"/>
          <w:numId w:val="1"/>
        </w:numPr>
      </w:pPr>
      <w:r w:rsidRPr="00CF0C3C">
        <w:t>Column 8: pathway name</w:t>
      </w:r>
    </w:p>
    <w:p w14:paraId="457FD970" w14:textId="77777777" w:rsidR="002D1193" w:rsidRPr="00CF0C3C" w:rsidRDefault="002D1193" w:rsidP="002D1193">
      <w:pPr>
        <w:pStyle w:val="ListParagraph"/>
        <w:numPr>
          <w:ilvl w:val="0"/>
          <w:numId w:val="1"/>
        </w:numPr>
      </w:pPr>
      <w:r w:rsidRPr="00CF0C3C">
        <w:t xml:space="preserve">Column 9: Model weight for the </w:t>
      </w:r>
      <w:proofErr w:type="spellStart"/>
      <w:r w:rsidRPr="00CF0C3C">
        <w:t>m_full</w:t>
      </w:r>
      <w:proofErr w:type="spellEnd"/>
      <w:r w:rsidRPr="00CF0C3C">
        <w:t xml:space="preserve"> model</w:t>
      </w:r>
    </w:p>
    <w:p w14:paraId="54C56F35" w14:textId="77777777" w:rsidR="002D1193" w:rsidRPr="00CF0C3C" w:rsidRDefault="002D1193" w:rsidP="002D1193">
      <w:pPr>
        <w:pStyle w:val="ListParagraph"/>
        <w:numPr>
          <w:ilvl w:val="0"/>
          <w:numId w:val="1"/>
        </w:numPr>
      </w:pPr>
      <w:r w:rsidRPr="00CF0C3C">
        <w:t>Column 10: Direction of the temperature coefficient (positive or negative)</w:t>
      </w:r>
    </w:p>
    <w:p w14:paraId="35483612" w14:textId="77777777" w:rsidR="002D1193" w:rsidRPr="00CF0C3C" w:rsidRDefault="002D1193" w:rsidP="002D1193">
      <w:pPr>
        <w:pStyle w:val="ListParagraph"/>
        <w:numPr>
          <w:ilvl w:val="0"/>
          <w:numId w:val="1"/>
        </w:numPr>
      </w:pPr>
      <w:r w:rsidRPr="00CF0C3C">
        <w:t>Column 12: Classification of the pathway as temperature-sensitive (model weight &gt; 0.5) or neutral (model weight ≤ 0.5)</w:t>
      </w:r>
    </w:p>
    <w:p w14:paraId="2E4F2702" w14:textId="77777777" w:rsidR="002D1193" w:rsidRPr="00CF0C3C" w:rsidRDefault="002D1193" w:rsidP="002D1193">
      <w:pPr>
        <w:pStyle w:val="ListParagraph"/>
        <w:numPr>
          <w:ilvl w:val="0"/>
          <w:numId w:val="1"/>
        </w:numPr>
      </w:pPr>
      <w:r w:rsidRPr="00CF0C3C">
        <w:t>Columns 13-14: Functional category assignments for each pathway, or an indication if the pathway was not assigned to any functional category.</w:t>
      </w:r>
    </w:p>
    <w:p w14:paraId="71056D6C" w14:textId="77777777" w:rsidR="002D1193" w:rsidRDefault="002D1193" w:rsidP="00DE0C60"/>
    <w:p w14:paraId="69AE0F01" w14:textId="77777777" w:rsidR="002D1193" w:rsidRDefault="002D1193" w:rsidP="002D1193">
      <w:r w:rsidRPr="00CF0C3C">
        <w:rPr>
          <w:b/>
          <w:bCs/>
        </w:rPr>
        <w:t>Table 3S:</w:t>
      </w:r>
      <w:r>
        <w:t xml:space="preserve"> Csv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558294C5" w14:textId="77777777" w:rsidR="002D1193" w:rsidRPr="00CF0C3C" w:rsidRDefault="002D1193" w:rsidP="002D1193">
      <w:pPr>
        <w:pStyle w:val="ListParagraph"/>
        <w:numPr>
          <w:ilvl w:val="0"/>
          <w:numId w:val="2"/>
        </w:numPr>
        <w:spacing w:after="160" w:line="278" w:lineRule="auto"/>
      </w:pPr>
      <w:r w:rsidRPr="00CF0C3C">
        <w:t>Column 1: Taxon name</w:t>
      </w:r>
    </w:p>
    <w:p w14:paraId="0D9229A1" w14:textId="77777777" w:rsidR="002D1193" w:rsidRPr="00CF0C3C" w:rsidRDefault="002D1193" w:rsidP="002D1193">
      <w:pPr>
        <w:pStyle w:val="ListParagraph"/>
        <w:numPr>
          <w:ilvl w:val="0"/>
          <w:numId w:val="2"/>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3B53B3B8" w14:textId="77777777" w:rsidR="002D1193" w:rsidRPr="00CF0C3C" w:rsidRDefault="002D1193" w:rsidP="002D1193">
      <w:pPr>
        <w:pStyle w:val="ListParagraph"/>
        <w:numPr>
          <w:ilvl w:val="0"/>
          <w:numId w:val="2"/>
        </w:numPr>
        <w:spacing w:after="160" w:line="278" w:lineRule="auto"/>
      </w:pPr>
      <w:r w:rsidRPr="00CF0C3C">
        <w:t>Columns 3-7: Standard error and 50% and 95% confidence intervals for the interaction coefficient</w:t>
      </w:r>
    </w:p>
    <w:p w14:paraId="15227675" w14:textId="77777777" w:rsidR="002D1193" w:rsidRPr="00CF0C3C" w:rsidRDefault="002D1193" w:rsidP="002D1193">
      <w:pPr>
        <w:pStyle w:val="ListParagraph"/>
        <w:numPr>
          <w:ilvl w:val="0"/>
          <w:numId w:val="2"/>
        </w:numPr>
        <w:spacing w:after="160" w:line="278" w:lineRule="auto"/>
      </w:pPr>
      <w:r w:rsidRPr="00CF0C3C">
        <w:t>Columns 8-9: Taxonomic classification</w:t>
      </w:r>
    </w:p>
    <w:p w14:paraId="66272D76" w14:textId="77777777" w:rsidR="002D1193" w:rsidRPr="00CF0C3C" w:rsidRDefault="002D1193" w:rsidP="002D1193">
      <w:pPr>
        <w:pStyle w:val="ListParagraph"/>
        <w:numPr>
          <w:ilvl w:val="0"/>
          <w:numId w:val="2"/>
        </w:numPr>
        <w:spacing w:after="160" w:line="278" w:lineRule="auto"/>
      </w:pPr>
      <w:r w:rsidRPr="00CF0C3C">
        <w:lastRenderedPageBreak/>
        <w:t xml:space="preserve">Column 10: Model weight for the </w:t>
      </w:r>
      <w:proofErr w:type="spellStart"/>
      <w:r w:rsidRPr="00CF0C3C">
        <w:t>m_immune_full</w:t>
      </w:r>
      <w:proofErr w:type="spellEnd"/>
      <w:r w:rsidRPr="00CF0C3C">
        <w:t xml:space="preserve"> model</w:t>
      </w:r>
    </w:p>
    <w:p w14:paraId="317ECD86" w14:textId="6926EE11" w:rsidR="002D1193" w:rsidRDefault="002D1193" w:rsidP="002D1193">
      <w:pPr>
        <w:pStyle w:val="ListParagraph"/>
        <w:numPr>
          <w:ilvl w:val="0"/>
          <w:numId w:val="2"/>
        </w:numPr>
        <w:spacing w:after="160" w:line="278" w:lineRule="auto"/>
      </w:pPr>
      <w:r w:rsidRPr="00CF0C3C">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89F4A38" w14:textId="77777777" w:rsidR="002D1193" w:rsidRDefault="002D1193" w:rsidP="002D1193">
      <w:r w:rsidRPr="00CF0C3C">
        <w:rPr>
          <w:b/>
          <w:bCs/>
        </w:rPr>
        <w:t>Table 4S:</w:t>
      </w:r>
      <w:r>
        <w:t xml:space="preserve"> Csv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41EF3D8E" w14:textId="77777777" w:rsidR="002D1193" w:rsidRPr="00CF0C3C" w:rsidRDefault="002D1193" w:rsidP="002D1193">
      <w:pPr>
        <w:pStyle w:val="ListParagraph"/>
        <w:numPr>
          <w:ilvl w:val="0"/>
          <w:numId w:val="3"/>
        </w:numPr>
        <w:spacing w:after="160" w:line="278" w:lineRule="auto"/>
      </w:pPr>
      <w:r w:rsidRPr="00CF0C3C">
        <w:t xml:space="preserve">Column 1: pathway </w:t>
      </w:r>
      <w:proofErr w:type="spellStart"/>
      <w:r w:rsidRPr="00CF0C3C">
        <w:t>Metacyc</w:t>
      </w:r>
      <w:proofErr w:type="spellEnd"/>
      <w:r w:rsidRPr="00CF0C3C">
        <w:t xml:space="preserve"> ID</w:t>
      </w:r>
    </w:p>
    <w:p w14:paraId="12194A0E" w14:textId="77777777" w:rsidR="002D1193" w:rsidRPr="00CF0C3C" w:rsidRDefault="002D1193" w:rsidP="002D1193">
      <w:pPr>
        <w:pStyle w:val="ListParagraph"/>
        <w:numPr>
          <w:ilvl w:val="0"/>
          <w:numId w:val="3"/>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F3AA9EA" w14:textId="77777777" w:rsidR="002D1193" w:rsidRPr="00CF0C3C" w:rsidRDefault="002D1193" w:rsidP="002D1193">
      <w:pPr>
        <w:pStyle w:val="ListParagraph"/>
        <w:numPr>
          <w:ilvl w:val="0"/>
          <w:numId w:val="3"/>
        </w:numPr>
        <w:spacing w:after="160" w:line="278" w:lineRule="auto"/>
      </w:pPr>
      <w:r w:rsidRPr="00CF0C3C">
        <w:t>Columns 3-7: Standard error and 50% and 95% confidence intervals for the interaction coefficient</w:t>
      </w:r>
    </w:p>
    <w:p w14:paraId="38956401" w14:textId="77777777" w:rsidR="002D1193" w:rsidRPr="00CF0C3C" w:rsidRDefault="002D1193" w:rsidP="002D1193">
      <w:pPr>
        <w:pStyle w:val="ListParagraph"/>
        <w:numPr>
          <w:ilvl w:val="0"/>
          <w:numId w:val="3"/>
        </w:numPr>
        <w:spacing w:after="160" w:line="278" w:lineRule="auto"/>
      </w:pPr>
      <w:r w:rsidRPr="00CF0C3C">
        <w:t>Columns 8: Pathway name</w:t>
      </w:r>
    </w:p>
    <w:p w14:paraId="562A46B7" w14:textId="77777777" w:rsidR="002D1193" w:rsidRPr="00CF0C3C" w:rsidRDefault="002D1193" w:rsidP="002D1193">
      <w:pPr>
        <w:pStyle w:val="ListParagraph"/>
        <w:numPr>
          <w:ilvl w:val="0"/>
          <w:numId w:val="3"/>
        </w:numPr>
        <w:spacing w:after="160" w:line="278" w:lineRule="auto"/>
      </w:pPr>
      <w:r w:rsidRPr="00CF0C3C">
        <w:t xml:space="preserve">Column 9: Model weight for the </w:t>
      </w:r>
      <w:proofErr w:type="spellStart"/>
      <w:r w:rsidRPr="00CF0C3C">
        <w:t>m_immune_full</w:t>
      </w:r>
      <w:proofErr w:type="spellEnd"/>
      <w:r w:rsidRPr="00CF0C3C">
        <w:t xml:space="preserve"> model</w:t>
      </w:r>
    </w:p>
    <w:p w14:paraId="45585B29" w14:textId="3CBE4E35" w:rsidR="002D1193" w:rsidRDefault="002D1193" w:rsidP="002D1193">
      <w:r w:rsidRPr="00CF0C3C">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r w:rsidR="009E5AD7">
        <w:t>.</w:t>
      </w:r>
    </w:p>
    <w:p w14:paraId="6C67F461" w14:textId="77777777" w:rsidR="009E5AD7" w:rsidRDefault="009E5AD7" w:rsidP="002D1193"/>
    <w:p w14:paraId="6E9C8ED2" w14:textId="77777777" w:rsidR="009E5AD7" w:rsidRDefault="009E5AD7" w:rsidP="002D1193"/>
    <w:p w14:paraId="1F6A6C71" w14:textId="77777777" w:rsidR="009E5AD7" w:rsidRDefault="009E5AD7" w:rsidP="002D1193"/>
    <w:p w14:paraId="2E5DAEA2" w14:textId="77777777" w:rsidR="009E5AD7" w:rsidRDefault="009E5AD7" w:rsidP="002D1193"/>
    <w:p w14:paraId="5D8174CF" w14:textId="77777777" w:rsidR="009E5AD7" w:rsidRDefault="009E5AD7" w:rsidP="002D1193"/>
    <w:p w14:paraId="068006E3" w14:textId="77777777" w:rsidR="009E5AD7" w:rsidRDefault="009E5AD7" w:rsidP="002D1193"/>
    <w:p w14:paraId="02298D08" w14:textId="77777777" w:rsidR="009E5AD7" w:rsidRDefault="009E5AD7" w:rsidP="002D1193"/>
    <w:p w14:paraId="0FDCDD1C" w14:textId="77777777" w:rsidR="009E5AD7" w:rsidRDefault="009E5AD7" w:rsidP="002D1193"/>
    <w:p w14:paraId="5A12B9E1" w14:textId="77777777" w:rsidR="009E5AD7" w:rsidRDefault="009E5AD7" w:rsidP="002D1193"/>
    <w:p w14:paraId="7876FAF1" w14:textId="77777777" w:rsidR="009E5AD7" w:rsidRDefault="009E5AD7" w:rsidP="002D1193"/>
    <w:p w14:paraId="3626897D" w14:textId="77777777" w:rsidR="009E5AD7" w:rsidRDefault="009E5AD7" w:rsidP="002D1193"/>
    <w:p w14:paraId="513CDBA4" w14:textId="77777777" w:rsidR="009E5AD7" w:rsidRDefault="009E5AD7" w:rsidP="002D1193"/>
    <w:p w14:paraId="22519B6C" w14:textId="77777777" w:rsidR="009E5AD7" w:rsidRDefault="009E5AD7" w:rsidP="002D1193"/>
    <w:p w14:paraId="1903B321" w14:textId="77777777" w:rsidR="009E5AD7" w:rsidRDefault="009E5AD7" w:rsidP="002D1193"/>
    <w:p w14:paraId="7F52B203" w14:textId="77777777" w:rsidR="009E5AD7" w:rsidRDefault="009E5AD7" w:rsidP="002D1193"/>
    <w:p w14:paraId="4397FEA5" w14:textId="77777777" w:rsidR="009E5AD7" w:rsidRDefault="009E5AD7" w:rsidP="002D1193"/>
    <w:p w14:paraId="572937B2" w14:textId="77777777" w:rsidR="009E5AD7" w:rsidRDefault="009E5AD7" w:rsidP="002D1193"/>
    <w:p w14:paraId="40143878" w14:textId="77777777" w:rsidR="009E5AD7" w:rsidRDefault="009E5AD7" w:rsidP="002D1193"/>
    <w:p w14:paraId="0F65DEA5" w14:textId="77777777" w:rsidR="009E5AD7" w:rsidRDefault="009E5AD7" w:rsidP="002D1193"/>
    <w:p w14:paraId="74239D46" w14:textId="77777777" w:rsidR="009E5AD7" w:rsidRDefault="009E5AD7" w:rsidP="002D1193"/>
    <w:p w14:paraId="09E78B63" w14:textId="77777777" w:rsidR="009E5AD7" w:rsidRDefault="009E5AD7" w:rsidP="002D1193"/>
    <w:p w14:paraId="49949E49" w14:textId="77777777" w:rsidR="009E5AD7" w:rsidRDefault="009E5AD7" w:rsidP="002D1193"/>
    <w:p w14:paraId="5B646758" w14:textId="07B75C9E" w:rsidR="009E5AD7" w:rsidRDefault="009E5AD7" w:rsidP="002D1193">
      <w:r>
        <w:lastRenderedPageBreak/>
        <w:t xml:space="preserve">References: </w:t>
      </w:r>
    </w:p>
    <w:p w14:paraId="6D8E95CE" w14:textId="77777777" w:rsidR="009E5AD7" w:rsidRDefault="009E5AD7" w:rsidP="002D1193"/>
    <w:p w14:paraId="5F1B489A" w14:textId="77777777" w:rsidR="00EB13C3" w:rsidRPr="00EB13C3" w:rsidRDefault="009E5AD7" w:rsidP="00EB13C3">
      <w:pPr>
        <w:pStyle w:val="Bibliography"/>
        <w:rPr>
          <w:rFonts w:eastAsiaTheme="minorHAnsi"/>
        </w:rPr>
      </w:pPr>
      <w:r>
        <w:fldChar w:fldCharType="begin"/>
      </w:r>
      <w:r>
        <w:instrText xml:space="preserve"> ADDIN ZOTERO_BIBL {"uncited":[],"omitted":[],"custom":[]} CSL_BIBLIOGRAPHY </w:instrText>
      </w:r>
      <w:r>
        <w:fldChar w:fldCharType="separate"/>
      </w:r>
      <w:r w:rsidR="00EB13C3" w:rsidRPr="00EB13C3">
        <w:rPr>
          <w:rFonts w:eastAsiaTheme="minorHAnsi"/>
        </w:rPr>
        <w:t xml:space="preserve">1. </w:t>
      </w:r>
      <w:r w:rsidR="00EB13C3" w:rsidRPr="00EB13C3">
        <w:rPr>
          <w:rFonts w:eastAsiaTheme="minorHAnsi"/>
        </w:rPr>
        <w:tab/>
        <w:t xml:space="preserve">C. Bellard, C. Bertelsmeier, P. Leadley, W. Thuiller, F. Courchamp, Impacts of climate change on the future of biodiversity. </w:t>
      </w:r>
      <w:r w:rsidR="00EB13C3" w:rsidRPr="00EB13C3">
        <w:rPr>
          <w:rFonts w:eastAsiaTheme="minorHAnsi"/>
          <w:i/>
          <w:iCs/>
        </w:rPr>
        <w:t>Ecology Letters</w:t>
      </w:r>
      <w:r w:rsidR="00EB13C3" w:rsidRPr="00EB13C3">
        <w:rPr>
          <w:rFonts w:eastAsiaTheme="minorHAnsi"/>
        </w:rPr>
        <w:t xml:space="preserve"> </w:t>
      </w:r>
      <w:r w:rsidR="00EB13C3" w:rsidRPr="00EB13C3">
        <w:rPr>
          <w:rFonts w:eastAsiaTheme="minorHAnsi"/>
          <w:b/>
          <w:bCs/>
        </w:rPr>
        <w:t>15</w:t>
      </w:r>
      <w:r w:rsidR="00EB13C3" w:rsidRPr="00EB13C3">
        <w:rPr>
          <w:rFonts w:eastAsiaTheme="minorHAnsi"/>
        </w:rPr>
        <w:t>, 365–377 (2012).</w:t>
      </w:r>
    </w:p>
    <w:p w14:paraId="34BD16D6" w14:textId="77777777" w:rsidR="00EB13C3" w:rsidRPr="00EB13C3" w:rsidRDefault="00EB13C3" w:rsidP="00EB13C3">
      <w:pPr>
        <w:pStyle w:val="Bibliography"/>
        <w:rPr>
          <w:rFonts w:eastAsiaTheme="minorHAnsi"/>
        </w:rPr>
      </w:pPr>
      <w:r w:rsidRPr="00EB13C3">
        <w:rPr>
          <w:rFonts w:eastAsiaTheme="minorHAnsi"/>
        </w:rPr>
        <w:t xml:space="preserve">2. </w:t>
      </w:r>
      <w:r w:rsidRPr="00EB13C3">
        <w:rPr>
          <w:rFonts w:eastAsiaTheme="minorHAnsi"/>
        </w:rPr>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EB13C3">
        <w:rPr>
          <w:rFonts w:eastAsiaTheme="minorHAnsi"/>
          <w:i/>
          <w:iCs/>
        </w:rPr>
        <w:t>Nat Commun</w:t>
      </w:r>
      <w:r w:rsidRPr="00EB13C3">
        <w:rPr>
          <w:rFonts w:eastAsiaTheme="minorHAnsi"/>
        </w:rPr>
        <w:t xml:space="preserve"> </w:t>
      </w:r>
      <w:r w:rsidRPr="00EB13C3">
        <w:rPr>
          <w:rFonts w:eastAsiaTheme="minorHAnsi"/>
          <w:b/>
          <w:bCs/>
        </w:rPr>
        <w:t>12</w:t>
      </w:r>
      <w:r w:rsidRPr="00EB13C3">
        <w:rPr>
          <w:rFonts w:eastAsiaTheme="minorHAnsi"/>
        </w:rPr>
        <w:t>, 1198 (2021).</w:t>
      </w:r>
    </w:p>
    <w:p w14:paraId="5521CFE1" w14:textId="77777777" w:rsidR="00EB13C3" w:rsidRPr="00EB13C3" w:rsidRDefault="00EB13C3" w:rsidP="00EB13C3">
      <w:pPr>
        <w:pStyle w:val="Bibliography"/>
        <w:rPr>
          <w:rFonts w:eastAsiaTheme="minorHAnsi"/>
        </w:rPr>
      </w:pPr>
      <w:r w:rsidRPr="00EB13C3">
        <w:rPr>
          <w:rFonts w:eastAsiaTheme="minorHAnsi"/>
        </w:rPr>
        <w:t xml:space="preserve">3. </w:t>
      </w:r>
      <w:r w:rsidRPr="00EB13C3">
        <w:rPr>
          <w:rFonts w:eastAsiaTheme="minorHAnsi"/>
        </w:rPr>
        <w:tab/>
        <w:t xml:space="preserve">W. W. Dowd, F. A. King, M. W. Denny, Thermal variation, thermal extremes and the physiological performance of individuals.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218</w:t>
      </w:r>
      <w:r w:rsidRPr="00EB13C3">
        <w:rPr>
          <w:rFonts w:eastAsiaTheme="minorHAnsi"/>
        </w:rPr>
        <w:t>, 1956–1967 (2015).</w:t>
      </w:r>
    </w:p>
    <w:p w14:paraId="0D30D72A" w14:textId="77777777" w:rsidR="00EB13C3" w:rsidRPr="00EB13C3" w:rsidRDefault="00EB13C3" w:rsidP="00EB13C3">
      <w:pPr>
        <w:pStyle w:val="Bibliography"/>
        <w:rPr>
          <w:rFonts w:eastAsiaTheme="minorHAnsi"/>
        </w:rPr>
      </w:pPr>
      <w:r w:rsidRPr="00EB13C3">
        <w:rPr>
          <w:rFonts w:eastAsiaTheme="minorHAnsi"/>
        </w:rPr>
        <w:t xml:space="preserve">4. </w:t>
      </w:r>
      <w:r w:rsidRPr="00EB13C3">
        <w:rPr>
          <w:rFonts w:eastAsiaTheme="minorHAnsi"/>
        </w:rPr>
        <w:tab/>
        <w:t xml:space="preserve">H. O. Pörtner, R. Knust, Climate Change Affects Marine Fishes Through the Oxygen Limitation of Thermal Tolerance. </w:t>
      </w:r>
      <w:r w:rsidRPr="00EB13C3">
        <w:rPr>
          <w:rFonts w:eastAsiaTheme="minorHAnsi"/>
          <w:i/>
          <w:iCs/>
        </w:rPr>
        <w:t>Science</w:t>
      </w:r>
      <w:r w:rsidRPr="00EB13C3">
        <w:rPr>
          <w:rFonts w:eastAsiaTheme="minorHAnsi"/>
        </w:rPr>
        <w:t xml:space="preserve"> </w:t>
      </w:r>
      <w:r w:rsidRPr="00EB13C3">
        <w:rPr>
          <w:rFonts w:eastAsiaTheme="minorHAnsi"/>
          <w:b/>
          <w:bCs/>
        </w:rPr>
        <w:t>315</w:t>
      </w:r>
      <w:r w:rsidRPr="00EB13C3">
        <w:rPr>
          <w:rFonts w:eastAsiaTheme="minorHAnsi"/>
        </w:rPr>
        <w:t>, 95–97 (2007).</w:t>
      </w:r>
    </w:p>
    <w:p w14:paraId="25BB135E" w14:textId="77777777" w:rsidR="00EB13C3" w:rsidRPr="00EB13C3" w:rsidRDefault="00EB13C3" w:rsidP="00EB13C3">
      <w:pPr>
        <w:pStyle w:val="Bibliography"/>
        <w:rPr>
          <w:rFonts w:eastAsiaTheme="minorHAnsi"/>
        </w:rPr>
      </w:pPr>
      <w:r w:rsidRPr="00EB13C3">
        <w:rPr>
          <w:rFonts w:eastAsiaTheme="minorHAnsi"/>
        </w:rPr>
        <w:t xml:space="preserve">5. </w:t>
      </w:r>
      <w:r w:rsidRPr="00EB13C3">
        <w:rPr>
          <w:rFonts w:eastAsiaTheme="minorHAnsi"/>
        </w:rPr>
        <w:tab/>
        <w:t xml:space="preserve">B. J. Sinclair, K. E. Marshall, M. A. Sewell, D. L. Levesque, C. S. Willett, S. Slotsbo, Y. Dong, C. D. G. Harley, D. J. Marshall, B. S. Helmuth, R. B. Huey, Can we predict ectotherm responses to climate change using thermal performance curves and body temperatures? </w:t>
      </w:r>
      <w:r w:rsidRPr="00EB13C3">
        <w:rPr>
          <w:rFonts w:eastAsiaTheme="minorHAnsi"/>
          <w:i/>
          <w:iCs/>
        </w:rPr>
        <w:t>Ecology Letters</w:t>
      </w:r>
      <w:r w:rsidRPr="00EB13C3">
        <w:rPr>
          <w:rFonts w:eastAsiaTheme="minorHAnsi"/>
        </w:rPr>
        <w:t xml:space="preserve"> </w:t>
      </w:r>
      <w:r w:rsidRPr="00EB13C3">
        <w:rPr>
          <w:rFonts w:eastAsiaTheme="minorHAnsi"/>
          <w:b/>
          <w:bCs/>
        </w:rPr>
        <w:t>19</w:t>
      </w:r>
      <w:r w:rsidRPr="00EB13C3">
        <w:rPr>
          <w:rFonts w:eastAsiaTheme="minorHAnsi"/>
        </w:rPr>
        <w:t>, 1372–1385 (2016).</w:t>
      </w:r>
    </w:p>
    <w:p w14:paraId="14E2BDF7" w14:textId="77777777" w:rsidR="00EB13C3" w:rsidRPr="00EB13C3" w:rsidRDefault="00EB13C3" w:rsidP="00EB13C3">
      <w:pPr>
        <w:pStyle w:val="Bibliography"/>
        <w:rPr>
          <w:rFonts w:eastAsiaTheme="minorHAnsi"/>
        </w:rPr>
      </w:pPr>
      <w:r w:rsidRPr="00EB13C3">
        <w:rPr>
          <w:rFonts w:eastAsiaTheme="minorHAnsi"/>
        </w:rPr>
        <w:t xml:space="preserve">6. </w:t>
      </w:r>
      <w:r w:rsidRPr="00EB13C3">
        <w:rPr>
          <w:rFonts w:eastAsiaTheme="minorHAnsi"/>
        </w:rPr>
        <w:tab/>
        <w:t xml:space="preserve">R. S. Telemeco, M. J. Elphick, R. Shine, Nesting lizards (Bassiana duperreyi) compensate partly, but not completely, for climate change. </w:t>
      </w:r>
      <w:r w:rsidRPr="00EB13C3">
        <w:rPr>
          <w:rFonts w:eastAsiaTheme="minorHAnsi"/>
          <w:i/>
          <w:iCs/>
        </w:rPr>
        <w:t>Ecology</w:t>
      </w:r>
      <w:r w:rsidRPr="00EB13C3">
        <w:rPr>
          <w:rFonts w:eastAsiaTheme="minorHAnsi"/>
        </w:rPr>
        <w:t xml:space="preserve"> </w:t>
      </w:r>
      <w:r w:rsidRPr="00EB13C3">
        <w:rPr>
          <w:rFonts w:eastAsiaTheme="minorHAnsi"/>
          <w:b/>
          <w:bCs/>
        </w:rPr>
        <w:t>90</w:t>
      </w:r>
      <w:r w:rsidRPr="00EB13C3">
        <w:rPr>
          <w:rFonts w:eastAsiaTheme="minorHAnsi"/>
        </w:rPr>
        <w:t>, 17–22 (2009).</w:t>
      </w:r>
    </w:p>
    <w:p w14:paraId="599E64C7" w14:textId="77777777" w:rsidR="00EB13C3" w:rsidRPr="00EB13C3" w:rsidRDefault="00EB13C3" w:rsidP="00EB13C3">
      <w:pPr>
        <w:pStyle w:val="Bibliography"/>
        <w:rPr>
          <w:rFonts w:eastAsiaTheme="minorHAnsi"/>
        </w:rPr>
      </w:pPr>
      <w:r w:rsidRPr="00EB13C3">
        <w:rPr>
          <w:rFonts w:eastAsiaTheme="minorHAnsi"/>
        </w:rPr>
        <w:t xml:space="preserve">7. </w:t>
      </w:r>
      <w:r w:rsidRPr="00EB13C3">
        <w:rPr>
          <w:rFonts w:eastAsiaTheme="minorHAnsi"/>
        </w:rPr>
        <w:tab/>
        <w:t xml:space="preserve">B. G. Lovegrove, C. Canale, D. Levesque, G. Fluch, M. Řeháková-Petrů, T. Ruf, Are Tropical Small Mammals Physiologically Vulnerable to Arrhenius Effects and Climate Change? </w:t>
      </w:r>
      <w:r w:rsidRPr="00EB13C3">
        <w:rPr>
          <w:rFonts w:eastAsiaTheme="minorHAnsi"/>
          <w:i/>
          <w:iCs/>
        </w:rPr>
        <w:t>Physiological and Biochemical Zoology</w:t>
      </w:r>
      <w:r w:rsidRPr="00EB13C3">
        <w:rPr>
          <w:rFonts w:eastAsiaTheme="minorHAnsi"/>
        </w:rPr>
        <w:t xml:space="preserve"> </w:t>
      </w:r>
      <w:r w:rsidRPr="00EB13C3">
        <w:rPr>
          <w:rFonts w:eastAsiaTheme="minorHAnsi"/>
          <w:b/>
          <w:bCs/>
        </w:rPr>
        <w:t>87</w:t>
      </w:r>
      <w:r w:rsidRPr="00EB13C3">
        <w:rPr>
          <w:rFonts w:eastAsiaTheme="minorHAnsi"/>
        </w:rPr>
        <w:t>, 30–45 (2014).</w:t>
      </w:r>
    </w:p>
    <w:p w14:paraId="2C8CFB0A" w14:textId="77777777" w:rsidR="00EB13C3" w:rsidRPr="00EB13C3" w:rsidRDefault="00EB13C3" w:rsidP="00EB13C3">
      <w:pPr>
        <w:pStyle w:val="Bibliography"/>
        <w:rPr>
          <w:rFonts w:eastAsiaTheme="minorHAnsi"/>
        </w:rPr>
      </w:pPr>
      <w:r w:rsidRPr="00EB13C3">
        <w:rPr>
          <w:rFonts w:eastAsiaTheme="minorHAnsi"/>
        </w:rPr>
        <w:t xml:space="preserve">8. </w:t>
      </w:r>
      <w:r w:rsidRPr="00EB13C3">
        <w:rPr>
          <w:rFonts w:eastAsiaTheme="minorHAnsi"/>
        </w:rPr>
        <w:tab/>
        <w:t xml:space="preserve">J. M. Lucore, J. C. Beehner, A. F. White, L. F. Sinclair, V. A. Martins, S. A. Kovalaskas, J. C. Ordoñez, T. J. Bergman, M. E. Benítez, A. J. Marshall, High temperatures are associated with decreased immune system performance in a wild primate. </w:t>
      </w:r>
      <w:r w:rsidRPr="00EB13C3">
        <w:rPr>
          <w:rFonts w:eastAsiaTheme="minorHAnsi"/>
          <w:i/>
          <w:iCs/>
        </w:rPr>
        <w:t>Science Advances</w:t>
      </w:r>
      <w:r w:rsidRPr="00EB13C3">
        <w:rPr>
          <w:rFonts w:eastAsiaTheme="minorHAnsi"/>
        </w:rPr>
        <w:t xml:space="preserve"> </w:t>
      </w:r>
      <w:r w:rsidRPr="00EB13C3">
        <w:rPr>
          <w:rFonts w:eastAsiaTheme="minorHAnsi"/>
          <w:b/>
          <w:bCs/>
        </w:rPr>
        <w:t>10</w:t>
      </w:r>
      <w:r w:rsidRPr="00EB13C3">
        <w:rPr>
          <w:rFonts w:eastAsiaTheme="minorHAnsi"/>
        </w:rPr>
        <w:t>, eadq6629 (2024).</w:t>
      </w:r>
    </w:p>
    <w:p w14:paraId="378772D2" w14:textId="77777777" w:rsidR="00EB13C3" w:rsidRPr="00EB13C3" w:rsidRDefault="00EB13C3" w:rsidP="00EB13C3">
      <w:pPr>
        <w:pStyle w:val="Bibliography"/>
        <w:rPr>
          <w:rFonts w:eastAsiaTheme="minorHAnsi"/>
        </w:rPr>
      </w:pPr>
      <w:r w:rsidRPr="00EB13C3">
        <w:rPr>
          <w:rFonts w:eastAsiaTheme="minorHAnsi"/>
        </w:rPr>
        <w:t xml:space="preserve">9. </w:t>
      </w:r>
      <w:r w:rsidRPr="00EB13C3">
        <w:rPr>
          <w:rFonts w:eastAsiaTheme="minorHAnsi"/>
        </w:rPr>
        <w:tab/>
        <w:t xml:space="preserve">N. N. Moghadam, Thorshauge ,Pia Mai, Kristensen ,Torsten N., de Jonge ,Nadieh, Bahrndorff ,Simon, Kjeldal ,Henrik, J. L. and Nielsen, Strong responses of Drosophila melanogaster microbiota to developmental temperature. </w:t>
      </w:r>
      <w:r w:rsidRPr="00EB13C3">
        <w:rPr>
          <w:rFonts w:eastAsiaTheme="minorHAnsi"/>
          <w:i/>
          <w:iCs/>
        </w:rPr>
        <w:t>Fly</w:t>
      </w:r>
      <w:r w:rsidRPr="00EB13C3">
        <w:rPr>
          <w:rFonts w:eastAsiaTheme="minorHAnsi"/>
        </w:rPr>
        <w:t xml:space="preserve"> </w:t>
      </w:r>
      <w:r w:rsidRPr="00EB13C3">
        <w:rPr>
          <w:rFonts w:eastAsiaTheme="minorHAnsi"/>
          <w:b/>
          <w:bCs/>
        </w:rPr>
        <w:t>12</w:t>
      </w:r>
      <w:r w:rsidRPr="00EB13C3">
        <w:rPr>
          <w:rFonts w:eastAsiaTheme="minorHAnsi"/>
        </w:rPr>
        <w:t>, 1–12 (2018).</w:t>
      </w:r>
    </w:p>
    <w:p w14:paraId="624CA101" w14:textId="77777777" w:rsidR="00EB13C3" w:rsidRPr="00EB13C3" w:rsidRDefault="00EB13C3" w:rsidP="00EB13C3">
      <w:pPr>
        <w:pStyle w:val="Bibliography"/>
        <w:rPr>
          <w:rFonts w:eastAsiaTheme="minorHAnsi"/>
        </w:rPr>
      </w:pPr>
      <w:r w:rsidRPr="00EB13C3">
        <w:rPr>
          <w:rFonts w:eastAsiaTheme="minorHAnsi"/>
        </w:rPr>
        <w:t xml:space="preserve">10. </w:t>
      </w:r>
      <w:r w:rsidRPr="00EB13C3">
        <w:rPr>
          <w:rFonts w:eastAsiaTheme="minorHAnsi"/>
        </w:rPr>
        <w:tab/>
        <w:t xml:space="preserve">M. Ziegler, F. O. Seneca, L. K. Yum, S. R. Palumbi, C. R. Voolstra, Bacterial community dynamics are linked to patterns of coral heat tolerance. </w:t>
      </w:r>
      <w:r w:rsidRPr="00EB13C3">
        <w:rPr>
          <w:rFonts w:eastAsiaTheme="minorHAnsi"/>
          <w:i/>
          <w:iCs/>
        </w:rPr>
        <w:t>Nat Commun</w:t>
      </w:r>
      <w:r w:rsidRPr="00EB13C3">
        <w:rPr>
          <w:rFonts w:eastAsiaTheme="minorHAnsi"/>
        </w:rPr>
        <w:t xml:space="preserve"> </w:t>
      </w:r>
      <w:r w:rsidRPr="00EB13C3">
        <w:rPr>
          <w:rFonts w:eastAsiaTheme="minorHAnsi"/>
          <w:b/>
          <w:bCs/>
        </w:rPr>
        <w:t>8</w:t>
      </w:r>
      <w:r w:rsidRPr="00EB13C3">
        <w:rPr>
          <w:rFonts w:eastAsiaTheme="minorHAnsi"/>
        </w:rPr>
        <w:t>, 14213 (2017).</w:t>
      </w:r>
    </w:p>
    <w:p w14:paraId="30C97E7A" w14:textId="77777777" w:rsidR="00EB13C3" w:rsidRPr="00EB13C3" w:rsidRDefault="00EB13C3" w:rsidP="00EB13C3">
      <w:pPr>
        <w:pStyle w:val="Bibliography"/>
        <w:rPr>
          <w:rFonts w:eastAsiaTheme="minorHAnsi"/>
        </w:rPr>
      </w:pPr>
      <w:r w:rsidRPr="00EB13C3">
        <w:rPr>
          <w:rFonts w:eastAsiaTheme="minorHAnsi"/>
        </w:rPr>
        <w:t xml:space="preserve">11. </w:t>
      </w:r>
      <w:r w:rsidRPr="00EB13C3">
        <w:rPr>
          <w:rFonts w:eastAsiaTheme="minorHAnsi"/>
        </w:rPr>
        <w:tab/>
        <w:t xml:space="preserve">L. Baldassarre, H. Ying, A. M. Reitzel, S. Franzenburg, S. Fraune, Microbiota mediated plasticity promotes thermal adaptation in the sea anemone Nematostella vectensis. </w:t>
      </w:r>
      <w:r w:rsidRPr="00EB13C3">
        <w:rPr>
          <w:rFonts w:eastAsiaTheme="minorHAnsi"/>
          <w:i/>
          <w:iCs/>
        </w:rPr>
        <w:t>Nat Commun</w:t>
      </w:r>
      <w:r w:rsidRPr="00EB13C3">
        <w:rPr>
          <w:rFonts w:eastAsiaTheme="minorHAnsi"/>
        </w:rPr>
        <w:t xml:space="preserve"> </w:t>
      </w:r>
      <w:r w:rsidRPr="00EB13C3">
        <w:rPr>
          <w:rFonts w:eastAsiaTheme="minorHAnsi"/>
          <w:b/>
          <w:bCs/>
        </w:rPr>
        <w:t>13</w:t>
      </w:r>
      <w:r w:rsidRPr="00EB13C3">
        <w:rPr>
          <w:rFonts w:eastAsiaTheme="minorHAnsi"/>
        </w:rPr>
        <w:t>, 3804 (2022).</w:t>
      </w:r>
    </w:p>
    <w:p w14:paraId="3D05E35D" w14:textId="77777777" w:rsidR="00EB13C3" w:rsidRPr="00EB13C3" w:rsidRDefault="00EB13C3" w:rsidP="00EB13C3">
      <w:pPr>
        <w:pStyle w:val="Bibliography"/>
        <w:rPr>
          <w:rFonts w:eastAsiaTheme="minorHAnsi"/>
        </w:rPr>
      </w:pPr>
      <w:r w:rsidRPr="00EB13C3">
        <w:rPr>
          <w:rFonts w:eastAsiaTheme="minorHAnsi"/>
        </w:rPr>
        <w:t xml:space="preserve">12. </w:t>
      </w:r>
      <w:r w:rsidRPr="00EB13C3">
        <w:rPr>
          <w:rFonts w:eastAsiaTheme="minorHAnsi"/>
        </w:rPr>
        <w:tab/>
        <w:t xml:space="preserve">S. S. Fontaine, K. D. Kohl, Ectotherm heat tolerance and the microbiome: current understanding, future directions and potential applications.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jeb245761 (2023).</w:t>
      </w:r>
    </w:p>
    <w:p w14:paraId="25F046D8" w14:textId="77777777" w:rsidR="00EB13C3" w:rsidRPr="00EB13C3" w:rsidRDefault="00EB13C3" w:rsidP="00EB13C3">
      <w:pPr>
        <w:pStyle w:val="Bibliography"/>
        <w:rPr>
          <w:rFonts w:eastAsiaTheme="minorHAnsi"/>
        </w:rPr>
      </w:pPr>
      <w:r w:rsidRPr="00EB13C3">
        <w:rPr>
          <w:rFonts w:eastAsiaTheme="minorHAnsi"/>
        </w:rPr>
        <w:lastRenderedPageBreak/>
        <w:t xml:space="preserve">13. </w:t>
      </w:r>
      <w:r w:rsidRPr="00EB13C3">
        <w:rPr>
          <w:rFonts w:eastAsiaTheme="minorHAnsi"/>
        </w:rPr>
        <w:tab/>
        <w:t xml:space="preserve">A. Jaramillo, L. E. Castañeda, Gut Microbiota of Drosophila subobscura Contributes to Its Heat Tolerance and Is Sensitive to Transient Thermal Stress.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(2021).</w:t>
      </w:r>
    </w:p>
    <w:p w14:paraId="0DDAA111" w14:textId="77777777" w:rsidR="00EB13C3" w:rsidRPr="00EB13C3" w:rsidRDefault="00EB13C3" w:rsidP="00EB13C3">
      <w:pPr>
        <w:pStyle w:val="Bibliography"/>
        <w:rPr>
          <w:rFonts w:eastAsiaTheme="minorHAnsi"/>
        </w:rPr>
      </w:pPr>
      <w:r w:rsidRPr="00EB13C3">
        <w:rPr>
          <w:rFonts w:eastAsiaTheme="minorHAnsi"/>
        </w:rPr>
        <w:t xml:space="preserve">14. </w:t>
      </w:r>
      <w:r w:rsidRPr="00EB13C3">
        <w:rPr>
          <w:rFonts w:eastAsiaTheme="minorHAnsi"/>
        </w:rPr>
        <w:tab/>
        <w:t xml:space="preserve">B. Zhang, S. P. Leonard, Y. Li, N. A. Moran, Obligate bacterial endosymbionts limit thermal tolerance of insect host species.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24712–24718 (2019).</w:t>
      </w:r>
    </w:p>
    <w:p w14:paraId="1761BF6D" w14:textId="77777777" w:rsidR="00EB13C3" w:rsidRPr="00EB13C3" w:rsidRDefault="00EB13C3" w:rsidP="00EB13C3">
      <w:pPr>
        <w:pStyle w:val="Bibliography"/>
        <w:rPr>
          <w:rFonts w:eastAsiaTheme="minorHAnsi"/>
        </w:rPr>
      </w:pPr>
      <w:r w:rsidRPr="00EB13C3">
        <w:rPr>
          <w:rFonts w:eastAsiaTheme="minorHAnsi"/>
        </w:rPr>
        <w:t xml:space="preserve">15. </w:t>
      </w:r>
      <w:r w:rsidRPr="00EB13C3">
        <w:rPr>
          <w:rFonts w:eastAsiaTheme="minorHAnsi"/>
        </w:rPr>
        <w:tab/>
        <w:t xml:space="preserve">K. R. Amato, Incorporating the gut microbiota into models of human and non-human primate ecology and evolution.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159</w:t>
      </w:r>
      <w:r w:rsidRPr="00EB13C3">
        <w:rPr>
          <w:rFonts w:eastAsiaTheme="minorHAnsi"/>
        </w:rPr>
        <w:t>, 196–215 (2016).</w:t>
      </w:r>
    </w:p>
    <w:p w14:paraId="1BF97F8F" w14:textId="77777777" w:rsidR="00EB13C3" w:rsidRPr="00EB13C3" w:rsidRDefault="00EB13C3" w:rsidP="00EB13C3">
      <w:pPr>
        <w:pStyle w:val="Bibliography"/>
        <w:rPr>
          <w:rFonts w:eastAsiaTheme="minorHAnsi"/>
        </w:rPr>
      </w:pPr>
      <w:r w:rsidRPr="00EB13C3">
        <w:rPr>
          <w:rFonts w:eastAsiaTheme="minorHAnsi"/>
        </w:rPr>
        <w:t xml:space="preserve">16. </w:t>
      </w:r>
      <w:r w:rsidRPr="00EB13C3">
        <w:rPr>
          <w:rFonts w:eastAsiaTheme="minorHAnsi"/>
        </w:rPr>
        <w:tab/>
        <w:t xml:space="preserve">J. Sepulveda, A. H. Moeller, The Effects of Temperature on Animal Gut Microbiomes.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384 (2020).</w:t>
      </w:r>
    </w:p>
    <w:p w14:paraId="4D9F44F3" w14:textId="77777777" w:rsidR="00EB13C3" w:rsidRPr="00EB13C3" w:rsidRDefault="00EB13C3" w:rsidP="00EB13C3">
      <w:pPr>
        <w:pStyle w:val="Bibliography"/>
        <w:rPr>
          <w:rFonts w:eastAsiaTheme="minorHAnsi"/>
        </w:rPr>
      </w:pPr>
      <w:r w:rsidRPr="00EB13C3">
        <w:rPr>
          <w:rFonts w:eastAsiaTheme="minorHAnsi"/>
        </w:rPr>
        <w:t xml:space="preserve">17. </w:t>
      </w:r>
      <w:r w:rsidRPr="00EB13C3">
        <w:rPr>
          <w:rFonts w:eastAsiaTheme="minorHAnsi"/>
        </w:rPr>
        <w:tab/>
        <w:t xml:space="preserve">S. Chen, J. Wang, D. Peng, G. Li, J. Chen, X. Gu, Exposure to heat-stress environment affects the physiology, circulation levels of cytokines, and microbiome in dairy cows. </w:t>
      </w:r>
      <w:r w:rsidRPr="00EB13C3">
        <w:rPr>
          <w:rFonts w:eastAsiaTheme="minorHAnsi"/>
          <w:i/>
          <w:iCs/>
        </w:rPr>
        <w:t>Sci Rep</w:t>
      </w:r>
      <w:r w:rsidRPr="00EB13C3">
        <w:rPr>
          <w:rFonts w:eastAsiaTheme="minorHAnsi"/>
        </w:rPr>
        <w:t xml:space="preserve"> </w:t>
      </w:r>
      <w:r w:rsidRPr="00EB13C3">
        <w:rPr>
          <w:rFonts w:eastAsiaTheme="minorHAnsi"/>
          <w:b/>
          <w:bCs/>
        </w:rPr>
        <w:t>8</w:t>
      </w:r>
      <w:r w:rsidRPr="00EB13C3">
        <w:rPr>
          <w:rFonts w:eastAsiaTheme="minorHAnsi"/>
        </w:rPr>
        <w:t>, 14606 (2018).</w:t>
      </w:r>
    </w:p>
    <w:p w14:paraId="7224FA5D" w14:textId="77777777" w:rsidR="00EB13C3" w:rsidRPr="00EB13C3" w:rsidRDefault="00EB13C3" w:rsidP="00EB13C3">
      <w:pPr>
        <w:pStyle w:val="Bibliography"/>
        <w:rPr>
          <w:rFonts w:eastAsiaTheme="minorHAnsi"/>
        </w:rPr>
      </w:pPr>
      <w:r w:rsidRPr="00EB13C3">
        <w:rPr>
          <w:rFonts w:eastAsiaTheme="minorHAnsi"/>
        </w:rPr>
        <w:t xml:space="preserve">18. </w:t>
      </w:r>
      <w:r w:rsidRPr="00EB13C3">
        <w:rPr>
          <w:rFonts w:eastAsiaTheme="minorHAnsi"/>
        </w:rPr>
        <w:tab/>
        <w:t xml:space="preserve">S. S. Fontaine, A. J. Novarro, K. D. Kohl, Environmental temperature alters the digestive performance and gut microbiota of a terrestrial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221</w:t>
      </w:r>
      <w:r w:rsidRPr="00EB13C3">
        <w:rPr>
          <w:rFonts w:eastAsiaTheme="minorHAnsi"/>
        </w:rPr>
        <w:t>, jeb187559 (2018).</w:t>
      </w:r>
    </w:p>
    <w:p w14:paraId="0FA5A4B2" w14:textId="77777777" w:rsidR="00EB13C3" w:rsidRPr="00EB13C3" w:rsidRDefault="00EB13C3" w:rsidP="00EB13C3">
      <w:pPr>
        <w:pStyle w:val="Bibliography"/>
        <w:rPr>
          <w:rFonts w:eastAsiaTheme="minorHAnsi"/>
        </w:rPr>
      </w:pPr>
      <w:r w:rsidRPr="00EB13C3">
        <w:rPr>
          <w:rFonts w:eastAsiaTheme="minorHAnsi"/>
        </w:rPr>
        <w:t xml:space="preserve">19. </w:t>
      </w:r>
      <w:r w:rsidRPr="00EB13C3">
        <w:rPr>
          <w:rFonts w:eastAsiaTheme="minorHAnsi"/>
        </w:rPr>
        <w:tab/>
        <w:t xml:space="preserve">K. Tajima, I. Nonaka, K. Higuchi, N. Takusari, M. Kurihara, A. Takenaka, M. Mitsumori, H. Kajikawa, R. I. Aminov, Influence of high temperature and humidity on rumen bacterial diversity in Holstein heifers. </w:t>
      </w:r>
      <w:r w:rsidRPr="00EB13C3">
        <w:rPr>
          <w:rFonts w:eastAsiaTheme="minorHAnsi"/>
          <w:i/>
          <w:iCs/>
        </w:rPr>
        <w:t>Anaerobe</w:t>
      </w:r>
      <w:r w:rsidRPr="00EB13C3">
        <w:rPr>
          <w:rFonts w:eastAsiaTheme="minorHAnsi"/>
        </w:rPr>
        <w:t xml:space="preserve"> </w:t>
      </w:r>
      <w:r w:rsidRPr="00EB13C3">
        <w:rPr>
          <w:rFonts w:eastAsiaTheme="minorHAnsi"/>
          <w:b/>
          <w:bCs/>
        </w:rPr>
        <w:t>13</w:t>
      </w:r>
      <w:r w:rsidRPr="00EB13C3">
        <w:rPr>
          <w:rFonts w:eastAsiaTheme="minorHAnsi"/>
        </w:rPr>
        <w:t>, 57–64 (2007).</w:t>
      </w:r>
    </w:p>
    <w:p w14:paraId="60ABEB26" w14:textId="77777777" w:rsidR="00EB13C3" w:rsidRPr="00EB13C3" w:rsidRDefault="00EB13C3" w:rsidP="00EB13C3">
      <w:pPr>
        <w:pStyle w:val="Bibliography"/>
        <w:rPr>
          <w:rFonts w:eastAsiaTheme="minorHAnsi"/>
        </w:rPr>
      </w:pPr>
      <w:r w:rsidRPr="00EB13C3">
        <w:rPr>
          <w:rFonts w:eastAsiaTheme="minorHAnsi"/>
        </w:rPr>
        <w:t xml:space="preserve">20. </w:t>
      </w:r>
      <w:r w:rsidRPr="00EB13C3">
        <w:rPr>
          <w:rFonts w:eastAsiaTheme="minorHAnsi"/>
        </w:rPr>
        <w:tab/>
        <w:t xml:space="preserve">L. Zhu, R. Liao, N. Wu, G. Zhu, C. Yang, Heat stress mediates changes in fecal microbiome and functional pathways of laying hens. </w:t>
      </w:r>
      <w:r w:rsidRPr="00EB13C3">
        <w:rPr>
          <w:rFonts w:eastAsiaTheme="minorHAnsi"/>
          <w:i/>
          <w:iCs/>
        </w:rPr>
        <w:t>Appl Microbiol Biotechnol</w:t>
      </w:r>
      <w:r w:rsidRPr="00EB13C3">
        <w:rPr>
          <w:rFonts w:eastAsiaTheme="minorHAnsi"/>
        </w:rPr>
        <w:t xml:space="preserve"> </w:t>
      </w:r>
      <w:r w:rsidRPr="00EB13C3">
        <w:rPr>
          <w:rFonts w:eastAsiaTheme="minorHAnsi"/>
          <w:b/>
          <w:bCs/>
        </w:rPr>
        <w:t>103</w:t>
      </w:r>
      <w:r w:rsidRPr="00EB13C3">
        <w:rPr>
          <w:rFonts w:eastAsiaTheme="minorHAnsi"/>
        </w:rPr>
        <w:t>, 461–472 (2019).</w:t>
      </w:r>
    </w:p>
    <w:p w14:paraId="3E68EA45" w14:textId="77777777" w:rsidR="00EB13C3" w:rsidRPr="00EB13C3" w:rsidRDefault="00EB13C3" w:rsidP="00EB13C3">
      <w:pPr>
        <w:pStyle w:val="Bibliography"/>
        <w:rPr>
          <w:rFonts w:eastAsiaTheme="minorHAnsi"/>
        </w:rPr>
      </w:pPr>
      <w:r w:rsidRPr="00EB13C3">
        <w:rPr>
          <w:rFonts w:eastAsiaTheme="minorHAnsi"/>
        </w:rPr>
        <w:t xml:space="preserve">21. </w:t>
      </w:r>
      <w:r w:rsidRPr="00EB13C3">
        <w:rPr>
          <w:rFonts w:eastAsiaTheme="minorHAnsi"/>
        </w:rPr>
        <w:tab/>
        <w:t xml:space="preserve">I. Belhadj Slimen, N. Taha, G. Abdeljelil, D. Hajer, B. M. Moncef, A. Manef, Reactive oxygen species, heat stress and oxidative-induced mitochondrial damage. A review. </w:t>
      </w:r>
      <w:r w:rsidRPr="00EB13C3">
        <w:rPr>
          <w:rFonts w:eastAsiaTheme="minorHAnsi"/>
          <w:i/>
          <w:iCs/>
        </w:rPr>
        <w:t>International Journal of Hyperthermia</w:t>
      </w:r>
      <w:r w:rsidRPr="00EB13C3">
        <w:rPr>
          <w:rFonts w:eastAsiaTheme="minorHAnsi"/>
        </w:rPr>
        <w:t xml:space="preserve"> </w:t>
      </w:r>
      <w:r w:rsidRPr="00EB13C3">
        <w:rPr>
          <w:rFonts w:eastAsiaTheme="minorHAnsi"/>
          <w:b/>
          <w:bCs/>
        </w:rPr>
        <w:t>30</w:t>
      </w:r>
      <w:r w:rsidRPr="00EB13C3">
        <w:rPr>
          <w:rFonts w:eastAsiaTheme="minorHAnsi"/>
        </w:rPr>
        <w:t>, 513–523 (2014).</w:t>
      </w:r>
    </w:p>
    <w:p w14:paraId="59F02E42" w14:textId="77777777" w:rsidR="00EB13C3" w:rsidRPr="00EB13C3" w:rsidRDefault="00EB13C3" w:rsidP="00EB13C3">
      <w:pPr>
        <w:pStyle w:val="Bibliography"/>
        <w:rPr>
          <w:rFonts w:eastAsiaTheme="minorHAnsi"/>
        </w:rPr>
      </w:pPr>
      <w:r w:rsidRPr="00EB13C3">
        <w:rPr>
          <w:rFonts w:eastAsiaTheme="minorHAnsi"/>
        </w:rPr>
        <w:t xml:space="preserve">22. </w:t>
      </w:r>
      <w:r w:rsidRPr="00EB13C3">
        <w:rPr>
          <w:rFonts w:eastAsiaTheme="minorHAnsi"/>
        </w:rPr>
        <w:tab/>
        <w:t xml:space="preserve">M. Dodson, R. Castro-Portuguez, D. D. Zhang, NRF2 plays a critical role in mitigating lipid peroxidation and ferroptosis. </w:t>
      </w:r>
      <w:r w:rsidRPr="00EB13C3">
        <w:rPr>
          <w:rFonts w:eastAsiaTheme="minorHAnsi"/>
          <w:i/>
          <w:iCs/>
        </w:rPr>
        <w:t>Redox Biology</w:t>
      </w:r>
      <w:r w:rsidRPr="00EB13C3">
        <w:rPr>
          <w:rFonts w:eastAsiaTheme="minorHAnsi"/>
        </w:rPr>
        <w:t xml:space="preserve"> </w:t>
      </w:r>
      <w:r w:rsidRPr="00EB13C3">
        <w:rPr>
          <w:rFonts w:eastAsiaTheme="minorHAnsi"/>
          <w:b/>
          <w:bCs/>
        </w:rPr>
        <w:t>23</w:t>
      </w:r>
      <w:r w:rsidRPr="00EB13C3">
        <w:rPr>
          <w:rFonts w:eastAsiaTheme="minorHAnsi"/>
        </w:rPr>
        <w:t>, 101107 (2019).</w:t>
      </w:r>
    </w:p>
    <w:p w14:paraId="6E2B87F8" w14:textId="77777777" w:rsidR="00EB13C3" w:rsidRPr="00EB13C3" w:rsidRDefault="00EB13C3" w:rsidP="00EB13C3">
      <w:pPr>
        <w:pStyle w:val="Bibliography"/>
        <w:rPr>
          <w:rFonts w:eastAsiaTheme="minorHAnsi"/>
        </w:rPr>
      </w:pPr>
      <w:r w:rsidRPr="00EB13C3">
        <w:rPr>
          <w:rFonts w:eastAsiaTheme="minorHAnsi"/>
        </w:rPr>
        <w:t xml:space="preserve">23. </w:t>
      </w:r>
      <w:r w:rsidRPr="00EB13C3">
        <w:rPr>
          <w:rFonts w:eastAsiaTheme="minorHAnsi"/>
        </w:rPr>
        <w:tab/>
        <w:t xml:space="preserve">G. P. Lambert, C. V. Gisolfi, D. J. Berg, P. L. Moseley, L. W. Oberley, K. C. Kregel, Selected Contribution: Hyperthermia-induced intestinal  permeability and the role of oxidative  and nitrosative stress. </w:t>
      </w:r>
      <w:r w:rsidRPr="00EB13C3">
        <w:rPr>
          <w:rFonts w:eastAsiaTheme="minorHAnsi"/>
          <w:i/>
          <w:iCs/>
        </w:rPr>
        <w:t>Journal of Applied Physiology</w:t>
      </w:r>
      <w:r w:rsidRPr="00EB13C3">
        <w:rPr>
          <w:rFonts w:eastAsiaTheme="minorHAnsi"/>
        </w:rPr>
        <w:t xml:space="preserve"> </w:t>
      </w:r>
      <w:r w:rsidRPr="00EB13C3">
        <w:rPr>
          <w:rFonts w:eastAsiaTheme="minorHAnsi"/>
          <w:b/>
          <w:bCs/>
        </w:rPr>
        <w:t>92</w:t>
      </w:r>
      <w:r w:rsidRPr="00EB13C3">
        <w:rPr>
          <w:rFonts w:eastAsiaTheme="minorHAnsi"/>
        </w:rPr>
        <w:t>, 1750–1761 (2002).</w:t>
      </w:r>
    </w:p>
    <w:p w14:paraId="170C27D0" w14:textId="77777777" w:rsidR="00EB13C3" w:rsidRPr="00EB13C3" w:rsidRDefault="00EB13C3" w:rsidP="00EB13C3">
      <w:pPr>
        <w:pStyle w:val="Bibliography"/>
        <w:rPr>
          <w:rFonts w:eastAsiaTheme="minorHAnsi"/>
        </w:rPr>
      </w:pPr>
      <w:r w:rsidRPr="00EB13C3">
        <w:rPr>
          <w:rFonts w:eastAsiaTheme="minorHAnsi"/>
        </w:rPr>
        <w:t xml:space="preserve">24. </w:t>
      </w:r>
      <w:r w:rsidRPr="00EB13C3">
        <w:rPr>
          <w:rFonts w:eastAsiaTheme="minorHAnsi"/>
        </w:rPr>
        <w:tab/>
        <w:t xml:space="preserve">F. Koch, U. Thom, E. Albrecht, R. Weikard, W. Nolte, B. Kuhla, C. Kuehn, Heat stress directly impairs gut integrity and recruits distinct immune cell populations into the bovine intestine.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116</w:t>
      </w:r>
      <w:r w:rsidRPr="00EB13C3">
        <w:rPr>
          <w:rFonts w:eastAsiaTheme="minorHAnsi"/>
        </w:rPr>
        <w:t>, 10333–10338 (2019).</w:t>
      </w:r>
    </w:p>
    <w:p w14:paraId="48600DA2" w14:textId="77777777" w:rsidR="00EB13C3" w:rsidRPr="00EB13C3" w:rsidRDefault="00EB13C3" w:rsidP="00EB13C3">
      <w:pPr>
        <w:pStyle w:val="Bibliography"/>
        <w:rPr>
          <w:rFonts w:eastAsiaTheme="minorHAnsi"/>
        </w:rPr>
      </w:pPr>
      <w:r w:rsidRPr="00EB13C3">
        <w:rPr>
          <w:rFonts w:eastAsiaTheme="minorHAnsi"/>
        </w:rPr>
        <w:t xml:space="preserve">25. </w:t>
      </w:r>
      <w:r w:rsidRPr="00EB13C3">
        <w:rPr>
          <w:rFonts w:eastAsiaTheme="minorHAnsi"/>
        </w:rPr>
        <w:tab/>
        <w:t xml:space="preserve">C. Kunst, S. Schmid, M. Michalski, D. Tümen, J. Buttenschön, M. Müller, K. Gülow, The Influence of Gut Microbiota on Oxidative Stress and the Immune System. </w:t>
      </w:r>
      <w:r w:rsidRPr="00EB13C3">
        <w:rPr>
          <w:rFonts w:eastAsiaTheme="minorHAnsi"/>
          <w:i/>
          <w:iCs/>
        </w:rPr>
        <w:t>Biomedicines</w:t>
      </w:r>
      <w:r w:rsidRPr="00EB13C3">
        <w:rPr>
          <w:rFonts w:eastAsiaTheme="minorHAnsi"/>
        </w:rPr>
        <w:t xml:space="preserve"> </w:t>
      </w:r>
      <w:r w:rsidRPr="00EB13C3">
        <w:rPr>
          <w:rFonts w:eastAsiaTheme="minorHAnsi"/>
          <w:b/>
          <w:bCs/>
        </w:rPr>
        <w:t>11</w:t>
      </w:r>
      <w:r w:rsidRPr="00EB13C3">
        <w:rPr>
          <w:rFonts w:eastAsiaTheme="minorHAnsi"/>
        </w:rPr>
        <w:t>, 1388 (2023).</w:t>
      </w:r>
    </w:p>
    <w:p w14:paraId="27F7ED19" w14:textId="77777777" w:rsidR="00EB13C3" w:rsidRPr="00EB13C3" w:rsidRDefault="00EB13C3" w:rsidP="00EB13C3">
      <w:pPr>
        <w:pStyle w:val="Bibliography"/>
        <w:rPr>
          <w:rFonts w:eastAsiaTheme="minorHAnsi"/>
        </w:rPr>
      </w:pPr>
      <w:r w:rsidRPr="00EB13C3">
        <w:rPr>
          <w:rFonts w:eastAsiaTheme="minorHAnsi"/>
        </w:rPr>
        <w:lastRenderedPageBreak/>
        <w:t xml:space="preserve">26. </w:t>
      </w:r>
      <w:r w:rsidRPr="00EB13C3">
        <w:rPr>
          <w:rFonts w:eastAsiaTheme="minorHAnsi"/>
        </w:rPr>
        <w:tab/>
        <w:t xml:space="preserve">Y. Sun, X. Wang, L. Li, C. Zhong, Y. Zhang, X. Yang, M. Li, C. Yang, The role of gut microbiota in intestinal disease: from an oxidative stress perspective. </w:t>
      </w:r>
      <w:r w:rsidRPr="00EB13C3">
        <w:rPr>
          <w:rFonts w:eastAsiaTheme="minorHAnsi"/>
          <w:i/>
          <w:iCs/>
        </w:rPr>
        <w:t>Front. Microbiol.</w:t>
      </w:r>
      <w:r w:rsidRPr="00EB13C3">
        <w:rPr>
          <w:rFonts w:eastAsiaTheme="minorHAnsi"/>
        </w:rPr>
        <w:t xml:space="preserve"> </w:t>
      </w:r>
      <w:r w:rsidRPr="00EB13C3">
        <w:rPr>
          <w:rFonts w:eastAsiaTheme="minorHAnsi"/>
          <w:b/>
          <w:bCs/>
        </w:rPr>
        <w:t>15</w:t>
      </w:r>
      <w:r w:rsidRPr="00EB13C3">
        <w:rPr>
          <w:rFonts w:eastAsiaTheme="minorHAnsi"/>
        </w:rPr>
        <w:t xml:space="preserve"> (2024).</w:t>
      </w:r>
    </w:p>
    <w:p w14:paraId="6D4FAB7A" w14:textId="77777777" w:rsidR="00EB13C3" w:rsidRPr="00EB13C3" w:rsidRDefault="00EB13C3" w:rsidP="00EB13C3">
      <w:pPr>
        <w:pStyle w:val="Bibliography"/>
        <w:rPr>
          <w:rFonts w:eastAsiaTheme="minorHAnsi"/>
        </w:rPr>
      </w:pPr>
      <w:r w:rsidRPr="00EB13C3">
        <w:rPr>
          <w:rFonts w:eastAsiaTheme="minorHAnsi"/>
        </w:rPr>
        <w:t xml:space="preserve">27. </w:t>
      </w:r>
      <w:r w:rsidRPr="00EB13C3">
        <w:rPr>
          <w:rFonts w:eastAsiaTheme="minorHAnsi"/>
        </w:rPr>
        <w:tab/>
        <w:t xml:space="preserve">T. Yardeni, C. E. Tanes, K. Bittinger, L. M. Mattei, P. M. Schaefer, L. N. Singh, G. D. Wu, D. G. Murdock, D. C. Wallace, Host mitochondria influence gut microbiome diversity: A role for ROS. </w:t>
      </w:r>
      <w:r w:rsidRPr="00EB13C3">
        <w:rPr>
          <w:rFonts w:eastAsiaTheme="minorHAnsi"/>
          <w:i/>
          <w:iCs/>
        </w:rPr>
        <w:t>Science Signaling</w:t>
      </w:r>
      <w:r w:rsidRPr="00EB13C3">
        <w:rPr>
          <w:rFonts w:eastAsiaTheme="minorHAnsi"/>
        </w:rPr>
        <w:t xml:space="preserve"> </w:t>
      </w:r>
      <w:r w:rsidRPr="00EB13C3">
        <w:rPr>
          <w:rFonts w:eastAsiaTheme="minorHAnsi"/>
          <w:b/>
          <w:bCs/>
        </w:rPr>
        <w:t>12</w:t>
      </w:r>
      <w:r w:rsidRPr="00EB13C3">
        <w:rPr>
          <w:rFonts w:eastAsiaTheme="minorHAnsi"/>
        </w:rPr>
        <w:t>, eaaw3159 (2019).</w:t>
      </w:r>
    </w:p>
    <w:p w14:paraId="24724788" w14:textId="77777777" w:rsidR="00EB13C3" w:rsidRPr="00EB13C3" w:rsidRDefault="00EB13C3" w:rsidP="00EB13C3">
      <w:pPr>
        <w:pStyle w:val="Bibliography"/>
        <w:rPr>
          <w:rFonts w:eastAsiaTheme="minorHAnsi"/>
        </w:rPr>
      </w:pPr>
      <w:r w:rsidRPr="00EB13C3">
        <w:rPr>
          <w:rFonts w:eastAsiaTheme="minorHAnsi"/>
        </w:rPr>
        <w:t xml:space="preserve">28. </w:t>
      </w:r>
      <w:r w:rsidRPr="00EB13C3">
        <w:rPr>
          <w:rFonts w:eastAsiaTheme="minorHAnsi"/>
        </w:rPr>
        <w:tab/>
        <w:t xml:space="preserve">M. Fang, Z. Lei, M. Ruilin, W. Jing, D. Leqiang, High temperature stress induced oxidative stress, gut inflammation and disordered metabolome and microbiome in tsinling lenok trout. </w:t>
      </w:r>
      <w:r w:rsidRPr="00EB13C3">
        <w:rPr>
          <w:rFonts w:eastAsiaTheme="minorHAnsi"/>
          <w:i/>
          <w:iCs/>
        </w:rPr>
        <w:t>Ecotoxicology and Environmental Safety</w:t>
      </w:r>
      <w:r w:rsidRPr="00EB13C3">
        <w:rPr>
          <w:rFonts w:eastAsiaTheme="minorHAnsi"/>
        </w:rPr>
        <w:t xml:space="preserve"> </w:t>
      </w:r>
      <w:r w:rsidRPr="00EB13C3">
        <w:rPr>
          <w:rFonts w:eastAsiaTheme="minorHAnsi"/>
          <w:b/>
          <w:bCs/>
        </w:rPr>
        <w:t>266</w:t>
      </w:r>
      <w:r w:rsidRPr="00EB13C3">
        <w:rPr>
          <w:rFonts w:eastAsiaTheme="minorHAnsi"/>
        </w:rPr>
        <w:t>, 115607 (2023).</w:t>
      </w:r>
    </w:p>
    <w:p w14:paraId="4F2EE893" w14:textId="77777777" w:rsidR="00EB13C3" w:rsidRPr="00EB13C3" w:rsidRDefault="00EB13C3" w:rsidP="00EB13C3">
      <w:pPr>
        <w:pStyle w:val="Bibliography"/>
        <w:rPr>
          <w:rFonts w:eastAsiaTheme="minorHAnsi"/>
        </w:rPr>
      </w:pPr>
      <w:r w:rsidRPr="00EB13C3">
        <w:rPr>
          <w:rFonts w:eastAsiaTheme="minorHAnsi"/>
        </w:rPr>
        <w:t xml:space="preserve">29. </w:t>
      </w:r>
      <w:r w:rsidRPr="00EB13C3">
        <w:rPr>
          <w:rFonts w:eastAsiaTheme="minorHAnsi"/>
        </w:rPr>
        <w:tab/>
        <w:t xml:space="preserve">X. Liu, Z. Ma, Y. Wang, H. Jia, Z. Wang, L. Zhang, Heat stress exposure cause alterations in intestinal microbiota, transcriptome, and metabolome of broilers. </w:t>
      </w:r>
      <w:r w:rsidRPr="00EB13C3">
        <w:rPr>
          <w:rFonts w:eastAsiaTheme="minorHAnsi"/>
          <w:i/>
          <w:iCs/>
        </w:rPr>
        <w:t>Front. Microbiol.</w:t>
      </w:r>
      <w:r w:rsidRPr="00EB13C3">
        <w:rPr>
          <w:rFonts w:eastAsiaTheme="minorHAnsi"/>
        </w:rPr>
        <w:t xml:space="preserve"> </w:t>
      </w:r>
      <w:r w:rsidRPr="00EB13C3">
        <w:rPr>
          <w:rFonts w:eastAsiaTheme="minorHAnsi"/>
          <w:b/>
          <w:bCs/>
        </w:rPr>
        <w:t>14</w:t>
      </w:r>
      <w:r w:rsidRPr="00EB13C3">
        <w:rPr>
          <w:rFonts w:eastAsiaTheme="minorHAnsi"/>
        </w:rPr>
        <w:t xml:space="preserve"> (2023).</w:t>
      </w:r>
    </w:p>
    <w:p w14:paraId="559D23C5" w14:textId="77777777" w:rsidR="00EB13C3" w:rsidRPr="00EB13C3" w:rsidRDefault="00EB13C3" w:rsidP="00EB13C3">
      <w:pPr>
        <w:pStyle w:val="Bibliography"/>
        <w:rPr>
          <w:rFonts w:eastAsiaTheme="minorHAnsi"/>
        </w:rPr>
      </w:pPr>
      <w:r w:rsidRPr="00EB13C3">
        <w:rPr>
          <w:rFonts w:eastAsiaTheme="minorHAnsi"/>
        </w:rPr>
        <w:t xml:space="preserve">30. </w:t>
      </w:r>
      <w:r w:rsidRPr="00EB13C3">
        <w:rPr>
          <w:rFonts w:eastAsiaTheme="minorHAnsi"/>
        </w:rPr>
        <w:tab/>
        <w:t xml:space="preserve">B. Xia, W. Wu, W. Fang, X. Wen, J. Xie, H. Zhang, Heat stress-induced mucosal barrier dysfunction is potentially associated with gut microbiota dysbiosis in pigs. </w:t>
      </w:r>
      <w:r w:rsidRPr="00EB13C3">
        <w:rPr>
          <w:rFonts w:eastAsiaTheme="minorHAnsi"/>
          <w:i/>
          <w:iCs/>
        </w:rPr>
        <w:t>Animal Nutrition</w:t>
      </w:r>
      <w:r w:rsidRPr="00EB13C3">
        <w:rPr>
          <w:rFonts w:eastAsiaTheme="minorHAnsi"/>
        </w:rPr>
        <w:t xml:space="preserve"> </w:t>
      </w:r>
      <w:r w:rsidRPr="00EB13C3">
        <w:rPr>
          <w:rFonts w:eastAsiaTheme="minorHAnsi"/>
          <w:b/>
          <w:bCs/>
        </w:rPr>
        <w:t>8</w:t>
      </w:r>
      <w:r w:rsidRPr="00EB13C3">
        <w:rPr>
          <w:rFonts w:eastAsiaTheme="minorHAnsi"/>
        </w:rPr>
        <w:t>, 289–299 (2022).</w:t>
      </w:r>
    </w:p>
    <w:p w14:paraId="08722AA4" w14:textId="77777777" w:rsidR="00EB13C3" w:rsidRPr="00EB13C3" w:rsidRDefault="00EB13C3" w:rsidP="00EB13C3">
      <w:pPr>
        <w:pStyle w:val="Bibliography"/>
        <w:rPr>
          <w:rFonts w:eastAsiaTheme="minorHAnsi"/>
        </w:rPr>
      </w:pPr>
      <w:r w:rsidRPr="00EB13C3">
        <w:rPr>
          <w:rFonts w:eastAsiaTheme="minorHAnsi"/>
        </w:rPr>
        <w:t xml:space="preserve">31. </w:t>
      </w:r>
      <w:r w:rsidRPr="00EB13C3">
        <w:rPr>
          <w:rFonts w:eastAsiaTheme="minorHAnsi"/>
        </w:rPr>
        <w:tab/>
        <w:t xml:space="preserve">X. Bai, Y. Shi, L. Tang, L. Chen, H. Fan, H. Wang, J. Wang, X. Jia, S. Chen, S. Lai, Heat Stress Affects Faecal Microbial and Metabolic Alterations of Rabbits. </w:t>
      </w:r>
      <w:r w:rsidRPr="00EB13C3">
        <w:rPr>
          <w:rFonts w:eastAsiaTheme="minorHAnsi"/>
          <w:i/>
          <w:iCs/>
        </w:rPr>
        <w:t>Front. Microbiol.</w:t>
      </w:r>
      <w:r w:rsidRPr="00EB13C3">
        <w:rPr>
          <w:rFonts w:eastAsiaTheme="minorHAnsi"/>
        </w:rPr>
        <w:t xml:space="preserve"> </w:t>
      </w:r>
      <w:r w:rsidRPr="00EB13C3">
        <w:rPr>
          <w:rFonts w:eastAsiaTheme="minorHAnsi"/>
          <w:b/>
          <w:bCs/>
        </w:rPr>
        <w:t>12</w:t>
      </w:r>
      <w:r w:rsidRPr="00EB13C3">
        <w:rPr>
          <w:rFonts w:eastAsiaTheme="minorHAnsi"/>
        </w:rPr>
        <w:t xml:space="preserve"> (2022).</w:t>
      </w:r>
    </w:p>
    <w:p w14:paraId="1EDA828A" w14:textId="77777777" w:rsidR="00EB13C3" w:rsidRPr="00EB13C3" w:rsidRDefault="00EB13C3" w:rsidP="00EB13C3">
      <w:pPr>
        <w:pStyle w:val="Bibliography"/>
        <w:rPr>
          <w:rFonts w:eastAsiaTheme="minorHAnsi"/>
        </w:rPr>
      </w:pPr>
      <w:r w:rsidRPr="00EB13C3">
        <w:rPr>
          <w:rFonts w:eastAsiaTheme="minorHAnsi"/>
        </w:rPr>
        <w:t xml:space="preserve">32. </w:t>
      </w:r>
      <w:r w:rsidRPr="00EB13C3">
        <w:rPr>
          <w:rFonts w:eastAsiaTheme="minorHAnsi"/>
        </w:rPr>
        <w:tab/>
        <w:t xml:space="preserve">E. Bestion, S. Jacob, L. Zinger, L. Di Gesu, M. Richard, J. White, J. Cote, Climate warming reduces gut microbiota diversity in a vertebrate ectotherm. </w:t>
      </w:r>
      <w:r w:rsidRPr="00EB13C3">
        <w:rPr>
          <w:rFonts w:eastAsiaTheme="minorHAnsi"/>
          <w:i/>
          <w:iCs/>
        </w:rPr>
        <w:t>Nat Ecol Evol</w:t>
      </w:r>
      <w:r w:rsidRPr="00EB13C3">
        <w:rPr>
          <w:rFonts w:eastAsiaTheme="minorHAnsi"/>
        </w:rPr>
        <w:t xml:space="preserve"> </w:t>
      </w:r>
      <w:r w:rsidRPr="00EB13C3">
        <w:rPr>
          <w:rFonts w:eastAsiaTheme="minorHAnsi"/>
          <w:b/>
          <w:bCs/>
        </w:rPr>
        <w:t>1</w:t>
      </w:r>
      <w:r w:rsidRPr="00EB13C3">
        <w:rPr>
          <w:rFonts w:eastAsiaTheme="minorHAnsi"/>
        </w:rPr>
        <w:t>, 1–3 (2017).</w:t>
      </w:r>
    </w:p>
    <w:p w14:paraId="3FCE9B02" w14:textId="77777777" w:rsidR="00EB13C3" w:rsidRPr="00EB13C3" w:rsidRDefault="00EB13C3" w:rsidP="00EB13C3">
      <w:pPr>
        <w:pStyle w:val="Bibliography"/>
        <w:rPr>
          <w:rFonts w:eastAsiaTheme="minorHAnsi"/>
        </w:rPr>
      </w:pPr>
      <w:r w:rsidRPr="00EB13C3">
        <w:rPr>
          <w:rFonts w:eastAsiaTheme="minorHAnsi"/>
        </w:rPr>
        <w:t xml:space="preserve">33. </w:t>
      </w:r>
      <w:r w:rsidRPr="00EB13C3">
        <w:rPr>
          <w:rFonts w:eastAsiaTheme="minorHAnsi"/>
        </w:rPr>
        <w:tab/>
        <w:t xml:space="preserve">Z. Lu, R. Sethu, J. A. Imlay, Endogenous superoxide is a key effector of the oxygen sensitivity of a model obligate anaerobe.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115</w:t>
      </w:r>
      <w:r w:rsidRPr="00EB13C3">
        <w:rPr>
          <w:rFonts w:eastAsiaTheme="minorHAnsi"/>
        </w:rPr>
        <w:t>, E3266–E3275 (2018).</w:t>
      </w:r>
    </w:p>
    <w:p w14:paraId="741D8260" w14:textId="77777777" w:rsidR="00EB13C3" w:rsidRPr="00EB13C3" w:rsidRDefault="00EB13C3" w:rsidP="00EB13C3">
      <w:pPr>
        <w:pStyle w:val="Bibliography"/>
        <w:rPr>
          <w:rFonts w:eastAsiaTheme="minorHAnsi"/>
        </w:rPr>
      </w:pPr>
      <w:r w:rsidRPr="00EB13C3">
        <w:rPr>
          <w:rFonts w:eastAsiaTheme="minorHAnsi"/>
        </w:rPr>
        <w:t xml:space="preserve">34. </w:t>
      </w:r>
      <w:r w:rsidRPr="00EB13C3">
        <w:rPr>
          <w:rFonts w:eastAsiaTheme="minorHAnsi"/>
        </w:rPr>
        <w:tab/>
        <w:t xml:space="preserve">J. M. McCord, B. B. Keele, I. Fridovich, An Enzyme-Based Theory of Obligate Anaerobiosis: The Physiological Function of Superoxide Dismutase. </w:t>
      </w:r>
      <w:r w:rsidRPr="00EB13C3">
        <w:rPr>
          <w:rFonts w:eastAsiaTheme="minorHAnsi"/>
          <w:i/>
          <w:iCs/>
        </w:rPr>
        <w:t>Proceedings of the National Academy of Sciences</w:t>
      </w:r>
      <w:r w:rsidRPr="00EB13C3">
        <w:rPr>
          <w:rFonts w:eastAsiaTheme="minorHAnsi"/>
        </w:rPr>
        <w:t xml:space="preserve"> </w:t>
      </w:r>
      <w:r w:rsidRPr="00EB13C3">
        <w:rPr>
          <w:rFonts w:eastAsiaTheme="minorHAnsi"/>
          <w:b/>
          <w:bCs/>
        </w:rPr>
        <w:t>68</w:t>
      </w:r>
      <w:r w:rsidRPr="00EB13C3">
        <w:rPr>
          <w:rFonts w:eastAsiaTheme="minorHAnsi"/>
        </w:rPr>
        <w:t>, 1024–1027 (1971).</w:t>
      </w:r>
    </w:p>
    <w:p w14:paraId="2B1F973C" w14:textId="77777777" w:rsidR="00EB13C3" w:rsidRPr="00EB13C3" w:rsidRDefault="00EB13C3" w:rsidP="00EB13C3">
      <w:pPr>
        <w:pStyle w:val="Bibliography"/>
        <w:rPr>
          <w:rFonts w:eastAsiaTheme="minorHAnsi"/>
        </w:rPr>
      </w:pPr>
      <w:r w:rsidRPr="00EB13C3">
        <w:rPr>
          <w:rFonts w:eastAsiaTheme="minorHAnsi"/>
        </w:rPr>
        <w:t xml:space="preserve">35. </w:t>
      </w:r>
      <w:r w:rsidRPr="00EB13C3">
        <w:rPr>
          <w:rFonts w:eastAsiaTheme="minorHAnsi"/>
        </w:rPr>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EB13C3">
        <w:rPr>
          <w:rFonts w:eastAsiaTheme="minorHAnsi"/>
          <w:i/>
          <w:iCs/>
        </w:rPr>
        <w:t>Gastroenterology</w:t>
      </w:r>
      <w:r w:rsidRPr="00EB13C3">
        <w:rPr>
          <w:rFonts w:eastAsiaTheme="minorHAnsi"/>
        </w:rPr>
        <w:t xml:space="preserve"> </w:t>
      </w:r>
      <w:r w:rsidRPr="00EB13C3">
        <w:rPr>
          <w:rFonts w:eastAsiaTheme="minorHAnsi"/>
          <w:b/>
          <w:bCs/>
        </w:rPr>
        <w:t>147</w:t>
      </w:r>
      <w:r w:rsidRPr="00EB13C3">
        <w:rPr>
          <w:rFonts w:eastAsiaTheme="minorHAnsi"/>
        </w:rPr>
        <w:t>, 1055-1063.e8 (2014).</w:t>
      </w:r>
    </w:p>
    <w:p w14:paraId="75F9A419" w14:textId="77777777" w:rsidR="00EB13C3" w:rsidRPr="00EB13C3" w:rsidRDefault="00EB13C3" w:rsidP="00EB13C3">
      <w:pPr>
        <w:pStyle w:val="Bibliography"/>
        <w:rPr>
          <w:rFonts w:eastAsiaTheme="minorHAnsi"/>
        </w:rPr>
      </w:pPr>
      <w:r w:rsidRPr="00EB13C3">
        <w:rPr>
          <w:rFonts w:eastAsiaTheme="minorHAnsi"/>
        </w:rPr>
        <w:t xml:space="preserve">36. </w:t>
      </w:r>
      <w:r w:rsidRPr="00EB13C3">
        <w:rPr>
          <w:rFonts w:eastAsiaTheme="minorHAnsi"/>
        </w:rPr>
        <w:tab/>
        <w:t xml:space="preserve">N.-R. Shin, T. W. Whon, J.-W. Bae, </w:t>
      </w:r>
      <w:r w:rsidRPr="00EB13C3">
        <w:rPr>
          <w:rFonts w:eastAsiaTheme="minorHAnsi"/>
          <w:i/>
          <w:iCs/>
        </w:rPr>
        <w:t>Proteobacteria</w:t>
      </w:r>
      <w:r w:rsidRPr="00EB13C3">
        <w:rPr>
          <w:rFonts w:eastAsiaTheme="minorHAnsi"/>
        </w:rPr>
        <w:t xml:space="preserve">: microbial signature of dysbiosis in gut microbiota. </w:t>
      </w:r>
      <w:r w:rsidRPr="00EB13C3">
        <w:rPr>
          <w:rFonts w:eastAsiaTheme="minorHAnsi"/>
          <w:i/>
          <w:iCs/>
        </w:rPr>
        <w:t>Trends in Biotechnology</w:t>
      </w:r>
      <w:r w:rsidRPr="00EB13C3">
        <w:rPr>
          <w:rFonts w:eastAsiaTheme="minorHAnsi"/>
        </w:rPr>
        <w:t xml:space="preserve"> </w:t>
      </w:r>
      <w:r w:rsidRPr="00EB13C3">
        <w:rPr>
          <w:rFonts w:eastAsiaTheme="minorHAnsi"/>
          <w:b/>
          <w:bCs/>
        </w:rPr>
        <w:t>33</w:t>
      </w:r>
      <w:r w:rsidRPr="00EB13C3">
        <w:rPr>
          <w:rFonts w:eastAsiaTheme="minorHAnsi"/>
        </w:rPr>
        <w:t>, 496–503 (2015).</w:t>
      </w:r>
    </w:p>
    <w:p w14:paraId="051941FB" w14:textId="77777777" w:rsidR="00EB13C3" w:rsidRPr="00EB13C3" w:rsidRDefault="00EB13C3" w:rsidP="00EB13C3">
      <w:pPr>
        <w:pStyle w:val="Bibliography"/>
        <w:rPr>
          <w:rFonts w:eastAsiaTheme="minorHAnsi"/>
        </w:rPr>
      </w:pPr>
      <w:r w:rsidRPr="00EB13C3">
        <w:rPr>
          <w:rFonts w:eastAsiaTheme="minorHAnsi"/>
        </w:rPr>
        <w:t xml:space="preserve">37. </w:t>
      </w:r>
      <w:r w:rsidRPr="00EB13C3">
        <w:rPr>
          <w:rFonts w:eastAsiaTheme="minorHAnsi"/>
        </w:rPr>
        <w:tab/>
        <w:t xml:space="preserve">H. J. Flint, Scott ,Karen P., Duncan ,Sylvia H., Louis ,Petra, E. and Forano, Microbial degradation of complex carbohydrates in the gut. </w:t>
      </w:r>
      <w:r w:rsidRPr="00EB13C3">
        <w:rPr>
          <w:rFonts w:eastAsiaTheme="minorHAnsi"/>
          <w:i/>
          <w:iCs/>
        </w:rPr>
        <w:t>Gut Microbes</w:t>
      </w:r>
      <w:r w:rsidRPr="00EB13C3">
        <w:rPr>
          <w:rFonts w:eastAsiaTheme="minorHAnsi"/>
        </w:rPr>
        <w:t xml:space="preserve"> </w:t>
      </w:r>
      <w:r w:rsidRPr="00EB13C3">
        <w:rPr>
          <w:rFonts w:eastAsiaTheme="minorHAnsi"/>
          <w:b/>
          <w:bCs/>
        </w:rPr>
        <w:t>3</w:t>
      </w:r>
      <w:r w:rsidRPr="00EB13C3">
        <w:rPr>
          <w:rFonts w:eastAsiaTheme="minorHAnsi"/>
        </w:rPr>
        <w:t>, 289–306 (2012).</w:t>
      </w:r>
    </w:p>
    <w:p w14:paraId="3504E711" w14:textId="77777777" w:rsidR="00EB13C3" w:rsidRPr="00EB13C3" w:rsidRDefault="00EB13C3" w:rsidP="00EB13C3">
      <w:pPr>
        <w:pStyle w:val="Bibliography"/>
        <w:rPr>
          <w:rFonts w:eastAsiaTheme="minorHAnsi"/>
        </w:rPr>
      </w:pPr>
      <w:r w:rsidRPr="00EB13C3">
        <w:rPr>
          <w:rFonts w:eastAsiaTheme="minorHAnsi"/>
        </w:rPr>
        <w:lastRenderedPageBreak/>
        <w:t xml:space="preserve">38. </w:t>
      </w:r>
      <w:r w:rsidRPr="00EB13C3">
        <w:rPr>
          <w:rFonts w:eastAsiaTheme="minorHAnsi"/>
        </w:rPr>
        <w:tab/>
        <w:t xml:space="preserve">L. V. Hooper, T. Midtvedt, J. I. Gordon, How host-microbial interactions shape the nutrient environment of the mammalian intestine. </w:t>
      </w:r>
      <w:r w:rsidRPr="00EB13C3">
        <w:rPr>
          <w:rFonts w:eastAsiaTheme="minorHAnsi"/>
          <w:i/>
          <w:iCs/>
        </w:rPr>
        <w:t>Annual Review of Nutrition</w:t>
      </w:r>
      <w:r w:rsidRPr="00EB13C3">
        <w:rPr>
          <w:rFonts w:eastAsiaTheme="minorHAnsi"/>
        </w:rPr>
        <w:t xml:space="preserve"> </w:t>
      </w:r>
      <w:r w:rsidRPr="00EB13C3">
        <w:rPr>
          <w:rFonts w:eastAsiaTheme="minorHAnsi"/>
          <w:b/>
          <w:bCs/>
        </w:rPr>
        <w:t>22</w:t>
      </w:r>
      <w:r w:rsidRPr="00EB13C3">
        <w:rPr>
          <w:rFonts w:eastAsiaTheme="minorHAnsi"/>
        </w:rPr>
        <w:t>, 283–307 (2002).</w:t>
      </w:r>
    </w:p>
    <w:p w14:paraId="18214973" w14:textId="77777777" w:rsidR="00EB13C3" w:rsidRPr="00EB13C3" w:rsidRDefault="00EB13C3" w:rsidP="00EB13C3">
      <w:pPr>
        <w:pStyle w:val="Bibliography"/>
        <w:rPr>
          <w:rFonts w:eastAsiaTheme="minorHAnsi"/>
        </w:rPr>
      </w:pPr>
      <w:r w:rsidRPr="00EB13C3">
        <w:rPr>
          <w:rFonts w:eastAsiaTheme="minorHAnsi"/>
        </w:rPr>
        <w:t xml:space="preserve">39. </w:t>
      </w:r>
      <w:r w:rsidRPr="00EB13C3">
        <w:rPr>
          <w:rFonts w:eastAsiaTheme="minorHAnsi"/>
        </w:rPr>
        <w:tab/>
        <w:t xml:space="preserve">E. Maier, R. C. Anderson, N. C. Roy, Understanding How Commensal Obligate Anaerobic Bacteria Regulate Immune Functions in the Large Intestine. </w:t>
      </w:r>
      <w:r w:rsidRPr="00EB13C3">
        <w:rPr>
          <w:rFonts w:eastAsiaTheme="minorHAnsi"/>
          <w:i/>
          <w:iCs/>
        </w:rPr>
        <w:t>Nutrients</w:t>
      </w:r>
      <w:r w:rsidRPr="00EB13C3">
        <w:rPr>
          <w:rFonts w:eastAsiaTheme="minorHAnsi"/>
        </w:rPr>
        <w:t xml:space="preserve"> </w:t>
      </w:r>
      <w:r w:rsidRPr="00EB13C3">
        <w:rPr>
          <w:rFonts w:eastAsiaTheme="minorHAnsi"/>
          <w:b/>
          <w:bCs/>
        </w:rPr>
        <w:t>7</w:t>
      </w:r>
      <w:r w:rsidRPr="00EB13C3">
        <w:rPr>
          <w:rFonts w:eastAsiaTheme="minorHAnsi"/>
        </w:rPr>
        <w:t>, 45–73 (2014).</w:t>
      </w:r>
    </w:p>
    <w:p w14:paraId="500B8530" w14:textId="77777777" w:rsidR="00EB13C3" w:rsidRPr="00EB13C3" w:rsidRDefault="00EB13C3" w:rsidP="00EB13C3">
      <w:pPr>
        <w:pStyle w:val="Bibliography"/>
        <w:rPr>
          <w:rFonts w:eastAsiaTheme="minorHAnsi"/>
        </w:rPr>
      </w:pPr>
      <w:r w:rsidRPr="00EB13C3">
        <w:rPr>
          <w:rFonts w:eastAsiaTheme="minorHAnsi"/>
        </w:rPr>
        <w:t xml:space="preserve">40. </w:t>
      </w:r>
      <w:r w:rsidRPr="00EB13C3">
        <w:rPr>
          <w:rFonts w:eastAsiaTheme="minorHAnsi"/>
        </w:rPr>
        <w:tab/>
        <w:t xml:space="preserve">R. Corrêa-Oliveira, J. L. Fachi, A. Vieira, F. T. Sato, M. A. R. Vinolo, Regulation of immune cell function by short-chain fatty acids. </w:t>
      </w:r>
      <w:r w:rsidRPr="00EB13C3">
        <w:rPr>
          <w:rFonts w:eastAsiaTheme="minorHAnsi"/>
          <w:i/>
          <w:iCs/>
        </w:rPr>
        <w:t>Clinical &amp; Translational Immunology</w:t>
      </w:r>
      <w:r w:rsidRPr="00EB13C3">
        <w:rPr>
          <w:rFonts w:eastAsiaTheme="minorHAnsi"/>
        </w:rPr>
        <w:t xml:space="preserve"> </w:t>
      </w:r>
      <w:r w:rsidRPr="00EB13C3">
        <w:rPr>
          <w:rFonts w:eastAsiaTheme="minorHAnsi"/>
          <w:b/>
          <w:bCs/>
        </w:rPr>
        <w:t>5</w:t>
      </w:r>
      <w:r w:rsidRPr="00EB13C3">
        <w:rPr>
          <w:rFonts w:eastAsiaTheme="minorHAnsi"/>
        </w:rPr>
        <w:t>, e73 (2016).</w:t>
      </w:r>
    </w:p>
    <w:p w14:paraId="6501560E" w14:textId="77777777" w:rsidR="00EB13C3" w:rsidRPr="00EB13C3" w:rsidRDefault="00EB13C3" w:rsidP="00EB13C3">
      <w:pPr>
        <w:pStyle w:val="Bibliography"/>
        <w:rPr>
          <w:rFonts w:eastAsiaTheme="minorHAnsi"/>
        </w:rPr>
      </w:pPr>
      <w:r w:rsidRPr="00EB13C3">
        <w:rPr>
          <w:rFonts w:eastAsiaTheme="minorHAnsi"/>
        </w:rPr>
        <w:t xml:space="preserve">41. </w:t>
      </w:r>
      <w:r w:rsidRPr="00EB13C3">
        <w:rPr>
          <w:rFonts w:eastAsiaTheme="minorHAnsi"/>
        </w:rPr>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446–450 (2013).</w:t>
      </w:r>
    </w:p>
    <w:p w14:paraId="7F4F4C32" w14:textId="77777777" w:rsidR="00EB13C3" w:rsidRPr="00EB13C3" w:rsidRDefault="00EB13C3" w:rsidP="00EB13C3">
      <w:pPr>
        <w:pStyle w:val="Bibliography"/>
        <w:rPr>
          <w:rFonts w:eastAsiaTheme="minorHAnsi"/>
        </w:rPr>
      </w:pPr>
      <w:r w:rsidRPr="00EB13C3">
        <w:rPr>
          <w:rFonts w:eastAsiaTheme="minorHAnsi"/>
        </w:rPr>
        <w:t xml:space="preserve">42. </w:t>
      </w:r>
      <w:r w:rsidRPr="00EB13C3">
        <w:rPr>
          <w:rFonts w:eastAsiaTheme="minorHAnsi"/>
        </w:rPr>
        <w:tab/>
        <w:t xml:space="preserve">L. Klampfer, J. Huang, T. Sasazuki, S. Shirasawa, L. Augenlicht, Inhibition of Interferon γ Signaling by the Short Chain Fatty Acid Butyrate1. </w:t>
      </w:r>
      <w:r w:rsidRPr="00EB13C3">
        <w:rPr>
          <w:rFonts w:eastAsiaTheme="minorHAnsi"/>
          <w:i/>
          <w:iCs/>
        </w:rPr>
        <w:t>Molecular Cancer Research</w:t>
      </w:r>
      <w:r w:rsidRPr="00EB13C3">
        <w:rPr>
          <w:rFonts w:eastAsiaTheme="minorHAnsi"/>
        </w:rPr>
        <w:t xml:space="preserve"> </w:t>
      </w:r>
      <w:r w:rsidRPr="00EB13C3">
        <w:rPr>
          <w:rFonts w:eastAsiaTheme="minorHAnsi"/>
          <w:b/>
          <w:bCs/>
        </w:rPr>
        <w:t>1</w:t>
      </w:r>
      <w:r w:rsidRPr="00EB13C3">
        <w:rPr>
          <w:rFonts w:eastAsiaTheme="minorHAnsi"/>
        </w:rPr>
        <w:t>, 855–862 (2003).</w:t>
      </w:r>
    </w:p>
    <w:p w14:paraId="202B16B2" w14:textId="77777777" w:rsidR="00EB13C3" w:rsidRPr="00EB13C3" w:rsidRDefault="00EB13C3" w:rsidP="00EB13C3">
      <w:pPr>
        <w:pStyle w:val="Bibliography"/>
        <w:rPr>
          <w:rFonts w:eastAsiaTheme="minorHAnsi"/>
        </w:rPr>
      </w:pPr>
      <w:r w:rsidRPr="00EB13C3">
        <w:rPr>
          <w:rFonts w:eastAsiaTheme="minorHAnsi"/>
        </w:rPr>
        <w:t xml:space="preserve">43. </w:t>
      </w:r>
      <w:r w:rsidRPr="00EB13C3">
        <w:rPr>
          <w:rFonts w:eastAsiaTheme="minorHAnsi"/>
        </w:rPr>
        <w:tab/>
        <w:t xml:space="preserve">X. Liu, J. Shao, Y.-T. Liao, L.-N. Wang, Y. Jia, P. Dong, Z. Liu, D. He, C. Li, X. Zhang, Regulation of short-chain fatty acids in the immune system. </w:t>
      </w:r>
      <w:r w:rsidRPr="00EB13C3">
        <w:rPr>
          <w:rFonts w:eastAsiaTheme="minorHAnsi"/>
          <w:i/>
          <w:iCs/>
        </w:rPr>
        <w:t>Front Immunol</w:t>
      </w:r>
      <w:r w:rsidRPr="00EB13C3">
        <w:rPr>
          <w:rFonts w:eastAsiaTheme="minorHAnsi"/>
        </w:rPr>
        <w:t xml:space="preserve"> </w:t>
      </w:r>
      <w:r w:rsidRPr="00EB13C3">
        <w:rPr>
          <w:rFonts w:eastAsiaTheme="minorHAnsi"/>
          <w:b/>
          <w:bCs/>
        </w:rPr>
        <w:t>14</w:t>
      </w:r>
      <w:r w:rsidRPr="00EB13C3">
        <w:rPr>
          <w:rFonts w:eastAsiaTheme="minorHAnsi"/>
        </w:rPr>
        <w:t>, 1186892 (2023).</w:t>
      </w:r>
    </w:p>
    <w:p w14:paraId="30128029" w14:textId="77777777" w:rsidR="00EB13C3" w:rsidRPr="00EB13C3" w:rsidRDefault="00EB13C3" w:rsidP="00EB13C3">
      <w:pPr>
        <w:pStyle w:val="Bibliography"/>
        <w:rPr>
          <w:rFonts w:eastAsiaTheme="minorHAnsi"/>
        </w:rPr>
      </w:pPr>
      <w:r w:rsidRPr="00EB13C3">
        <w:rPr>
          <w:rFonts w:eastAsiaTheme="minorHAnsi"/>
        </w:rPr>
        <w:t xml:space="preserve">44. </w:t>
      </w:r>
      <w:r w:rsidRPr="00EB13C3">
        <w:rPr>
          <w:rFonts w:eastAsiaTheme="minorHAnsi"/>
        </w:rPr>
        <w:tab/>
        <w:t xml:space="preserve">Z. Yu, J. M. Cantet, H. A. Paz, J. D. Kaufman, M. S. Orellano, I. R. Ipharraguerre, A. G. Ríus, Heat stress–associated changes in the intestinal barrier, inflammatory signals, and microbiome communities in dairy calves. </w:t>
      </w:r>
      <w:r w:rsidRPr="00EB13C3">
        <w:rPr>
          <w:rFonts w:eastAsiaTheme="minorHAnsi"/>
          <w:i/>
          <w:iCs/>
        </w:rPr>
        <w:t>Journal of Dairy Science</w:t>
      </w:r>
      <w:r w:rsidRPr="00EB13C3">
        <w:rPr>
          <w:rFonts w:eastAsiaTheme="minorHAnsi"/>
        </w:rPr>
        <w:t xml:space="preserve"> </w:t>
      </w:r>
      <w:r w:rsidRPr="00EB13C3">
        <w:rPr>
          <w:rFonts w:eastAsiaTheme="minorHAnsi"/>
          <w:b/>
          <w:bCs/>
        </w:rPr>
        <w:t>107</w:t>
      </w:r>
      <w:r w:rsidRPr="00EB13C3">
        <w:rPr>
          <w:rFonts w:eastAsiaTheme="minorHAnsi"/>
        </w:rPr>
        <w:t>, 1175–1196 (2024).</w:t>
      </w:r>
    </w:p>
    <w:p w14:paraId="50CB6209" w14:textId="77777777" w:rsidR="00EB13C3" w:rsidRPr="00EB13C3" w:rsidRDefault="00EB13C3" w:rsidP="00EB13C3">
      <w:pPr>
        <w:pStyle w:val="Bibliography"/>
        <w:rPr>
          <w:rFonts w:eastAsiaTheme="minorHAnsi"/>
        </w:rPr>
      </w:pPr>
      <w:r w:rsidRPr="00EB13C3">
        <w:rPr>
          <w:rFonts w:eastAsiaTheme="minorHAnsi"/>
        </w:rPr>
        <w:t xml:space="preserve">45. </w:t>
      </w:r>
      <w:r w:rsidRPr="00EB13C3">
        <w:rPr>
          <w:rFonts w:eastAsiaTheme="minorHAnsi"/>
        </w:rPr>
        <w:tab/>
        <w:t xml:space="preserve">J. He, Y. He, D. Pan, J. Cao, Y. Sun, X. Zeng, Associations of Gut Microbiota With Heat Stress-Induced Changes of Growth, Fat Deposition, Intestinal Morphology, and Antioxidant Capacity in Ducks. </w:t>
      </w:r>
      <w:r w:rsidRPr="00EB13C3">
        <w:rPr>
          <w:rFonts w:eastAsiaTheme="minorHAnsi"/>
          <w:i/>
          <w:iCs/>
        </w:rPr>
        <w:t>Front. Microbiol.</w:t>
      </w:r>
      <w:r w:rsidRPr="00EB13C3">
        <w:rPr>
          <w:rFonts w:eastAsiaTheme="minorHAnsi"/>
        </w:rPr>
        <w:t xml:space="preserve"> </w:t>
      </w:r>
      <w:r w:rsidRPr="00EB13C3">
        <w:rPr>
          <w:rFonts w:eastAsiaTheme="minorHAnsi"/>
          <w:b/>
          <w:bCs/>
        </w:rPr>
        <w:t>10</w:t>
      </w:r>
      <w:r w:rsidRPr="00EB13C3">
        <w:rPr>
          <w:rFonts w:eastAsiaTheme="minorHAnsi"/>
        </w:rPr>
        <w:t xml:space="preserve"> (2019).</w:t>
      </w:r>
    </w:p>
    <w:p w14:paraId="257CD581" w14:textId="77777777" w:rsidR="00EB13C3" w:rsidRPr="00EB13C3" w:rsidRDefault="00EB13C3" w:rsidP="00EB13C3">
      <w:pPr>
        <w:pStyle w:val="Bibliography"/>
        <w:rPr>
          <w:rFonts w:eastAsiaTheme="minorHAnsi"/>
        </w:rPr>
      </w:pPr>
      <w:r w:rsidRPr="00EB13C3">
        <w:rPr>
          <w:rFonts w:eastAsiaTheme="minorHAnsi"/>
        </w:rPr>
        <w:t xml:space="preserve">46. </w:t>
      </w:r>
      <w:r w:rsidRPr="00EB13C3">
        <w:rPr>
          <w:rFonts w:eastAsiaTheme="minorHAnsi"/>
        </w:rPr>
        <w:tab/>
        <w:t xml:space="preserve">Y.-J. Seo, L. Chiwoong, L. Byeonghwi, K. Jun-Mo, Microbial-transcriptome integrative analysis of heat stress effects on amino acid metabolism and lipid peroxidation in poultry jejunum. </w:t>
      </w:r>
      <w:r w:rsidRPr="00EB13C3">
        <w:rPr>
          <w:rFonts w:eastAsiaTheme="minorHAnsi"/>
          <w:i/>
          <w:iCs/>
        </w:rPr>
        <w:t>Animal Biotechnology</w:t>
      </w:r>
      <w:r w:rsidRPr="00EB13C3">
        <w:rPr>
          <w:rFonts w:eastAsiaTheme="minorHAnsi"/>
        </w:rPr>
        <w:t xml:space="preserve"> </w:t>
      </w:r>
      <w:r w:rsidRPr="00EB13C3">
        <w:rPr>
          <w:rFonts w:eastAsiaTheme="minorHAnsi"/>
          <w:b/>
          <w:bCs/>
        </w:rPr>
        <w:t>35</w:t>
      </w:r>
      <w:r w:rsidRPr="00EB13C3">
        <w:rPr>
          <w:rFonts w:eastAsiaTheme="minorHAnsi"/>
        </w:rPr>
        <w:t>, 2331179 (2024).</w:t>
      </w:r>
    </w:p>
    <w:p w14:paraId="41176E5C" w14:textId="77777777" w:rsidR="00EB13C3" w:rsidRPr="00EB13C3" w:rsidRDefault="00EB13C3" w:rsidP="00EB13C3">
      <w:pPr>
        <w:pStyle w:val="Bibliography"/>
        <w:rPr>
          <w:rFonts w:eastAsiaTheme="minorHAnsi"/>
        </w:rPr>
      </w:pPr>
      <w:r w:rsidRPr="00EB13C3">
        <w:rPr>
          <w:rFonts w:eastAsiaTheme="minorHAnsi"/>
        </w:rPr>
        <w:t xml:space="preserve">47. </w:t>
      </w:r>
      <w:r w:rsidRPr="00EB13C3">
        <w:rPr>
          <w:rFonts w:eastAsiaTheme="minorHAnsi"/>
        </w:rPr>
        <w:tab/>
        <w:t xml:space="preserve">K. J. Emerson, S. S. Fontaine, K. D. Kohl, S. K. Woodley, Temperature and the microbial environment alter brain morphology in a larval amphibian. </w:t>
      </w:r>
      <w:r w:rsidRPr="00EB13C3">
        <w:rPr>
          <w:rFonts w:eastAsiaTheme="minorHAnsi"/>
          <w:i/>
          <w:iCs/>
        </w:rPr>
        <w:t>Journal of Experimental Biology</w:t>
      </w:r>
      <w:r w:rsidRPr="00EB13C3">
        <w:rPr>
          <w:rFonts w:eastAsiaTheme="minorHAnsi"/>
        </w:rPr>
        <w:t xml:space="preserve"> </w:t>
      </w:r>
      <w:r w:rsidRPr="00EB13C3">
        <w:rPr>
          <w:rFonts w:eastAsiaTheme="minorHAnsi"/>
          <w:b/>
          <w:bCs/>
        </w:rPr>
        <w:t>226</w:t>
      </w:r>
      <w:r w:rsidRPr="00EB13C3">
        <w:rPr>
          <w:rFonts w:eastAsiaTheme="minorHAnsi"/>
        </w:rPr>
        <w:t>, jeb245333 (2023).</w:t>
      </w:r>
    </w:p>
    <w:p w14:paraId="3AF1979D" w14:textId="77777777" w:rsidR="00EB13C3" w:rsidRPr="00EB13C3" w:rsidRDefault="00EB13C3" w:rsidP="00EB13C3">
      <w:pPr>
        <w:pStyle w:val="Bibliography"/>
        <w:rPr>
          <w:rFonts w:eastAsiaTheme="minorHAnsi"/>
        </w:rPr>
      </w:pPr>
      <w:r w:rsidRPr="00EB13C3">
        <w:rPr>
          <w:rFonts w:eastAsiaTheme="minorHAnsi"/>
        </w:rPr>
        <w:t xml:space="preserve">48. </w:t>
      </w:r>
      <w:r w:rsidRPr="00EB13C3">
        <w:rPr>
          <w:rFonts w:eastAsiaTheme="minorHAnsi"/>
        </w:rPr>
        <w:tab/>
        <w:t xml:space="preserve">A. H. Moeller, K. Ivey, M. B. Cornwall, K. Herr, J. Rede, E. N. Taylor, A. R. Gunderson, The Lizard Gut Microbiome Changes with Temperature and Is Associated with Heat Tolerance. </w:t>
      </w:r>
      <w:r w:rsidRPr="00EB13C3">
        <w:rPr>
          <w:rFonts w:eastAsiaTheme="minorHAnsi"/>
          <w:i/>
          <w:iCs/>
        </w:rPr>
        <w:t>Applied and Environmental Microbiology</w:t>
      </w:r>
      <w:r w:rsidRPr="00EB13C3">
        <w:rPr>
          <w:rFonts w:eastAsiaTheme="minorHAnsi"/>
        </w:rPr>
        <w:t xml:space="preserve"> </w:t>
      </w:r>
      <w:r w:rsidRPr="00EB13C3">
        <w:rPr>
          <w:rFonts w:eastAsiaTheme="minorHAnsi"/>
          <w:b/>
          <w:bCs/>
        </w:rPr>
        <w:t>86</w:t>
      </w:r>
      <w:r w:rsidRPr="00EB13C3">
        <w:rPr>
          <w:rFonts w:eastAsiaTheme="minorHAnsi"/>
        </w:rPr>
        <w:t>, e01181-20 (2020).</w:t>
      </w:r>
    </w:p>
    <w:p w14:paraId="615233DB" w14:textId="77777777" w:rsidR="00EB13C3" w:rsidRPr="00EB13C3" w:rsidRDefault="00EB13C3" w:rsidP="00EB13C3">
      <w:pPr>
        <w:pStyle w:val="Bibliography"/>
        <w:rPr>
          <w:rFonts w:eastAsiaTheme="minorHAnsi"/>
        </w:rPr>
      </w:pPr>
      <w:r w:rsidRPr="00EB13C3">
        <w:rPr>
          <w:rFonts w:eastAsiaTheme="minorHAnsi"/>
        </w:rPr>
        <w:lastRenderedPageBreak/>
        <w:t xml:space="preserve">49. </w:t>
      </w:r>
      <w:r w:rsidRPr="00EB13C3">
        <w:rPr>
          <w:rFonts w:eastAsiaTheme="minorHAnsi"/>
        </w:rPr>
        <w:tab/>
        <w:t xml:space="preserve">G. Wang, X. Li, Y. Zhou, J. Feng, M. Zhang, Effects of Heat Stress on Gut-Microbial Metabolites, Gastrointestinal Peptides, Glycolipid Metabolism, and Performance of Broilers. </w:t>
      </w:r>
      <w:r w:rsidRPr="00EB13C3">
        <w:rPr>
          <w:rFonts w:eastAsiaTheme="minorHAnsi"/>
          <w:i/>
          <w:iCs/>
        </w:rPr>
        <w:t>Animals</w:t>
      </w:r>
      <w:r w:rsidRPr="00EB13C3">
        <w:rPr>
          <w:rFonts w:eastAsiaTheme="minorHAnsi"/>
        </w:rPr>
        <w:t xml:space="preserve"> </w:t>
      </w:r>
      <w:r w:rsidRPr="00EB13C3">
        <w:rPr>
          <w:rFonts w:eastAsiaTheme="minorHAnsi"/>
          <w:b/>
          <w:bCs/>
        </w:rPr>
        <w:t>11</w:t>
      </w:r>
      <w:r w:rsidRPr="00EB13C3">
        <w:rPr>
          <w:rFonts w:eastAsiaTheme="minorHAnsi"/>
        </w:rPr>
        <w:t>, 1286 (2021).</w:t>
      </w:r>
    </w:p>
    <w:p w14:paraId="299C3FE3" w14:textId="77777777" w:rsidR="00EB13C3" w:rsidRPr="00EB13C3" w:rsidRDefault="00EB13C3" w:rsidP="00EB13C3">
      <w:pPr>
        <w:pStyle w:val="Bibliography"/>
        <w:rPr>
          <w:rFonts w:eastAsiaTheme="minorHAnsi"/>
        </w:rPr>
      </w:pPr>
      <w:r w:rsidRPr="00EB13C3">
        <w:rPr>
          <w:rFonts w:eastAsiaTheme="minorHAnsi"/>
        </w:rPr>
        <w:t xml:space="preserve">50. </w:t>
      </w:r>
      <w:r w:rsidRPr="00EB13C3">
        <w:rPr>
          <w:rFonts w:eastAsiaTheme="minorHAnsi"/>
        </w:rPr>
        <w:tab/>
        <w:t xml:space="preserve">C. Murr, B. Widner, B. Wirleitner, D. Fuchs, Neopterin as a marker for immune system activation. </w:t>
      </w:r>
      <w:r w:rsidRPr="00EB13C3">
        <w:rPr>
          <w:rFonts w:eastAsiaTheme="minorHAnsi"/>
          <w:i/>
          <w:iCs/>
        </w:rPr>
        <w:t>Curr Drug Metab</w:t>
      </w:r>
      <w:r w:rsidRPr="00EB13C3">
        <w:rPr>
          <w:rFonts w:eastAsiaTheme="minorHAnsi"/>
        </w:rPr>
        <w:t xml:space="preserve"> </w:t>
      </w:r>
      <w:r w:rsidRPr="00EB13C3">
        <w:rPr>
          <w:rFonts w:eastAsiaTheme="minorHAnsi"/>
          <w:b/>
          <w:bCs/>
        </w:rPr>
        <w:t>3</w:t>
      </w:r>
      <w:r w:rsidRPr="00EB13C3">
        <w:rPr>
          <w:rFonts w:eastAsiaTheme="minorHAnsi"/>
        </w:rPr>
        <w:t>, 175–187 (2002).</w:t>
      </w:r>
    </w:p>
    <w:p w14:paraId="6A4BAD72" w14:textId="77777777" w:rsidR="00EB13C3" w:rsidRPr="00EB13C3" w:rsidRDefault="00EB13C3" w:rsidP="00EB13C3">
      <w:pPr>
        <w:pStyle w:val="Bibliography"/>
        <w:rPr>
          <w:rFonts w:eastAsiaTheme="minorHAnsi"/>
        </w:rPr>
      </w:pPr>
      <w:r w:rsidRPr="00EB13C3">
        <w:rPr>
          <w:rFonts w:eastAsiaTheme="minorHAnsi"/>
        </w:rPr>
        <w:t xml:space="preserve">51. </w:t>
      </w:r>
      <w:r w:rsidRPr="00EB13C3">
        <w:rPr>
          <w:rFonts w:eastAsiaTheme="minorHAnsi"/>
        </w:rPr>
        <w:tab/>
        <w:t xml:space="preserve">B. Kelsall, Recent progress in understanding the phenotype and function of intestinal dendritic cells and macrophages. </w:t>
      </w:r>
      <w:r w:rsidRPr="00EB13C3">
        <w:rPr>
          <w:rFonts w:eastAsiaTheme="minorHAnsi"/>
          <w:i/>
          <w:iCs/>
        </w:rPr>
        <w:t>Mucosal Immunology</w:t>
      </w:r>
      <w:r w:rsidRPr="00EB13C3">
        <w:rPr>
          <w:rFonts w:eastAsiaTheme="minorHAnsi"/>
        </w:rPr>
        <w:t xml:space="preserve"> </w:t>
      </w:r>
      <w:r w:rsidRPr="00EB13C3">
        <w:rPr>
          <w:rFonts w:eastAsiaTheme="minorHAnsi"/>
          <w:b/>
          <w:bCs/>
        </w:rPr>
        <w:t>1</w:t>
      </w:r>
      <w:r w:rsidRPr="00EB13C3">
        <w:rPr>
          <w:rFonts w:eastAsiaTheme="minorHAnsi"/>
        </w:rPr>
        <w:t>, 460–469 (2008).</w:t>
      </w:r>
    </w:p>
    <w:p w14:paraId="7449E147" w14:textId="77777777" w:rsidR="00EB13C3" w:rsidRPr="00EB13C3" w:rsidRDefault="00EB13C3" w:rsidP="00EB13C3">
      <w:pPr>
        <w:pStyle w:val="Bibliography"/>
        <w:rPr>
          <w:rFonts w:eastAsiaTheme="minorHAnsi"/>
        </w:rPr>
      </w:pPr>
      <w:r w:rsidRPr="00EB13C3">
        <w:rPr>
          <w:rFonts w:eastAsiaTheme="minorHAnsi"/>
        </w:rPr>
        <w:t xml:space="preserve">52. </w:t>
      </w:r>
      <w:r w:rsidRPr="00EB13C3">
        <w:rPr>
          <w:rFonts w:eastAsiaTheme="minorHAnsi"/>
        </w:rPr>
        <w:tab/>
        <w:t xml:space="preserve">J. Wang, W.-D. Chen, Y.-D. Wang, The Relationship Between Gut Microbiota and Inflammatory Diseases: The Role of Macrophages.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51544C17" w14:textId="77777777" w:rsidR="00EB13C3" w:rsidRPr="00EB13C3" w:rsidRDefault="00EB13C3" w:rsidP="00EB13C3">
      <w:pPr>
        <w:pStyle w:val="Bibliography"/>
        <w:rPr>
          <w:rFonts w:eastAsiaTheme="minorHAnsi"/>
        </w:rPr>
      </w:pPr>
      <w:r w:rsidRPr="00EB13C3">
        <w:rPr>
          <w:rFonts w:eastAsiaTheme="minorHAnsi"/>
        </w:rPr>
        <w:t xml:space="preserve">53. </w:t>
      </w:r>
      <w:r w:rsidRPr="00EB13C3">
        <w:rPr>
          <w:rFonts w:eastAsiaTheme="minorHAnsi"/>
        </w:rPr>
        <w:tab/>
        <w:t xml:space="preserve">C. A. Portillo-Quintero, G. A. Sánchez-Azofeifa, Extent and conservation of tropical dry forests in the Americas. </w:t>
      </w:r>
      <w:r w:rsidRPr="00EB13C3">
        <w:rPr>
          <w:rFonts w:eastAsiaTheme="minorHAnsi"/>
          <w:i/>
          <w:iCs/>
        </w:rPr>
        <w:t>Biological Conservation</w:t>
      </w:r>
      <w:r w:rsidRPr="00EB13C3">
        <w:rPr>
          <w:rFonts w:eastAsiaTheme="minorHAnsi"/>
        </w:rPr>
        <w:t xml:space="preserve"> </w:t>
      </w:r>
      <w:r w:rsidRPr="00EB13C3">
        <w:rPr>
          <w:rFonts w:eastAsiaTheme="minorHAnsi"/>
          <w:b/>
          <w:bCs/>
        </w:rPr>
        <w:t>143</w:t>
      </w:r>
      <w:r w:rsidRPr="00EB13C3">
        <w:rPr>
          <w:rFonts w:eastAsiaTheme="minorHAnsi"/>
        </w:rPr>
        <w:t>, 144–155 (2010).</w:t>
      </w:r>
    </w:p>
    <w:p w14:paraId="29F7EC64" w14:textId="77777777" w:rsidR="00EB13C3" w:rsidRPr="00EB13C3" w:rsidRDefault="00EB13C3" w:rsidP="00EB13C3">
      <w:pPr>
        <w:pStyle w:val="Bibliography"/>
        <w:rPr>
          <w:rFonts w:eastAsiaTheme="minorHAnsi"/>
        </w:rPr>
      </w:pPr>
      <w:r w:rsidRPr="00EB13C3">
        <w:rPr>
          <w:rFonts w:eastAsiaTheme="minorHAnsi"/>
        </w:rPr>
        <w:t xml:space="preserve">54. </w:t>
      </w:r>
      <w:r w:rsidRPr="00EB13C3">
        <w:rPr>
          <w:rFonts w:eastAsiaTheme="minorHAnsi"/>
        </w:rPr>
        <w:tab/>
        <w:t xml:space="preserve">M. L. Bergstrom, M. Emery Thompson, A. D. Melin, L. M. Fedigan, Using urinary parameters to estimate seasonal variation in the physical condition of female white-faced capuchin monkeys (Cebus capucinus imitator).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163</w:t>
      </w:r>
      <w:r w:rsidRPr="00EB13C3">
        <w:rPr>
          <w:rFonts w:eastAsiaTheme="minorHAnsi"/>
        </w:rPr>
        <w:t>, 707–715 (2017).</w:t>
      </w:r>
    </w:p>
    <w:p w14:paraId="27349098" w14:textId="77777777" w:rsidR="00EB13C3" w:rsidRPr="00EB13C3" w:rsidRDefault="00EB13C3" w:rsidP="00EB13C3">
      <w:pPr>
        <w:pStyle w:val="Bibliography"/>
        <w:rPr>
          <w:rFonts w:eastAsiaTheme="minorHAnsi"/>
        </w:rPr>
      </w:pPr>
      <w:r w:rsidRPr="00EB13C3">
        <w:rPr>
          <w:rFonts w:eastAsiaTheme="minorHAnsi"/>
        </w:rPr>
        <w:t xml:space="preserve">55. </w:t>
      </w:r>
      <w:r w:rsidRPr="00EB13C3">
        <w:rPr>
          <w:rFonts w:eastAsiaTheme="minorHAnsi"/>
        </w:rPr>
        <w:tab/>
        <w:t xml:space="preserve">J. D. Orkin, F. A. Campos, M. S. Myers, S. E. Cheves Hernandez, A. Guadamuz, A. D. Melin, Seasonality of the gut microbiota of free-ranging white-faced capuchins in a tropical dry forest. </w:t>
      </w:r>
      <w:r w:rsidRPr="00EB13C3">
        <w:rPr>
          <w:rFonts w:eastAsiaTheme="minorHAnsi"/>
          <w:i/>
          <w:iCs/>
        </w:rPr>
        <w:t>The ISME Journal</w:t>
      </w:r>
      <w:r w:rsidRPr="00EB13C3">
        <w:rPr>
          <w:rFonts w:eastAsiaTheme="minorHAnsi"/>
        </w:rPr>
        <w:t xml:space="preserve"> </w:t>
      </w:r>
      <w:r w:rsidRPr="00EB13C3">
        <w:rPr>
          <w:rFonts w:eastAsiaTheme="minorHAnsi"/>
          <w:b/>
          <w:bCs/>
        </w:rPr>
        <w:t>13</w:t>
      </w:r>
      <w:r w:rsidRPr="00EB13C3">
        <w:rPr>
          <w:rFonts w:eastAsiaTheme="minorHAnsi"/>
        </w:rPr>
        <w:t>, 183–196 (2019).</w:t>
      </w:r>
    </w:p>
    <w:p w14:paraId="269BF003" w14:textId="77777777" w:rsidR="00EB13C3" w:rsidRPr="00EB13C3" w:rsidRDefault="00EB13C3" w:rsidP="00EB13C3">
      <w:pPr>
        <w:pStyle w:val="Bibliography"/>
        <w:rPr>
          <w:rFonts w:eastAsiaTheme="minorHAnsi"/>
        </w:rPr>
      </w:pPr>
      <w:r w:rsidRPr="00EB13C3">
        <w:rPr>
          <w:rFonts w:eastAsiaTheme="minorHAnsi"/>
        </w:rPr>
        <w:t xml:space="preserve">56. </w:t>
      </w:r>
      <w:r w:rsidRPr="00EB13C3">
        <w:rPr>
          <w:rFonts w:eastAsiaTheme="minorHAnsi"/>
        </w:rPr>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EB13C3">
        <w:rPr>
          <w:rFonts w:eastAsiaTheme="minorHAnsi"/>
          <w:i/>
          <w:iCs/>
        </w:rPr>
        <w:t>General and Comparative Endocrinology</w:t>
      </w:r>
      <w:r w:rsidRPr="00EB13C3">
        <w:rPr>
          <w:rFonts w:eastAsiaTheme="minorHAnsi"/>
        </w:rPr>
        <w:t xml:space="preserve"> </w:t>
      </w:r>
      <w:r w:rsidRPr="00EB13C3">
        <w:rPr>
          <w:rFonts w:eastAsiaTheme="minorHAnsi"/>
          <w:b/>
          <w:bCs/>
        </w:rPr>
        <w:t>329</w:t>
      </w:r>
      <w:r w:rsidRPr="00EB13C3">
        <w:rPr>
          <w:rFonts w:eastAsiaTheme="minorHAnsi"/>
        </w:rPr>
        <w:t>, 114109 (2022).</w:t>
      </w:r>
    </w:p>
    <w:p w14:paraId="47535FEE" w14:textId="77777777" w:rsidR="00EB13C3" w:rsidRPr="00EB13C3" w:rsidRDefault="00EB13C3" w:rsidP="00EB13C3">
      <w:pPr>
        <w:pStyle w:val="Bibliography"/>
        <w:rPr>
          <w:rFonts w:eastAsiaTheme="minorHAnsi"/>
        </w:rPr>
      </w:pPr>
      <w:r w:rsidRPr="00EB13C3">
        <w:rPr>
          <w:rFonts w:eastAsiaTheme="minorHAnsi"/>
        </w:rPr>
        <w:t xml:space="preserve">57. </w:t>
      </w:r>
      <w:r w:rsidRPr="00EB13C3">
        <w:rPr>
          <w:rFonts w:eastAsiaTheme="minorHAnsi"/>
        </w:rPr>
        <w:tab/>
        <w:t xml:space="preserve">E. Tinsley Johnson, M. E. Benítez, A. Fuentes, C. R. McLean, A. B. Norford, J. C. Ordoñez, J. C. Beehner, T. J. Bergman, High density of white-faced capuchins (Cebus capucinus) and habitat quality in the Taboga Forest of Costa Rica.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82</w:t>
      </w:r>
      <w:r w:rsidRPr="00EB13C3">
        <w:rPr>
          <w:rFonts w:eastAsiaTheme="minorHAnsi"/>
        </w:rPr>
        <w:t>, e23096 (2020).</w:t>
      </w:r>
    </w:p>
    <w:p w14:paraId="64941A2E" w14:textId="77777777" w:rsidR="00EB13C3" w:rsidRPr="00EB13C3" w:rsidRDefault="00EB13C3" w:rsidP="00EB13C3">
      <w:pPr>
        <w:pStyle w:val="Bibliography"/>
        <w:rPr>
          <w:rFonts w:eastAsiaTheme="minorHAnsi"/>
        </w:rPr>
      </w:pPr>
      <w:r w:rsidRPr="00EB13C3">
        <w:rPr>
          <w:rFonts w:eastAsiaTheme="minorHAnsi"/>
        </w:rPr>
        <w:t xml:space="preserve">58. </w:t>
      </w:r>
      <w:r w:rsidRPr="00EB13C3">
        <w:rPr>
          <w:rFonts w:eastAsiaTheme="minorHAnsi"/>
        </w:rPr>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EB13C3">
        <w:rPr>
          <w:rFonts w:eastAsiaTheme="minorHAnsi"/>
          <w:i/>
          <w:iCs/>
        </w:rPr>
        <w:t>ISME J</w:t>
      </w:r>
      <w:r w:rsidRPr="00EB13C3">
        <w:rPr>
          <w:rFonts w:eastAsiaTheme="minorHAnsi"/>
        </w:rPr>
        <w:t xml:space="preserve"> </w:t>
      </w:r>
      <w:r w:rsidRPr="00EB13C3">
        <w:rPr>
          <w:rFonts w:eastAsiaTheme="minorHAnsi"/>
          <w:b/>
          <w:bCs/>
        </w:rPr>
        <w:t>7</w:t>
      </w:r>
      <w:r w:rsidRPr="00EB13C3">
        <w:rPr>
          <w:rFonts w:eastAsiaTheme="minorHAnsi"/>
        </w:rPr>
        <w:t>, 1344–1353 (2013).</w:t>
      </w:r>
    </w:p>
    <w:p w14:paraId="20BD460E" w14:textId="77777777" w:rsidR="00EB13C3" w:rsidRPr="00EB13C3" w:rsidRDefault="00EB13C3" w:rsidP="00EB13C3">
      <w:pPr>
        <w:pStyle w:val="Bibliography"/>
        <w:rPr>
          <w:rFonts w:eastAsiaTheme="minorHAnsi"/>
        </w:rPr>
      </w:pPr>
      <w:r w:rsidRPr="00EB13C3">
        <w:rPr>
          <w:rFonts w:eastAsiaTheme="minorHAnsi"/>
        </w:rPr>
        <w:t xml:space="preserve">59. </w:t>
      </w:r>
      <w:r w:rsidRPr="00EB13C3">
        <w:rPr>
          <w:rFonts w:eastAsiaTheme="minorHAnsi"/>
        </w:rPr>
        <w:tab/>
        <w:t xml:space="preserve">K. Thomas-White, S. C. Forster, N. Kumar, M. Van Kuiken, C. Putonti, M. D. Stares, E. E. Hilt, T. K. Price, A. J. Wolfe, T. D. Lawley, Culturing of female bladder bacteria reveals an interconnected urogenital microbiota. </w:t>
      </w:r>
      <w:r w:rsidRPr="00EB13C3">
        <w:rPr>
          <w:rFonts w:eastAsiaTheme="minorHAnsi"/>
          <w:i/>
          <w:iCs/>
        </w:rPr>
        <w:t>Nat Commun</w:t>
      </w:r>
      <w:r w:rsidRPr="00EB13C3">
        <w:rPr>
          <w:rFonts w:eastAsiaTheme="minorHAnsi"/>
        </w:rPr>
        <w:t xml:space="preserve"> </w:t>
      </w:r>
      <w:r w:rsidRPr="00EB13C3">
        <w:rPr>
          <w:rFonts w:eastAsiaTheme="minorHAnsi"/>
          <w:b/>
          <w:bCs/>
        </w:rPr>
        <w:t>9</w:t>
      </w:r>
      <w:r w:rsidRPr="00EB13C3">
        <w:rPr>
          <w:rFonts w:eastAsiaTheme="minorHAnsi"/>
        </w:rPr>
        <w:t>, 1557 (2018).</w:t>
      </w:r>
    </w:p>
    <w:p w14:paraId="18355DC8" w14:textId="77777777" w:rsidR="00EB13C3" w:rsidRPr="00EB13C3" w:rsidRDefault="00EB13C3" w:rsidP="00EB13C3">
      <w:pPr>
        <w:pStyle w:val="Bibliography"/>
        <w:rPr>
          <w:rFonts w:eastAsiaTheme="minorHAnsi"/>
        </w:rPr>
      </w:pPr>
      <w:r w:rsidRPr="00EB13C3">
        <w:rPr>
          <w:rFonts w:eastAsiaTheme="minorHAnsi"/>
        </w:rPr>
        <w:lastRenderedPageBreak/>
        <w:t xml:space="preserve">60. </w:t>
      </w:r>
      <w:r w:rsidRPr="00EB13C3">
        <w:rPr>
          <w:rFonts w:eastAsiaTheme="minorHAnsi"/>
        </w:rPr>
        <w:tab/>
        <w:t xml:space="preserve">M. Stern, M. Quesada, K. E. Stoner, Changes in composition and structure of a tropical dry forest following intermittent Cattle grazing. </w:t>
      </w:r>
      <w:r w:rsidRPr="00EB13C3">
        <w:rPr>
          <w:rFonts w:eastAsiaTheme="minorHAnsi"/>
          <w:i/>
          <w:iCs/>
        </w:rPr>
        <w:t>Revista de Biología Tropical</w:t>
      </w:r>
      <w:r w:rsidRPr="00EB13C3">
        <w:rPr>
          <w:rFonts w:eastAsiaTheme="minorHAnsi"/>
        </w:rPr>
        <w:t xml:space="preserve"> </w:t>
      </w:r>
      <w:r w:rsidRPr="00EB13C3">
        <w:rPr>
          <w:rFonts w:eastAsiaTheme="minorHAnsi"/>
          <w:b/>
          <w:bCs/>
        </w:rPr>
        <w:t>50</w:t>
      </w:r>
      <w:r w:rsidRPr="00EB13C3">
        <w:rPr>
          <w:rFonts w:eastAsiaTheme="minorHAnsi"/>
        </w:rPr>
        <w:t>, 1021–1034 (2002).</w:t>
      </w:r>
    </w:p>
    <w:p w14:paraId="525B7B33" w14:textId="77777777" w:rsidR="00EB13C3" w:rsidRPr="00EB13C3" w:rsidRDefault="00EB13C3" w:rsidP="00EB13C3">
      <w:pPr>
        <w:pStyle w:val="Bibliography"/>
        <w:rPr>
          <w:rFonts w:eastAsiaTheme="minorHAnsi"/>
        </w:rPr>
      </w:pPr>
      <w:r w:rsidRPr="00EB13C3">
        <w:rPr>
          <w:rFonts w:eastAsiaTheme="minorHAnsi"/>
        </w:rPr>
        <w:t xml:space="preserve">61. </w:t>
      </w:r>
      <w:r w:rsidRPr="00EB13C3">
        <w:rPr>
          <w:rFonts w:eastAsiaTheme="minorHAnsi"/>
        </w:rPr>
        <w:tab/>
        <w:t xml:space="preserve">K. R. Amato, S. Kuthyar, M. Ekanayake-Weber, R. Salmi, N. Snyder-Mackler, L. Wijayathunga, R. Vandercone, A. Lu, Gut microbiome, diet, and conservation of endangered langurs in Sri Lanka. </w:t>
      </w:r>
      <w:r w:rsidRPr="00EB13C3">
        <w:rPr>
          <w:rFonts w:eastAsiaTheme="minorHAnsi"/>
          <w:i/>
          <w:iCs/>
        </w:rPr>
        <w:t>Biotropica</w:t>
      </w:r>
      <w:r w:rsidRPr="00EB13C3">
        <w:rPr>
          <w:rFonts w:eastAsiaTheme="minorHAnsi"/>
        </w:rPr>
        <w:t xml:space="preserve"> </w:t>
      </w:r>
      <w:r w:rsidRPr="00EB13C3">
        <w:rPr>
          <w:rFonts w:eastAsiaTheme="minorHAnsi"/>
          <w:b/>
          <w:bCs/>
        </w:rPr>
        <w:t>52</w:t>
      </w:r>
      <w:r w:rsidRPr="00EB13C3">
        <w:rPr>
          <w:rFonts w:eastAsiaTheme="minorHAnsi"/>
        </w:rPr>
        <w:t>, 981–990 (2020).</w:t>
      </w:r>
    </w:p>
    <w:p w14:paraId="1A92408D" w14:textId="77777777" w:rsidR="00EB13C3" w:rsidRPr="00EB13C3" w:rsidRDefault="00EB13C3" w:rsidP="00EB13C3">
      <w:pPr>
        <w:pStyle w:val="Bibliography"/>
        <w:rPr>
          <w:rFonts w:eastAsiaTheme="minorHAnsi"/>
        </w:rPr>
      </w:pPr>
      <w:r w:rsidRPr="00EB13C3">
        <w:rPr>
          <w:rFonts w:eastAsiaTheme="minorHAnsi"/>
        </w:rPr>
        <w:t xml:space="preserve">62. </w:t>
      </w:r>
      <w:r w:rsidRPr="00EB13C3">
        <w:rPr>
          <w:rFonts w:eastAsiaTheme="minorHAnsi"/>
        </w:rPr>
        <w:tab/>
        <w:t xml:space="preserve">E. k. Mallott, R. s. Malhi, P. a. Garber, High-throughput sequencing of fecal DNA to identify insects consumed by wild Weddell’s saddleback tamarins (aguinus weddelli, Cebidae, Primates) in Bolivia.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156</w:t>
      </w:r>
      <w:r w:rsidRPr="00EB13C3">
        <w:rPr>
          <w:rFonts w:eastAsiaTheme="minorHAnsi"/>
        </w:rPr>
        <w:t>, 474–481 (2015).</w:t>
      </w:r>
    </w:p>
    <w:p w14:paraId="77C31FB6" w14:textId="77777777" w:rsidR="00EB13C3" w:rsidRPr="00EB13C3" w:rsidRDefault="00EB13C3" w:rsidP="00EB13C3">
      <w:pPr>
        <w:pStyle w:val="Bibliography"/>
        <w:rPr>
          <w:rFonts w:eastAsiaTheme="minorHAnsi"/>
        </w:rPr>
      </w:pPr>
      <w:r w:rsidRPr="00EB13C3">
        <w:rPr>
          <w:rFonts w:eastAsiaTheme="minorHAnsi"/>
        </w:rPr>
        <w:t xml:space="preserve">63. </w:t>
      </w:r>
      <w:r w:rsidRPr="00EB13C3">
        <w:rPr>
          <w:rFonts w:eastAsiaTheme="minorHAnsi"/>
        </w:rPr>
        <w:tab/>
        <w:t xml:space="preserve">S. B. Pickett, C. M. Bergey, A. Di Fiore, A Metagenomic Study of Primate Insect Diet Diversity. </w:t>
      </w:r>
      <w:r w:rsidRPr="00EB13C3">
        <w:rPr>
          <w:rFonts w:eastAsiaTheme="minorHAnsi"/>
          <w:i/>
          <w:iCs/>
        </w:rPr>
        <w:t>American Journal of Primatology</w:t>
      </w:r>
      <w:r w:rsidRPr="00EB13C3">
        <w:rPr>
          <w:rFonts w:eastAsiaTheme="minorHAnsi"/>
        </w:rPr>
        <w:t xml:space="preserve"> </w:t>
      </w:r>
      <w:r w:rsidRPr="00EB13C3">
        <w:rPr>
          <w:rFonts w:eastAsiaTheme="minorHAnsi"/>
          <w:b/>
          <w:bCs/>
        </w:rPr>
        <w:t>74</w:t>
      </w:r>
      <w:r w:rsidRPr="00EB13C3">
        <w:rPr>
          <w:rFonts w:eastAsiaTheme="minorHAnsi"/>
        </w:rPr>
        <w:t>, 622–631 (2012).</w:t>
      </w:r>
    </w:p>
    <w:p w14:paraId="13A475B1" w14:textId="77777777" w:rsidR="00EB13C3" w:rsidRPr="00EB13C3" w:rsidRDefault="00EB13C3" w:rsidP="00EB13C3">
      <w:pPr>
        <w:pStyle w:val="Bibliography"/>
        <w:rPr>
          <w:rFonts w:eastAsiaTheme="minorHAnsi"/>
        </w:rPr>
      </w:pPr>
      <w:r w:rsidRPr="00EB13C3">
        <w:rPr>
          <w:rFonts w:eastAsiaTheme="minorHAnsi"/>
        </w:rPr>
        <w:t xml:space="preserve">64. </w:t>
      </w:r>
      <w:r w:rsidRPr="00EB13C3">
        <w:rPr>
          <w:rFonts w:eastAsiaTheme="minorHAnsi"/>
        </w:rPr>
        <w:tab/>
        <w:t xml:space="preserve">D. M. Gohl, P. Vangay, J. Garbe, A. MacLean, A. Hauge, A. Becker, T. J. Gould, J. B. Clayton, T. J. Johnson, R. Hunter, D. Knights, K. B. Beckman, Systematic improvement of amplicon marker gene methods for increased accuracy in microbiome studies. </w:t>
      </w:r>
      <w:r w:rsidRPr="00EB13C3">
        <w:rPr>
          <w:rFonts w:eastAsiaTheme="minorHAnsi"/>
          <w:i/>
          <w:iCs/>
        </w:rPr>
        <w:t>Nat Biotechnol</w:t>
      </w:r>
      <w:r w:rsidRPr="00EB13C3">
        <w:rPr>
          <w:rFonts w:eastAsiaTheme="minorHAnsi"/>
        </w:rPr>
        <w:t xml:space="preserve"> </w:t>
      </w:r>
      <w:r w:rsidRPr="00EB13C3">
        <w:rPr>
          <w:rFonts w:eastAsiaTheme="minorHAnsi"/>
          <w:b/>
          <w:bCs/>
        </w:rPr>
        <w:t>34</w:t>
      </w:r>
      <w:r w:rsidRPr="00EB13C3">
        <w:rPr>
          <w:rFonts w:eastAsiaTheme="minorHAnsi"/>
        </w:rPr>
        <w:t>, 942–949 (2016).</w:t>
      </w:r>
    </w:p>
    <w:p w14:paraId="2743C26C" w14:textId="77777777" w:rsidR="00EB13C3" w:rsidRPr="00EB13C3" w:rsidRDefault="00EB13C3" w:rsidP="00EB13C3">
      <w:pPr>
        <w:pStyle w:val="Bibliography"/>
        <w:rPr>
          <w:rFonts w:eastAsiaTheme="minorHAnsi"/>
        </w:rPr>
      </w:pPr>
      <w:r w:rsidRPr="00EB13C3">
        <w:rPr>
          <w:rFonts w:eastAsiaTheme="minorHAnsi"/>
        </w:rPr>
        <w:t xml:space="preserve">65. </w:t>
      </w:r>
      <w:r w:rsidRPr="00EB13C3">
        <w:rPr>
          <w:rFonts w:eastAsiaTheme="minorHAnsi"/>
        </w:rPr>
        <w:tab/>
        <w:t xml:space="preserve">E. K. Mallott, K. R. Amato, The microbial reproductive ecology of white-faced capuchins (Cebus capucinus).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80</w:t>
      </w:r>
      <w:r w:rsidRPr="00EB13C3">
        <w:rPr>
          <w:rFonts w:eastAsiaTheme="minorHAnsi"/>
        </w:rPr>
        <w:t>, e22896 (2018).</w:t>
      </w:r>
    </w:p>
    <w:p w14:paraId="6D8668C5" w14:textId="77777777" w:rsidR="00EB13C3" w:rsidRPr="00EB13C3" w:rsidRDefault="00EB13C3" w:rsidP="00EB13C3">
      <w:pPr>
        <w:pStyle w:val="Bibliography"/>
        <w:rPr>
          <w:rFonts w:eastAsiaTheme="minorHAnsi"/>
        </w:rPr>
      </w:pPr>
      <w:r w:rsidRPr="00EB13C3">
        <w:rPr>
          <w:rFonts w:eastAsiaTheme="minorHAnsi"/>
        </w:rPr>
        <w:t xml:space="preserve">66. </w:t>
      </w:r>
      <w:r w:rsidRPr="00EB13C3">
        <w:rPr>
          <w:rFonts w:eastAsiaTheme="minorHAnsi"/>
        </w:rPr>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EB13C3">
        <w:rPr>
          <w:rFonts w:eastAsiaTheme="minorHAnsi"/>
          <w:i/>
          <w:iCs/>
        </w:rPr>
        <w:t>Nat Methods</w:t>
      </w:r>
      <w:r w:rsidRPr="00EB13C3">
        <w:rPr>
          <w:rFonts w:eastAsiaTheme="minorHAnsi"/>
        </w:rPr>
        <w:t xml:space="preserve"> </w:t>
      </w:r>
      <w:r w:rsidRPr="00EB13C3">
        <w:rPr>
          <w:rFonts w:eastAsiaTheme="minorHAnsi"/>
          <w:b/>
          <w:bCs/>
        </w:rPr>
        <w:t>7</w:t>
      </w:r>
      <w:r w:rsidRPr="00EB13C3">
        <w:rPr>
          <w:rFonts w:eastAsiaTheme="minorHAnsi"/>
        </w:rPr>
        <w:t>, 335–336 (2010).</w:t>
      </w:r>
    </w:p>
    <w:p w14:paraId="586E4EF7" w14:textId="77777777" w:rsidR="00EB13C3" w:rsidRPr="00EB13C3" w:rsidRDefault="00EB13C3" w:rsidP="00EB13C3">
      <w:pPr>
        <w:pStyle w:val="Bibliography"/>
        <w:rPr>
          <w:rFonts w:eastAsiaTheme="minorHAnsi"/>
        </w:rPr>
      </w:pPr>
      <w:r w:rsidRPr="00EB13C3">
        <w:rPr>
          <w:rFonts w:eastAsiaTheme="minorHAnsi"/>
        </w:rPr>
        <w:t xml:space="preserve">67. </w:t>
      </w:r>
      <w:r w:rsidRPr="00EB13C3">
        <w:rPr>
          <w:rFonts w:eastAsiaTheme="minorHAnsi"/>
        </w:rPr>
        <w:tab/>
        <w:t xml:space="preserve">B. J. Callahan, P. J. McMurdie, M. J. Rosen, A. W. Han, A. J. A. Johnson, S. P. Holmes, DADA2: High-resolution sample inference from Illumina amplicon data. </w:t>
      </w:r>
      <w:r w:rsidRPr="00EB13C3">
        <w:rPr>
          <w:rFonts w:eastAsiaTheme="minorHAnsi"/>
          <w:i/>
          <w:iCs/>
        </w:rPr>
        <w:t>Nat Methods</w:t>
      </w:r>
      <w:r w:rsidRPr="00EB13C3">
        <w:rPr>
          <w:rFonts w:eastAsiaTheme="minorHAnsi"/>
        </w:rPr>
        <w:t xml:space="preserve"> </w:t>
      </w:r>
      <w:r w:rsidRPr="00EB13C3">
        <w:rPr>
          <w:rFonts w:eastAsiaTheme="minorHAnsi"/>
          <w:b/>
          <w:bCs/>
        </w:rPr>
        <w:t>13</w:t>
      </w:r>
      <w:r w:rsidRPr="00EB13C3">
        <w:rPr>
          <w:rFonts w:eastAsiaTheme="minorHAnsi"/>
        </w:rPr>
        <w:t>, 581–583 (2016).</w:t>
      </w:r>
    </w:p>
    <w:p w14:paraId="1AD84E3F" w14:textId="77777777" w:rsidR="00EB13C3" w:rsidRPr="00EB13C3" w:rsidRDefault="00EB13C3" w:rsidP="00EB13C3">
      <w:pPr>
        <w:pStyle w:val="Bibliography"/>
        <w:rPr>
          <w:rFonts w:eastAsiaTheme="minorHAnsi"/>
        </w:rPr>
      </w:pPr>
      <w:r w:rsidRPr="00EB13C3">
        <w:rPr>
          <w:rFonts w:eastAsiaTheme="minorHAnsi"/>
        </w:rPr>
        <w:t xml:space="preserve">68. </w:t>
      </w:r>
      <w:r w:rsidRPr="00EB13C3">
        <w:rPr>
          <w:rFonts w:eastAsiaTheme="minorHAnsi"/>
        </w:rPr>
        <w:tab/>
        <w:t xml:space="preserve">N. A. Bokulich, B. D. Kaehler, J. R. Rideout, M. Dillon, E. Bolyen, R. Knight, G. A. Huttley, J. Gregory Caporaso, Optimizing taxonomic classification of marker-gene amplicon sequences with QIIME 2’s q2-feature-classifier plugin. </w:t>
      </w:r>
      <w:r w:rsidRPr="00EB13C3">
        <w:rPr>
          <w:rFonts w:eastAsiaTheme="minorHAnsi"/>
          <w:i/>
          <w:iCs/>
        </w:rPr>
        <w:t>Microbiome</w:t>
      </w:r>
      <w:r w:rsidRPr="00EB13C3">
        <w:rPr>
          <w:rFonts w:eastAsiaTheme="minorHAnsi"/>
        </w:rPr>
        <w:t xml:space="preserve"> </w:t>
      </w:r>
      <w:r w:rsidRPr="00EB13C3">
        <w:rPr>
          <w:rFonts w:eastAsiaTheme="minorHAnsi"/>
          <w:b/>
          <w:bCs/>
        </w:rPr>
        <w:t>6</w:t>
      </w:r>
      <w:r w:rsidRPr="00EB13C3">
        <w:rPr>
          <w:rFonts w:eastAsiaTheme="minorHAnsi"/>
        </w:rPr>
        <w:t>, 90 (2018).</w:t>
      </w:r>
    </w:p>
    <w:p w14:paraId="773E8BAB" w14:textId="77777777" w:rsidR="00EB13C3" w:rsidRPr="00EB13C3" w:rsidRDefault="00EB13C3" w:rsidP="00EB13C3">
      <w:pPr>
        <w:pStyle w:val="Bibliography"/>
        <w:rPr>
          <w:rFonts w:eastAsiaTheme="minorHAnsi"/>
        </w:rPr>
      </w:pPr>
      <w:r w:rsidRPr="00EB13C3">
        <w:rPr>
          <w:rFonts w:eastAsiaTheme="minorHAnsi"/>
        </w:rPr>
        <w:t xml:space="preserve">69. </w:t>
      </w:r>
      <w:r w:rsidRPr="00EB13C3">
        <w:rPr>
          <w:rFonts w:eastAsiaTheme="minorHAnsi"/>
        </w:rPr>
        <w:tab/>
        <w:t xml:space="preserve">D. McDonald, M. N. Price, J. Goodrich, E. P. Nawrocki, T. Z. DeSantis, A. Probst, G. L. Andersen, R. Knight, P. Hugenholtz, An improved Greengenes taxonomy with explicit ranks for ecological and evolutionary analyses of bacteria and archaea. </w:t>
      </w:r>
      <w:r w:rsidRPr="00EB13C3">
        <w:rPr>
          <w:rFonts w:eastAsiaTheme="minorHAnsi"/>
          <w:i/>
          <w:iCs/>
        </w:rPr>
        <w:t>ISME J</w:t>
      </w:r>
      <w:r w:rsidRPr="00EB13C3">
        <w:rPr>
          <w:rFonts w:eastAsiaTheme="minorHAnsi"/>
        </w:rPr>
        <w:t xml:space="preserve"> </w:t>
      </w:r>
      <w:r w:rsidRPr="00EB13C3">
        <w:rPr>
          <w:rFonts w:eastAsiaTheme="minorHAnsi"/>
          <w:b/>
          <w:bCs/>
        </w:rPr>
        <w:t>6</w:t>
      </w:r>
      <w:r w:rsidRPr="00EB13C3">
        <w:rPr>
          <w:rFonts w:eastAsiaTheme="minorHAnsi"/>
        </w:rPr>
        <w:t>, 610–618 (2012).</w:t>
      </w:r>
    </w:p>
    <w:p w14:paraId="35811595" w14:textId="77777777" w:rsidR="00EB13C3" w:rsidRPr="00EB13C3" w:rsidRDefault="00EB13C3" w:rsidP="00EB13C3">
      <w:pPr>
        <w:pStyle w:val="Bibliography"/>
        <w:rPr>
          <w:rFonts w:eastAsiaTheme="minorHAnsi"/>
        </w:rPr>
      </w:pPr>
      <w:r w:rsidRPr="00EB13C3">
        <w:rPr>
          <w:rFonts w:eastAsiaTheme="minorHAnsi"/>
        </w:rPr>
        <w:t xml:space="preserve">70. </w:t>
      </w:r>
      <w:r w:rsidRPr="00EB13C3">
        <w:rPr>
          <w:rFonts w:eastAsiaTheme="minorHAnsi"/>
        </w:rPr>
        <w:tab/>
        <w:t xml:space="preserve">D. McDonald, Y. Jiang, M. Balaban, K. Cantrell, Q. Zhu, A. Gonzalez, J. T. Morton, G. Nicolaou, D. H. Parks, S. M. Karst, M. Albertsen, P. Hugenholtz, T. DeSantis, S. J. Song, A. Bartko, A. S. Havulinna, P. Jousilahti, S. Cheng, M. Inouye, T. Niiranen, M. Jain, V. </w:t>
      </w:r>
      <w:r w:rsidRPr="00EB13C3">
        <w:rPr>
          <w:rFonts w:eastAsiaTheme="minorHAnsi"/>
        </w:rPr>
        <w:lastRenderedPageBreak/>
        <w:t xml:space="preserve">Salomaa, L. Lahti, S. Mirarab, R. Knight, Greengenes2 unifies microbial data in a single reference tree. </w:t>
      </w:r>
      <w:r w:rsidRPr="00EB13C3">
        <w:rPr>
          <w:rFonts w:eastAsiaTheme="minorHAnsi"/>
          <w:i/>
          <w:iCs/>
        </w:rPr>
        <w:t>Nat Biotechnol</w:t>
      </w:r>
      <w:r w:rsidRPr="00EB13C3">
        <w:rPr>
          <w:rFonts w:eastAsiaTheme="minorHAnsi"/>
        </w:rPr>
        <w:t xml:space="preserve"> </w:t>
      </w:r>
      <w:r w:rsidRPr="00EB13C3">
        <w:rPr>
          <w:rFonts w:eastAsiaTheme="minorHAnsi"/>
          <w:b/>
          <w:bCs/>
        </w:rPr>
        <w:t>42</w:t>
      </w:r>
      <w:r w:rsidRPr="00EB13C3">
        <w:rPr>
          <w:rFonts w:eastAsiaTheme="minorHAnsi"/>
        </w:rPr>
        <w:t>, 715–718 (2024).</w:t>
      </w:r>
    </w:p>
    <w:p w14:paraId="3425D5B6" w14:textId="77777777" w:rsidR="00EB13C3" w:rsidRPr="00EB13C3" w:rsidRDefault="00EB13C3" w:rsidP="00EB13C3">
      <w:pPr>
        <w:pStyle w:val="Bibliography"/>
        <w:rPr>
          <w:rFonts w:eastAsiaTheme="minorHAnsi"/>
        </w:rPr>
      </w:pPr>
      <w:r w:rsidRPr="00EB13C3">
        <w:rPr>
          <w:rFonts w:eastAsiaTheme="minorHAnsi"/>
        </w:rPr>
        <w:t xml:space="preserve">71. </w:t>
      </w:r>
      <w:r w:rsidRPr="00EB13C3">
        <w:rPr>
          <w:rFonts w:eastAsiaTheme="minorHAnsi"/>
        </w:rPr>
        <w:tab/>
        <w:t xml:space="preserve">Q. Cao, X. Sun, K. Rajesh, N. Chalasani, K. Gelow, B. Katz, V. H. Shah, A. J. Sanyal, E. Smirnova, Effects of Rare Microbiome Taxa Filtering on Statistical Analysis. </w:t>
      </w:r>
      <w:r w:rsidRPr="00EB13C3">
        <w:rPr>
          <w:rFonts w:eastAsiaTheme="minorHAnsi"/>
          <w:i/>
          <w:iCs/>
        </w:rPr>
        <w:t>Front. Microbiol.</w:t>
      </w:r>
      <w:r w:rsidRPr="00EB13C3">
        <w:rPr>
          <w:rFonts w:eastAsiaTheme="minorHAnsi"/>
        </w:rPr>
        <w:t xml:space="preserve"> </w:t>
      </w:r>
      <w:r w:rsidRPr="00EB13C3">
        <w:rPr>
          <w:rFonts w:eastAsiaTheme="minorHAnsi"/>
          <w:b/>
          <w:bCs/>
        </w:rPr>
        <w:t>11</w:t>
      </w:r>
      <w:r w:rsidRPr="00EB13C3">
        <w:rPr>
          <w:rFonts w:eastAsiaTheme="minorHAnsi"/>
        </w:rPr>
        <w:t xml:space="preserve"> (2021).</w:t>
      </w:r>
    </w:p>
    <w:p w14:paraId="2A848621" w14:textId="77777777" w:rsidR="00EB13C3" w:rsidRPr="00EB13C3" w:rsidRDefault="00EB13C3" w:rsidP="00EB13C3">
      <w:pPr>
        <w:pStyle w:val="Bibliography"/>
        <w:rPr>
          <w:rFonts w:eastAsiaTheme="minorHAnsi"/>
        </w:rPr>
      </w:pPr>
      <w:r w:rsidRPr="00EB13C3">
        <w:rPr>
          <w:rFonts w:eastAsiaTheme="minorHAnsi"/>
        </w:rPr>
        <w:t xml:space="preserve">72. </w:t>
      </w:r>
      <w:r w:rsidRPr="00EB13C3">
        <w:rPr>
          <w:rFonts w:eastAsiaTheme="minorHAnsi"/>
        </w:rPr>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EB13C3">
        <w:rPr>
          <w:rFonts w:eastAsiaTheme="minorHAnsi"/>
          <w:i/>
          <w:iCs/>
        </w:rPr>
        <w:t>eLife</w:t>
      </w:r>
      <w:r w:rsidRPr="00EB13C3">
        <w:rPr>
          <w:rFonts w:eastAsiaTheme="minorHAnsi"/>
        </w:rPr>
        <w:t xml:space="preserve"> </w:t>
      </w:r>
      <w:r w:rsidRPr="00EB13C3">
        <w:rPr>
          <w:rFonts w:eastAsiaTheme="minorHAnsi"/>
          <w:b/>
          <w:bCs/>
        </w:rPr>
        <w:t>10</w:t>
      </w:r>
      <w:r w:rsidRPr="00EB13C3">
        <w:rPr>
          <w:rFonts w:eastAsiaTheme="minorHAnsi"/>
        </w:rPr>
        <w:t>, e65088 (2021).</w:t>
      </w:r>
    </w:p>
    <w:p w14:paraId="391A5FC1" w14:textId="77777777" w:rsidR="00EB13C3" w:rsidRPr="00EB13C3" w:rsidRDefault="00EB13C3" w:rsidP="00EB13C3">
      <w:pPr>
        <w:pStyle w:val="Bibliography"/>
        <w:rPr>
          <w:rFonts w:eastAsiaTheme="minorHAnsi"/>
        </w:rPr>
      </w:pPr>
      <w:r w:rsidRPr="00EB13C3">
        <w:rPr>
          <w:rFonts w:eastAsiaTheme="minorHAnsi"/>
        </w:rPr>
        <w:t xml:space="preserve">73. </w:t>
      </w:r>
      <w:r w:rsidRPr="00EB13C3">
        <w:rPr>
          <w:rFonts w:eastAsiaTheme="minorHAnsi"/>
        </w:rPr>
        <w:tab/>
        <w:t xml:space="preserve">E. K. Mallott, K. R. Amato, P. A. Garber, R. S. Malhi, Influence of fruit and invertebrate consumption on the gut microbiota of wild white-faced capuchins (Cebus capucinus). </w:t>
      </w:r>
      <w:r w:rsidRPr="00EB13C3">
        <w:rPr>
          <w:rFonts w:eastAsiaTheme="minorHAnsi"/>
          <w:i/>
          <w:iCs/>
        </w:rPr>
        <w:t>American Journal of Physical Anthropology</w:t>
      </w:r>
      <w:r w:rsidRPr="00EB13C3">
        <w:rPr>
          <w:rFonts w:eastAsiaTheme="minorHAnsi"/>
        </w:rPr>
        <w:t xml:space="preserve"> </w:t>
      </w:r>
      <w:r w:rsidRPr="00EB13C3">
        <w:rPr>
          <w:rFonts w:eastAsiaTheme="minorHAnsi"/>
          <w:b/>
          <w:bCs/>
        </w:rPr>
        <w:t>165</w:t>
      </w:r>
      <w:r w:rsidRPr="00EB13C3">
        <w:rPr>
          <w:rFonts w:eastAsiaTheme="minorHAnsi"/>
        </w:rPr>
        <w:t>, 576–588 (2018).</w:t>
      </w:r>
    </w:p>
    <w:p w14:paraId="43D838B1" w14:textId="77777777" w:rsidR="00EB13C3" w:rsidRPr="00EB13C3" w:rsidRDefault="00EB13C3" w:rsidP="00EB13C3">
      <w:pPr>
        <w:pStyle w:val="Bibliography"/>
        <w:rPr>
          <w:rFonts w:eastAsiaTheme="minorHAnsi"/>
        </w:rPr>
      </w:pPr>
      <w:r w:rsidRPr="00EB13C3">
        <w:rPr>
          <w:rFonts w:eastAsiaTheme="minorHAnsi"/>
        </w:rPr>
        <w:t xml:space="preserve">74. </w:t>
      </w:r>
      <w:r w:rsidRPr="00EB13C3">
        <w:rPr>
          <w:rFonts w:eastAsiaTheme="minorHAnsi"/>
        </w:rPr>
        <w:tab/>
        <w:t xml:space="preserve">A. J. Marshall, E. Meijaard, M. Leighton, Extreme ecological specialisation in a rainforest mammal, the Bornean tufted ground squirrel, Rheithrosciurus macrotis Gray, 1857. </w:t>
      </w:r>
      <w:r w:rsidRPr="00EB13C3">
        <w:rPr>
          <w:rFonts w:eastAsiaTheme="minorHAnsi"/>
          <w:i/>
          <w:iCs/>
        </w:rPr>
        <w:t>Raffles Bulletin of Zoology</w:t>
      </w:r>
      <w:r w:rsidRPr="00EB13C3">
        <w:rPr>
          <w:rFonts w:eastAsiaTheme="minorHAnsi"/>
        </w:rPr>
        <w:t xml:space="preserve"> </w:t>
      </w:r>
      <w:r w:rsidRPr="00EB13C3">
        <w:rPr>
          <w:rFonts w:eastAsiaTheme="minorHAnsi"/>
          <w:b/>
          <w:bCs/>
        </w:rPr>
        <w:t>69</w:t>
      </w:r>
      <w:r w:rsidRPr="00EB13C3">
        <w:rPr>
          <w:rFonts w:eastAsiaTheme="minorHAnsi"/>
        </w:rPr>
        <w:t>, 497506 (2021).</w:t>
      </w:r>
    </w:p>
    <w:p w14:paraId="5903C660" w14:textId="77777777" w:rsidR="00EB13C3" w:rsidRPr="00EB13C3" w:rsidRDefault="00EB13C3" w:rsidP="00EB13C3">
      <w:pPr>
        <w:pStyle w:val="Bibliography"/>
        <w:rPr>
          <w:rFonts w:eastAsiaTheme="minorHAnsi"/>
        </w:rPr>
      </w:pPr>
      <w:r w:rsidRPr="00EB13C3">
        <w:rPr>
          <w:rFonts w:eastAsiaTheme="minorHAnsi"/>
        </w:rPr>
        <w:t xml:space="preserve">75. </w:t>
      </w:r>
      <w:r w:rsidRPr="00EB13C3">
        <w:rPr>
          <w:rFonts w:eastAsiaTheme="minorHAnsi"/>
        </w:rPr>
        <w:tab/>
        <w:t xml:space="preserve">G. B. Gloor, G. Reid, Compositional analysis: a valid approach to analyze microbiome high-throughput sequencing data. </w:t>
      </w:r>
      <w:r w:rsidRPr="00EB13C3">
        <w:rPr>
          <w:rFonts w:eastAsiaTheme="minorHAnsi"/>
          <w:i/>
          <w:iCs/>
        </w:rPr>
        <w:t>Can. J. Microbiol.</w:t>
      </w:r>
      <w:r w:rsidRPr="00EB13C3">
        <w:rPr>
          <w:rFonts w:eastAsiaTheme="minorHAnsi"/>
        </w:rPr>
        <w:t xml:space="preserve"> </w:t>
      </w:r>
      <w:r w:rsidRPr="00EB13C3">
        <w:rPr>
          <w:rFonts w:eastAsiaTheme="minorHAnsi"/>
          <w:b/>
          <w:bCs/>
        </w:rPr>
        <w:t>62</w:t>
      </w:r>
      <w:r w:rsidRPr="00EB13C3">
        <w:rPr>
          <w:rFonts w:eastAsiaTheme="minorHAnsi"/>
        </w:rPr>
        <w:t>, 692–703 (2016).</w:t>
      </w:r>
    </w:p>
    <w:p w14:paraId="00DE362F" w14:textId="77777777" w:rsidR="00EB13C3" w:rsidRPr="00EB13C3" w:rsidRDefault="00EB13C3" w:rsidP="00EB13C3">
      <w:pPr>
        <w:pStyle w:val="Bibliography"/>
        <w:rPr>
          <w:rFonts w:eastAsiaTheme="minorHAnsi"/>
        </w:rPr>
      </w:pPr>
      <w:r w:rsidRPr="00EB13C3">
        <w:rPr>
          <w:rFonts w:eastAsiaTheme="minorHAnsi"/>
        </w:rPr>
        <w:t xml:space="preserve">76. </w:t>
      </w:r>
      <w:r w:rsidRPr="00EB13C3">
        <w:rPr>
          <w:rFonts w:eastAsiaTheme="minorHAnsi"/>
        </w:rPr>
        <w:tab/>
        <w:t xml:space="preserve">G. B. Gloor, J. M. Macklaim, V. Pawlowsky-Glahn, J. J. Egozcue, Microbiome Datasets Are Compositional: And This Is Not Optional. </w:t>
      </w:r>
      <w:r w:rsidRPr="00EB13C3">
        <w:rPr>
          <w:rFonts w:eastAsiaTheme="minorHAnsi"/>
          <w:i/>
          <w:iCs/>
        </w:rPr>
        <w:t>Front. Microbiol.</w:t>
      </w:r>
      <w:r w:rsidRPr="00EB13C3">
        <w:rPr>
          <w:rFonts w:eastAsiaTheme="minorHAnsi"/>
        </w:rPr>
        <w:t xml:space="preserve"> </w:t>
      </w:r>
      <w:r w:rsidRPr="00EB13C3">
        <w:rPr>
          <w:rFonts w:eastAsiaTheme="minorHAnsi"/>
          <w:b/>
          <w:bCs/>
        </w:rPr>
        <w:t>8</w:t>
      </w:r>
      <w:r w:rsidRPr="00EB13C3">
        <w:rPr>
          <w:rFonts w:eastAsiaTheme="minorHAnsi"/>
        </w:rPr>
        <w:t xml:space="preserve"> (2017).</w:t>
      </w:r>
    </w:p>
    <w:p w14:paraId="67D14C5D" w14:textId="77777777" w:rsidR="00EB13C3" w:rsidRPr="00EB13C3" w:rsidRDefault="00EB13C3" w:rsidP="00EB13C3">
      <w:pPr>
        <w:pStyle w:val="Bibliography"/>
        <w:rPr>
          <w:rFonts w:eastAsiaTheme="minorHAnsi"/>
        </w:rPr>
      </w:pPr>
      <w:r w:rsidRPr="00EB13C3">
        <w:rPr>
          <w:rFonts w:eastAsiaTheme="minorHAnsi"/>
        </w:rPr>
        <w:t xml:space="preserve">77. </w:t>
      </w:r>
      <w:r w:rsidRPr="00EB13C3">
        <w:rPr>
          <w:rFonts w:eastAsiaTheme="minorHAnsi"/>
        </w:rPr>
        <w:tab/>
        <w:t xml:space="preserve">J. Aitchison, M. Greenacre, Biplots of Compositional Data. </w:t>
      </w:r>
      <w:r w:rsidRPr="00EB13C3">
        <w:rPr>
          <w:rFonts w:eastAsiaTheme="minorHAnsi"/>
          <w:i/>
          <w:iCs/>
        </w:rPr>
        <w:t>Journal of the Royal Statistical Society Series C: Applied Statistics</w:t>
      </w:r>
      <w:r w:rsidRPr="00EB13C3">
        <w:rPr>
          <w:rFonts w:eastAsiaTheme="minorHAnsi"/>
        </w:rPr>
        <w:t xml:space="preserve"> </w:t>
      </w:r>
      <w:r w:rsidRPr="00EB13C3">
        <w:rPr>
          <w:rFonts w:eastAsiaTheme="minorHAnsi"/>
          <w:b/>
          <w:bCs/>
        </w:rPr>
        <w:t>51</w:t>
      </w:r>
      <w:r w:rsidRPr="00EB13C3">
        <w:rPr>
          <w:rFonts w:eastAsiaTheme="minorHAnsi"/>
        </w:rPr>
        <w:t>, 375–392 (2002).</w:t>
      </w:r>
    </w:p>
    <w:p w14:paraId="636B7AD4" w14:textId="77777777" w:rsidR="00EB13C3" w:rsidRPr="00EB13C3" w:rsidRDefault="00EB13C3" w:rsidP="00EB13C3">
      <w:pPr>
        <w:pStyle w:val="Bibliography"/>
        <w:rPr>
          <w:rFonts w:eastAsiaTheme="minorHAnsi"/>
        </w:rPr>
      </w:pPr>
      <w:r w:rsidRPr="00EB13C3">
        <w:rPr>
          <w:rFonts w:eastAsiaTheme="minorHAnsi"/>
        </w:rPr>
        <w:t xml:space="preserve">78. </w:t>
      </w:r>
      <w:r w:rsidRPr="00EB13C3">
        <w:rPr>
          <w:rFonts w:eastAsiaTheme="minorHAnsi"/>
        </w:rPr>
        <w:tab/>
        <w:t xml:space="preserve">J. Palarea-Albaladejo, J. A. Martín-Fernández, zCompositions — R package for multivariate imputation of left-censored data under a compositional approach. </w:t>
      </w:r>
      <w:r w:rsidRPr="00EB13C3">
        <w:rPr>
          <w:rFonts w:eastAsiaTheme="minorHAnsi"/>
          <w:i/>
          <w:iCs/>
        </w:rPr>
        <w:t>Chemometrics and Intelligent Laboratory Systems</w:t>
      </w:r>
      <w:r w:rsidRPr="00EB13C3">
        <w:rPr>
          <w:rFonts w:eastAsiaTheme="minorHAnsi"/>
        </w:rPr>
        <w:t xml:space="preserve"> </w:t>
      </w:r>
      <w:r w:rsidRPr="00EB13C3">
        <w:rPr>
          <w:rFonts w:eastAsiaTheme="minorHAnsi"/>
          <w:b/>
          <w:bCs/>
        </w:rPr>
        <w:t>143</w:t>
      </w:r>
      <w:r w:rsidRPr="00EB13C3">
        <w:rPr>
          <w:rFonts w:eastAsiaTheme="minorHAnsi"/>
        </w:rPr>
        <w:t>, 85–96 (2015).</w:t>
      </w:r>
    </w:p>
    <w:p w14:paraId="2D5403AA" w14:textId="77777777" w:rsidR="00EB13C3" w:rsidRPr="00EB13C3" w:rsidRDefault="00EB13C3" w:rsidP="00EB13C3">
      <w:pPr>
        <w:pStyle w:val="Bibliography"/>
        <w:rPr>
          <w:rFonts w:eastAsiaTheme="minorHAnsi"/>
        </w:rPr>
      </w:pPr>
      <w:r w:rsidRPr="00EB13C3">
        <w:rPr>
          <w:rFonts w:eastAsiaTheme="minorHAnsi"/>
        </w:rPr>
        <w:t xml:space="preserve">79. </w:t>
      </w:r>
      <w:r w:rsidRPr="00EB13C3">
        <w:rPr>
          <w:rFonts w:eastAsiaTheme="minorHAnsi"/>
        </w:rPr>
        <w:tab/>
        <w:t xml:space="preserve">H. Akaike, “Information Theory and an Extension of the Maximum Likelihood Principle” in </w:t>
      </w:r>
      <w:r w:rsidRPr="00EB13C3">
        <w:rPr>
          <w:rFonts w:eastAsiaTheme="minorHAnsi"/>
          <w:i/>
          <w:iCs/>
        </w:rPr>
        <w:t>Selected Papers of Hirotugu Akaike</w:t>
      </w:r>
      <w:r w:rsidRPr="00EB13C3">
        <w:rPr>
          <w:rFonts w:eastAsiaTheme="minorHAnsi"/>
        </w:rPr>
        <w:t>, E. Parzen, K. Tanabe, G. Kitagawa, Eds. (Springer New York, New York, NY, 1998; http://link.springer.com/10.1007/978-1-4612-1694-0_15)</w:t>
      </w:r>
      <w:r w:rsidRPr="00EB13C3">
        <w:rPr>
          <w:rFonts w:eastAsiaTheme="minorHAnsi"/>
          <w:i/>
          <w:iCs/>
        </w:rPr>
        <w:t>Springer Series in Statistics</w:t>
      </w:r>
      <w:r w:rsidRPr="00EB13C3">
        <w:rPr>
          <w:rFonts w:eastAsiaTheme="minorHAnsi"/>
        </w:rPr>
        <w:t>, pp. 199–213.</w:t>
      </w:r>
    </w:p>
    <w:p w14:paraId="0B1D52C6" w14:textId="77777777" w:rsidR="00EB13C3" w:rsidRPr="00EB13C3" w:rsidRDefault="00EB13C3" w:rsidP="00EB13C3">
      <w:pPr>
        <w:pStyle w:val="Bibliography"/>
        <w:rPr>
          <w:rFonts w:eastAsiaTheme="minorHAnsi"/>
        </w:rPr>
      </w:pPr>
      <w:r w:rsidRPr="00EB13C3">
        <w:rPr>
          <w:rFonts w:eastAsiaTheme="minorHAnsi"/>
        </w:rPr>
        <w:t xml:space="preserve">80. </w:t>
      </w:r>
      <w:r w:rsidRPr="00EB13C3">
        <w:rPr>
          <w:rFonts w:eastAsiaTheme="minorHAnsi"/>
        </w:rPr>
        <w:tab/>
        <w:t>C. M. Hurvich, C.-L. Tsai, Regression and time series model selection in small samples.</w:t>
      </w:r>
    </w:p>
    <w:p w14:paraId="7EFD2A60" w14:textId="77777777" w:rsidR="00EB13C3" w:rsidRPr="00EB13C3" w:rsidRDefault="00EB13C3" w:rsidP="00EB13C3">
      <w:pPr>
        <w:pStyle w:val="Bibliography"/>
        <w:rPr>
          <w:rFonts w:eastAsiaTheme="minorHAnsi"/>
        </w:rPr>
      </w:pPr>
      <w:r w:rsidRPr="00EB13C3">
        <w:rPr>
          <w:rFonts w:eastAsiaTheme="minorHAnsi"/>
        </w:rPr>
        <w:t xml:space="preserve">81. </w:t>
      </w:r>
      <w:r w:rsidRPr="00EB13C3">
        <w:rPr>
          <w:rFonts w:eastAsiaTheme="minorHAnsi"/>
        </w:rPr>
        <w:tab/>
        <w:t xml:space="preserve">D. R. Anderson, K. P. Burnham, W. L. Thompson, Null Hypothesis Testing: Problems, Prevalence, and an Alternative. </w:t>
      </w:r>
      <w:r w:rsidRPr="00EB13C3">
        <w:rPr>
          <w:rFonts w:eastAsiaTheme="minorHAnsi"/>
          <w:i/>
          <w:iCs/>
        </w:rPr>
        <w:t>The Journal of Wildlife Management</w:t>
      </w:r>
      <w:r w:rsidRPr="00EB13C3">
        <w:rPr>
          <w:rFonts w:eastAsiaTheme="minorHAnsi"/>
        </w:rPr>
        <w:t xml:space="preserve"> </w:t>
      </w:r>
      <w:r w:rsidRPr="00EB13C3">
        <w:rPr>
          <w:rFonts w:eastAsiaTheme="minorHAnsi"/>
          <w:b/>
          <w:bCs/>
        </w:rPr>
        <w:t>64</w:t>
      </w:r>
      <w:r w:rsidRPr="00EB13C3">
        <w:rPr>
          <w:rFonts w:eastAsiaTheme="minorHAnsi"/>
        </w:rPr>
        <w:t>, 912–923 (2000).</w:t>
      </w:r>
    </w:p>
    <w:p w14:paraId="514FAAC5" w14:textId="77777777" w:rsidR="00EB13C3" w:rsidRPr="00EB13C3" w:rsidRDefault="00EB13C3" w:rsidP="00EB13C3">
      <w:pPr>
        <w:pStyle w:val="Bibliography"/>
        <w:rPr>
          <w:rFonts w:eastAsiaTheme="minorHAnsi"/>
        </w:rPr>
      </w:pPr>
      <w:r w:rsidRPr="00EB13C3">
        <w:rPr>
          <w:rFonts w:eastAsiaTheme="minorHAnsi"/>
        </w:rPr>
        <w:t xml:space="preserve">82. </w:t>
      </w:r>
      <w:r w:rsidRPr="00EB13C3">
        <w:rPr>
          <w:rFonts w:eastAsiaTheme="minorHAnsi"/>
        </w:rPr>
        <w:tab/>
        <w:t xml:space="preserve">K. P. Burnham, D. R. Anderson, K. P. Huyvaert, AIC model selection and multimodel inference in behavioral ecology: some background, observations, and comparisons. </w:t>
      </w:r>
      <w:r w:rsidRPr="00EB13C3">
        <w:rPr>
          <w:rFonts w:eastAsiaTheme="minorHAnsi"/>
          <w:i/>
          <w:iCs/>
        </w:rPr>
        <w:t>Behav Ecol Sociobiol</w:t>
      </w:r>
      <w:r w:rsidRPr="00EB13C3">
        <w:rPr>
          <w:rFonts w:eastAsiaTheme="minorHAnsi"/>
        </w:rPr>
        <w:t xml:space="preserve"> </w:t>
      </w:r>
      <w:r w:rsidRPr="00EB13C3">
        <w:rPr>
          <w:rFonts w:eastAsiaTheme="minorHAnsi"/>
          <w:b/>
          <w:bCs/>
        </w:rPr>
        <w:t>65</w:t>
      </w:r>
      <w:r w:rsidRPr="00EB13C3">
        <w:rPr>
          <w:rFonts w:eastAsiaTheme="minorHAnsi"/>
        </w:rPr>
        <w:t>, 23–35 (2011).</w:t>
      </w:r>
    </w:p>
    <w:p w14:paraId="7857382E" w14:textId="77777777" w:rsidR="00EB13C3" w:rsidRPr="00EB13C3" w:rsidRDefault="00EB13C3" w:rsidP="00EB13C3">
      <w:pPr>
        <w:pStyle w:val="Bibliography"/>
        <w:rPr>
          <w:rFonts w:eastAsiaTheme="minorHAnsi"/>
        </w:rPr>
      </w:pPr>
      <w:r w:rsidRPr="00EB13C3">
        <w:rPr>
          <w:rFonts w:eastAsiaTheme="minorHAnsi"/>
        </w:rPr>
        <w:lastRenderedPageBreak/>
        <w:t xml:space="preserve">83. </w:t>
      </w:r>
      <w:r w:rsidRPr="00EB13C3">
        <w:rPr>
          <w:rFonts w:eastAsiaTheme="minorHAnsi"/>
        </w:rPr>
        <w:tab/>
        <w:t xml:space="preserve">X. Zhang, Y.-F. Pei, L. Zhang, B. Guo, A. H. Pendegraft, W. Zhuang, N. Yi, Negative Binomial Mixed Models for Analyzing Longitudinal Microbiome Data. </w:t>
      </w:r>
      <w:r w:rsidRPr="00EB13C3">
        <w:rPr>
          <w:rFonts w:eastAsiaTheme="minorHAnsi"/>
          <w:i/>
          <w:iCs/>
        </w:rPr>
        <w:t>Front. Microbiol.</w:t>
      </w:r>
      <w:r w:rsidRPr="00EB13C3">
        <w:rPr>
          <w:rFonts w:eastAsiaTheme="minorHAnsi"/>
        </w:rPr>
        <w:t xml:space="preserve"> </w:t>
      </w:r>
      <w:r w:rsidRPr="00EB13C3">
        <w:rPr>
          <w:rFonts w:eastAsiaTheme="minorHAnsi"/>
          <w:b/>
          <w:bCs/>
        </w:rPr>
        <w:t>9</w:t>
      </w:r>
      <w:r w:rsidRPr="00EB13C3">
        <w:rPr>
          <w:rFonts w:eastAsiaTheme="minorHAnsi"/>
        </w:rPr>
        <w:t xml:space="preserve"> (2018).</w:t>
      </w:r>
    </w:p>
    <w:p w14:paraId="45133D23" w14:textId="77777777" w:rsidR="00EB13C3" w:rsidRPr="00EB13C3" w:rsidRDefault="00EB13C3" w:rsidP="00EB13C3">
      <w:pPr>
        <w:pStyle w:val="Bibliography"/>
        <w:rPr>
          <w:rFonts w:eastAsiaTheme="minorHAnsi"/>
        </w:rPr>
      </w:pPr>
      <w:r w:rsidRPr="00EB13C3">
        <w:rPr>
          <w:rFonts w:eastAsiaTheme="minorHAnsi"/>
        </w:rPr>
        <w:t xml:space="preserve">84. </w:t>
      </w:r>
      <w:r w:rsidRPr="00EB13C3">
        <w:rPr>
          <w:rFonts w:eastAsiaTheme="minorHAnsi"/>
        </w:rPr>
        <w:tab/>
        <w:t xml:space="preserve">M. C. Mansilla, L. E. Cybulski, D. Albanesi, D. de Mendoza, Control of Membrane Lipid Fluidity by Molecular Thermosensors. </w:t>
      </w:r>
      <w:r w:rsidRPr="00EB13C3">
        <w:rPr>
          <w:rFonts w:eastAsiaTheme="minorHAnsi"/>
          <w:i/>
          <w:iCs/>
        </w:rPr>
        <w:t>Journal of Bacteriology</w:t>
      </w:r>
      <w:r w:rsidRPr="00EB13C3">
        <w:rPr>
          <w:rFonts w:eastAsiaTheme="minorHAnsi"/>
        </w:rPr>
        <w:t xml:space="preserve"> </w:t>
      </w:r>
      <w:r w:rsidRPr="00EB13C3">
        <w:rPr>
          <w:rFonts w:eastAsiaTheme="minorHAnsi"/>
          <w:b/>
          <w:bCs/>
        </w:rPr>
        <w:t>186</w:t>
      </w:r>
      <w:r w:rsidRPr="00EB13C3">
        <w:rPr>
          <w:rFonts w:eastAsiaTheme="minorHAnsi"/>
        </w:rPr>
        <w:t>, 6681–6688 (2004).</w:t>
      </w:r>
    </w:p>
    <w:p w14:paraId="0E1D4E4C" w14:textId="77777777" w:rsidR="00EB13C3" w:rsidRPr="00EB13C3" w:rsidRDefault="00EB13C3" w:rsidP="00EB13C3">
      <w:pPr>
        <w:pStyle w:val="Bibliography"/>
        <w:rPr>
          <w:rFonts w:eastAsiaTheme="minorHAnsi"/>
        </w:rPr>
      </w:pPr>
      <w:r w:rsidRPr="00EB13C3">
        <w:rPr>
          <w:rFonts w:eastAsiaTheme="minorHAnsi"/>
        </w:rPr>
        <w:t xml:space="preserve">85. </w:t>
      </w:r>
      <w:r w:rsidRPr="00EB13C3">
        <w:rPr>
          <w:rFonts w:eastAsiaTheme="minorHAnsi"/>
        </w:rPr>
        <w:tab/>
        <w:t xml:space="preserve">Y.-M. Zhang, C. O. Rock, Membrane lipid homeostasis in bacteria. </w:t>
      </w:r>
      <w:r w:rsidRPr="00EB13C3">
        <w:rPr>
          <w:rFonts w:eastAsiaTheme="minorHAnsi"/>
          <w:i/>
          <w:iCs/>
        </w:rPr>
        <w:t>Nat Rev Microbiol</w:t>
      </w:r>
      <w:r w:rsidRPr="00EB13C3">
        <w:rPr>
          <w:rFonts w:eastAsiaTheme="minorHAnsi"/>
        </w:rPr>
        <w:t xml:space="preserve"> </w:t>
      </w:r>
      <w:r w:rsidRPr="00EB13C3">
        <w:rPr>
          <w:rFonts w:eastAsiaTheme="minorHAnsi"/>
          <w:b/>
          <w:bCs/>
        </w:rPr>
        <w:t>6</w:t>
      </w:r>
      <w:r w:rsidRPr="00EB13C3">
        <w:rPr>
          <w:rFonts w:eastAsiaTheme="minorHAnsi"/>
        </w:rPr>
        <w:t>, 222–233 (2008).</w:t>
      </w:r>
    </w:p>
    <w:p w14:paraId="15516046" w14:textId="77777777" w:rsidR="00EB13C3" w:rsidRPr="00EB13C3" w:rsidRDefault="00EB13C3" w:rsidP="00EB13C3">
      <w:pPr>
        <w:pStyle w:val="Bibliography"/>
        <w:rPr>
          <w:rFonts w:eastAsiaTheme="minorHAnsi"/>
        </w:rPr>
      </w:pPr>
      <w:r w:rsidRPr="00EB13C3">
        <w:rPr>
          <w:rFonts w:eastAsiaTheme="minorHAnsi"/>
        </w:rPr>
        <w:t xml:space="preserve">86. </w:t>
      </w:r>
      <w:r w:rsidRPr="00EB13C3">
        <w:rPr>
          <w:rFonts w:eastAsiaTheme="minorHAnsi"/>
        </w:rPr>
        <w:tab/>
        <w:t xml:space="preserve">E. A. Dennis, Diversity of group types, regulation, and function of phospholipase A2.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269</w:t>
      </w:r>
      <w:r w:rsidRPr="00EB13C3">
        <w:rPr>
          <w:rFonts w:eastAsiaTheme="minorHAnsi"/>
        </w:rPr>
        <w:t>, 13057–13060 (1994).</w:t>
      </w:r>
    </w:p>
    <w:p w14:paraId="6DE72CC7" w14:textId="77777777" w:rsidR="00EB13C3" w:rsidRPr="00EB13C3" w:rsidRDefault="00EB13C3" w:rsidP="00EB13C3">
      <w:pPr>
        <w:pStyle w:val="Bibliography"/>
        <w:rPr>
          <w:rFonts w:eastAsiaTheme="minorHAnsi"/>
        </w:rPr>
      </w:pPr>
      <w:r w:rsidRPr="00EB13C3">
        <w:rPr>
          <w:rFonts w:eastAsiaTheme="minorHAnsi"/>
        </w:rPr>
        <w:t xml:space="preserve">87. </w:t>
      </w:r>
      <w:r w:rsidRPr="00EB13C3">
        <w:rPr>
          <w:rFonts w:eastAsiaTheme="minorHAnsi"/>
        </w:rPr>
        <w:tab/>
        <w:t xml:space="preserve">D. M. Hall, K. R. Baumgardner, T. D. Oberley, C. V. Gisolfi, Splanchnic tissues undergo hypoxic stress  during whole body hyperthermia. </w:t>
      </w:r>
      <w:r w:rsidRPr="00EB13C3">
        <w:rPr>
          <w:rFonts w:eastAsiaTheme="minorHAnsi"/>
          <w:i/>
          <w:iCs/>
        </w:rPr>
        <w:t>American Journal of Physiology-Gastrointestinal and Liver Physiology</w:t>
      </w:r>
      <w:r w:rsidRPr="00EB13C3">
        <w:rPr>
          <w:rFonts w:eastAsiaTheme="minorHAnsi"/>
        </w:rPr>
        <w:t xml:space="preserve"> </w:t>
      </w:r>
      <w:r w:rsidRPr="00EB13C3">
        <w:rPr>
          <w:rFonts w:eastAsiaTheme="minorHAnsi"/>
          <w:b/>
          <w:bCs/>
        </w:rPr>
        <w:t>276</w:t>
      </w:r>
      <w:r w:rsidRPr="00EB13C3">
        <w:rPr>
          <w:rFonts w:eastAsiaTheme="minorHAnsi"/>
        </w:rPr>
        <w:t>, G1195–G1203 (1999).</w:t>
      </w:r>
    </w:p>
    <w:p w14:paraId="58ADB5D8" w14:textId="77777777" w:rsidR="00EB13C3" w:rsidRPr="00EB13C3" w:rsidRDefault="00EB13C3" w:rsidP="00EB13C3">
      <w:pPr>
        <w:pStyle w:val="Bibliography"/>
        <w:rPr>
          <w:rFonts w:eastAsiaTheme="minorHAnsi"/>
        </w:rPr>
      </w:pPr>
      <w:r w:rsidRPr="00EB13C3">
        <w:rPr>
          <w:rFonts w:eastAsiaTheme="minorHAnsi"/>
        </w:rPr>
        <w:t xml:space="preserve">88. </w:t>
      </w:r>
      <w:r w:rsidRPr="00EB13C3">
        <w:rPr>
          <w:rFonts w:eastAsiaTheme="minorHAnsi"/>
        </w:rPr>
        <w:tab/>
        <w:t xml:space="preserve">H. Hellmann, S. Mooney, Vitamin B6: A Molecule for Human Health? </w:t>
      </w:r>
      <w:r w:rsidRPr="00EB13C3">
        <w:rPr>
          <w:rFonts w:eastAsiaTheme="minorHAnsi"/>
          <w:i/>
          <w:iCs/>
        </w:rPr>
        <w:t>Molecules</w:t>
      </w:r>
      <w:r w:rsidRPr="00EB13C3">
        <w:rPr>
          <w:rFonts w:eastAsiaTheme="minorHAnsi"/>
        </w:rPr>
        <w:t xml:space="preserve"> </w:t>
      </w:r>
      <w:r w:rsidRPr="00EB13C3">
        <w:rPr>
          <w:rFonts w:eastAsiaTheme="minorHAnsi"/>
          <w:b/>
          <w:bCs/>
        </w:rPr>
        <w:t>15</w:t>
      </w:r>
      <w:r w:rsidRPr="00EB13C3">
        <w:rPr>
          <w:rFonts w:eastAsiaTheme="minorHAnsi"/>
        </w:rPr>
        <w:t>, 442–459 (2010).</w:t>
      </w:r>
    </w:p>
    <w:p w14:paraId="1B25FA5C" w14:textId="77777777" w:rsidR="00EB13C3" w:rsidRPr="00EB13C3" w:rsidRDefault="00EB13C3" w:rsidP="00EB13C3">
      <w:pPr>
        <w:pStyle w:val="Bibliography"/>
        <w:rPr>
          <w:rFonts w:eastAsiaTheme="minorHAnsi"/>
        </w:rPr>
      </w:pPr>
      <w:r w:rsidRPr="00EB13C3">
        <w:rPr>
          <w:rFonts w:eastAsiaTheme="minorHAnsi"/>
        </w:rPr>
        <w:t xml:space="preserve">89. </w:t>
      </w:r>
      <w:r w:rsidRPr="00EB13C3">
        <w:rPr>
          <w:rFonts w:eastAsiaTheme="minorHAnsi"/>
        </w:rPr>
        <w:tab/>
        <w:t xml:space="preserve">H. J. Powers, Riboflavin (vitamin B-2) and health12. </w:t>
      </w:r>
      <w:r w:rsidRPr="00EB13C3">
        <w:rPr>
          <w:rFonts w:eastAsiaTheme="minorHAnsi"/>
          <w:i/>
          <w:iCs/>
        </w:rPr>
        <w:t>The American Journal of Clinical Nutrition</w:t>
      </w:r>
      <w:r w:rsidRPr="00EB13C3">
        <w:rPr>
          <w:rFonts w:eastAsiaTheme="minorHAnsi"/>
        </w:rPr>
        <w:t xml:space="preserve"> </w:t>
      </w:r>
      <w:r w:rsidRPr="00EB13C3">
        <w:rPr>
          <w:rFonts w:eastAsiaTheme="minorHAnsi"/>
          <w:b/>
          <w:bCs/>
        </w:rPr>
        <w:t>77</w:t>
      </w:r>
      <w:r w:rsidRPr="00EB13C3">
        <w:rPr>
          <w:rFonts w:eastAsiaTheme="minorHAnsi"/>
        </w:rPr>
        <w:t>, 1352–1360 (2003).</w:t>
      </w:r>
    </w:p>
    <w:p w14:paraId="1B025B90" w14:textId="77777777" w:rsidR="00EB13C3" w:rsidRPr="00EB13C3" w:rsidRDefault="00EB13C3" w:rsidP="00EB13C3">
      <w:pPr>
        <w:pStyle w:val="Bibliography"/>
        <w:rPr>
          <w:rFonts w:eastAsiaTheme="minorHAnsi"/>
        </w:rPr>
      </w:pPr>
      <w:r w:rsidRPr="00EB13C3">
        <w:rPr>
          <w:rFonts w:eastAsiaTheme="minorHAnsi"/>
        </w:rPr>
        <w:t xml:space="preserve">90. </w:t>
      </w:r>
      <w:r w:rsidRPr="00EB13C3">
        <w:rPr>
          <w:rFonts w:eastAsiaTheme="minorHAnsi"/>
        </w:rPr>
        <w:tab/>
        <w:t xml:space="preserve">I. Gout, Coenzyme A, protein CoAlation and redox regulation in mammalian cells. </w:t>
      </w:r>
      <w:r w:rsidRPr="00EB13C3">
        <w:rPr>
          <w:rFonts w:eastAsiaTheme="minorHAnsi"/>
          <w:i/>
          <w:iCs/>
        </w:rPr>
        <w:t>Biochemical Society Transactions</w:t>
      </w:r>
      <w:r w:rsidRPr="00EB13C3">
        <w:rPr>
          <w:rFonts w:eastAsiaTheme="minorHAnsi"/>
        </w:rPr>
        <w:t xml:space="preserve"> </w:t>
      </w:r>
      <w:r w:rsidRPr="00EB13C3">
        <w:rPr>
          <w:rFonts w:eastAsiaTheme="minorHAnsi"/>
          <w:b/>
          <w:bCs/>
        </w:rPr>
        <w:t>46</w:t>
      </w:r>
      <w:r w:rsidRPr="00EB13C3">
        <w:rPr>
          <w:rFonts w:eastAsiaTheme="minorHAnsi"/>
        </w:rPr>
        <w:t>, 721–728 (2018).</w:t>
      </w:r>
    </w:p>
    <w:p w14:paraId="447F695F" w14:textId="77777777" w:rsidR="00EB13C3" w:rsidRPr="00EB13C3" w:rsidRDefault="00EB13C3" w:rsidP="00EB13C3">
      <w:pPr>
        <w:pStyle w:val="Bibliography"/>
        <w:rPr>
          <w:rFonts w:eastAsiaTheme="minorHAnsi"/>
        </w:rPr>
      </w:pPr>
      <w:r w:rsidRPr="00EB13C3">
        <w:rPr>
          <w:rFonts w:eastAsiaTheme="minorHAnsi"/>
        </w:rPr>
        <w:t xml:space="preserve">91. </w:t>
      </w:r>
      <w:r w:rsidRPr="00EB13C3">
        <w:rPr>
          <w:rFonts w:eastAsiaTheme="minorHAnsi"/>
        </w:rPr>
        <w:tab/>
        <w:t xml:space="preserve">S. C. Lu, Glutathione synthesis. </w:t>
      </w:r>
      <w:r w:rsidRPr="00EB13C3">
        <w:rPr>
          <w:rFonts w:eastAsiaTheme="minorHAnsi"/>
          <w:i/>
          <w:iCs/>
        </w:rPr>
        <w:t>Biochimica et Biophysica Acta (BBA) - General Subjects</w:t>
      </w:r>
      <w:r w:rsidRPr="00EB13C3">
        <w:rPr>
          <w:rFonts w:eastAsiaTheme="minorHAnsi"/>
        </w:rPr>
        <w:t xml:space="preserve"> </w:t>
      </w:r>
      <w:r w:rsidRPr="00EB13C3">
        <w:rPr>
          <w:rFonts w:eastAsiaTheme="minorHAnsi"/>
          <w:b/>
          <w:bCs/>
        </w:rPr>
        <w:t>1830</w:t>
      </w:r>
      <w:r w:rsidRPr="00EB13C3">
        <w:rPr>
          <w:rFonts w:eastAsiaTheme="minorHAnsi"/>
        </w:rPr>
        <w:t>, 3143–3153 (2013).</w:t>
      </w:r>
    </w:p>
    <w:p w14:paraId="66FA34FB" w14:textId="77777777" w:rsidR="00EB13C3" w:rsidRPr="00EB13C3" w:rsidRDefault="00EB13C3" w:rsidP="00EB13C3">
      <w:pPr>
        <w:pStyle w:val="Bibliography"/>
        <w:rPr>
          <w:rFonts w:eastAsiaTheme="minorHAnsi"/>
        </w:rPr>
      </w:pPr>
      <w:r w:rsidRPr="00EB13C3">
        <w:rPr>
          <w:rFonts w:eastAsiaTheme="minorHAnsi"/>
        </w:rPr>
        <w:t xml:space="preserve">92. </w:t>
      </w:r>
      <w:r w:rsidRPr="00EB13C3">
        <w:rPr>
          <w:rFonts w:eastAsiaTheme="minorHAnsi"/>
        </w:rPr>
        <w:tab/>
        <w:t xml:space="preserve">S. Dhungana, A. L. and Crumbliss, Coordination Chemistry and Redox Processes in Siderophore-Mediated Iron Transport. </w:t>
      </w:r>
      <w:r w:rsidRPr="00EB13C3">
        <w:rPr>
          <w:rFonts w:eastAsiaTheme="minorHAnsi"/>
          <w:i/>
          <w:iCs/>
        </w:rPr>
        <w:t>Geomicrobiology Journal</w:t>
      </w:r>
      <w:r w:rsidRPr="00EB13C3">
        <w:rPr>
          <w:rFonts w:eastAsiaTheme="minorHAnsi"/>
        </w:rPr>
        <w:t xml:space="preserve"> </w:t>
      </w:r>
      <w:r w:rsidRPr="00EB13C3">
        <w:rPr>
          <w:rFonts w:eastAsiaTheme="minorHAnsi"/>
          <w:b/>
          <w:bCs/>
        </w:rPr>
        <w:t>22</w:t>
      </w:r>
      <w:r w:rsidRPr="00EB13C3">
        <w:rPr>
          <w:rFonts w:eastAsiaTheme="minorHAnsi"/>
        </w:rPr>
        <w:t>, 87–98 (2005).</w:t>
      </w:r>
    </w:p>
    <w:p w14:paraId="27CF685D" w14:textId="77777777" w:rsidR="00EB13C3" w:rsidRPr="00EB13C3" w:rsidRDefault="00EB13C3" w:rsidP="00EB13C3">
      <w:pPr>
        <w:pStyle w:val="Bibliography"/>
        <w:rPr>
          <w:rFonts w:eastAsiaTheme="minorHAnsi"/>
        </w:rPr>
      </w:pPr>
      <w:r w:rsidRPr="00EB13C3">
        <w:rPr>
          <w:rFonts w:eastAsiaTheme="minorHAnsi"/>
        </w:rPr>
        <w:t xml:space="preserve">93. </w:t>
      </w:r>
      <w:r w:rsidRPr="00EB13C3">
        <w:rPr>
          <w:rFonts w:eastAsiaTheme="minorHAnsi"/>
        </w:rPr>
        <w:tab/>
        <w:t>W. Ying, NAD</w:t>
      </w:r>
      <w:r w:rsidRPr="00EB13C3">
        <w:rPr>
          <w:rFonts w:eastAsiaTheme="minorHAnsi"/>
          <w:vertAlign w:val="superscript"/>
        </w:rPr>
        <w:t>+</w:t>
      </w:r>
      <w:r w:rsidRPr="00EB13C3">
        <w:rPr>
          <w:rFonts w:eastAsiaTheme="minorHAnsi"/>
        </w:rPr>
        <w:t xml:space="preserve"> /NADH and NADP</w:t>
      </w:r>
      <w:r w:rsidRPr="00EB13C3">
        <w:rPr>
          <w:rFonts w:eastAsiaTheme="minorHAnsi"/>
          <w:vertAlign w:val="superscript"/>
        </w:rPr>
        <w:t>+</w:t>
      </w:r>
      <w:r w:rsidRPr="00EB13C3">
        <w:rPr>
          <w:rFonts w:eastAsiaTheme="minorHAnsi"/>
        </w:rPr>
        <w:t xml:space="preserve"> /NADPH in Cellular Functions and Cell Death: Regulation and Biological Consequences. </w:t>
      </w:r>
      <w:r w:rsidRPr="00EB13C3">
        <w:rPr>
          <w:rFonts w:eastAsiaTheme="minorHAnsi"/>
          <w:i/>
          <w:iCs/>
        </w:rPr>
        <w:t>Antioxidants &amp; Redox Signaling</w:t>
      </w:r>
      <w:r w:rsidRPr="00EB13C3">
        <w:rPr>
          <w:rFonts w:eastAsiaTheme="minorHAnsi"/>
        </w:rPr>
        <w:t xml:space="preserve"> </w:t>
      </w:r>
      <w:r w:rsidRPr="00EB13C3">
        <w:rPr>
          <w:rFonts w:eastAsiaTheme="minorHAnsi"/>
          <w:b/>
          <w:bCs/>
        </w:rPr>
        <w:t>10</w:t>
      </w:r>
      <w:r w:rsidRPr="00EB13C3">
        <w:rPr>
          <w:rFonts w:eastAsiaTheme="minorHAnsi"/>
        </w:rPr>
        <w:t>, 179–206 (2008).</w:t>
      </w:r>
    </w:p>
    <w:p w14:paraId="5AE36FD5" w14:textId="77777777" w:rsidR="00EB13C3" w:rsidRPr="00EB13C3" w:rsidRDefault="00EB13C3" w:rsidP="00EB13C3">
      <w:pPr>
        <w:pStyle w:val="Bibliography"/>
        <w:rPr>
          <w:rFonts w:eastAsiaTheme="minorHAnsi"/>
        </w:rPr>
      </w:pPr>
      <w:r w:rsidRPr="00EB13C3">
        <w:rPr>
          <w:rFonts w:eastAsiaTheme="minorHAnsi"/>
        </w:rPr>
        <w:t xml:space="preserve">94. </w:t>
      </w:r>
      <w:r w:rsidRPr="00EB13C3">
        <w:rPr>
          <w:rFonts w:eastAsiaTheme="minorHAnsi"/>
        </w:rPr>
        <w:tab/>
        <w:t xml:space="preserve">M. P. Kalapos, Methylglyoxal in living organisms: Chemistry, biochemistry, toxicology and biological implications. </w:t>
      </w:r>
      <w:r w:rsidRPr="00EB13C3">
        <w:rPr>
          <w:rFonts w:eastAsiaTheme="minorHAnsi"/>
          <w:i/>
          <w:iCs/>
        </w:rPr>
        <w:t>Toxicology Letters</w:t>
      </w:r>
      <w:r w:rsidRPr="00EB13C3">
        <w:rPr>
          <w:rFonts w:eastAsiaTheme="minorHAnsi"/>
        </w:rPr>
        <w:t xml:space="preserve"> </w:t>
      </w:r>
      <w:r w:rsidRPr="00EB13C3">
        <w:rPr>
          <w:rFonts w:eastAsiaTheme="minorHAnsi"/>
          <w:b/>
          <w:bCs/>
        </w:rPr>
        <w:t>110</w:t>
      </w:r>
      <w:r w:rsidRPr="00EB13C3">
        <w:rPr>
          <w:rFonts w:eastAsiaTheme="minorHAnsi"/>
        </w:rPr>
        <w:t>, 145–175 (1999).</w:t>
      </w:r>
    </w:p>
    <w:p w14:paraId="6246131F" w14:textId="77777777" w:rsidR="00EB13C3" w:rsidRPr="00EB13C3" w:rsidRDefault="00EB13C3" w:rsidP="00EB13C3">
      <w:pPr>
        <w:pStyle w:val="Bibliography"/>
        <w:rPr>
          <w:rFonts w:eastAsiaTheme="minorHAnsi"/>
        </w:rPr>
      </w:pPr>
      <w:r w:rsidRPr="00EB13C3">
        <w:rPr>
          <w:rFonts w:eastAsiaTheme="minorHAnsi"/>
        </w:rPr>
        <w:t xml:space="preserve">95. </w:t>
      </w:r>
      <w:r w:rsidRPr="00EB13C3">
        <w:rPr>
          <w:rFonts w:eastAsiaTheme="minorHAnsi"/>
        </w:rPr>
        <w:tab/>
        <w:t xml:space="preserve">M. Kilstrup, K. Hammer, P. Ruhdal Jensen, J. Martinussen, Nucleotide metabolism and its control in lactic acid bacteria. </w:t>
      </w:r>
      <w:r w:rsidRPr="00EB13C3">
        <w:rPr>
          <w:rFonts w:eastAsiaTheme="minorHAnsi"/>
          <w:i/>
          <w:iCs/>
        </w:rPr>
        <w:t>FEMS Microbiol Rev</w:t>
      </w:r>
      <w:r w:rsidRPr="00EB13C3">
        <w:rPr>
          <w:rFonts w:eastAsiaTheme="minorHAnsi"/>
        </w:rPr>
        <w:t xml:space="preserve"> </w:t>
      </w:r>
      <w:r w:rsidRPr="00EB13C3">
        <w:rPr>
          <w:rFonts w:eastAsiaTheme="minorHAnsi"/>
          <w:b/>
          <w:bCs/>
        </w:rPr>
        <w:t>29</w:t>
      </w:r>
      <w:r w:rsidRPr="00EB13C3">
        <w:rPr>
          <w:rFonts w:eastAsiaTheme="minorHAnsi"/>
        </w:rPr>
        <w:t>, 555–590 (2005).</w:t>
      </w:r>
    </w:p>
    <w:p w14:paraId="355876D0" w14:textId="77777777" w:rsidR="00EB13C3" w:rsidRPr="00EB13C3" w:rsidRDefault="00EB13C3" w:rsidP="00EB13C3">
      <w:pPr>
        <w:pStyle w:val="Bibliography"/>
        <w:rPr>
          <w:rFonts w:eastAsiaTheme="minorHAnsi"/>
        </w:rPr>
      </w:pPr>
      <w:r w:rsidRPr="00EB13C3">
        <w:rPr>
          <w:rFonts w:eastAsiaTheme="minorHAnsi"/>
        </w:rPr>
        <w:t xml:space="preserve">96. </w:t>
      </w:r>
      <w:r w:rsidRPr="00EB13C3">
        <w:rPr>
          <w:rFonts w:eastAsiaTheme="minorHAnsi"/>
        </w:rPr>
        <w:tab/>
        <w:t xml:space="preserve">A. N. Lane, T. W.-M. Fan, Regulation of mammalian nucleotide metabolism and biosynthesis. </w:t>
      </w:r>
      <w:r w:rsidRPr="00EB13C3">
        <w:rPr>
          <w:rFonts w:eastAsiaTheme="minorHAnsi"/>
          <w:i/>
          <w:iCs/>
        </w:rPr>
        <w:t>Nucleic Acids Research</w:t>
      </w:r>
      <w:r w:rsidRPr="00EB13C3">
        <w:rPr>
          <w:rFonts w:eastAsiaTheme="minorHAnsi"/>
        </w:rPr>
        <w:t xml:space="preserve"> </w:t>
      </w:r>
      <w:r w:rsidRPr="00EB13C3">
        <w:rPr>
          <w:rFonts w:eastAsiaTheme="minorHAnsi"/>
          <w:b/>
          <w:bCs/>
        </w:rPr>
        <w:t>43</w:t>
      </w:r>
      <w:r w:rsidRPr="00EB13C3">
        <w:rPr>
          <w:rFonts w:eastAsiaTheme="minorHAnsi"/>
        </w:rPr>
        <w:t>, 2466–2485 (2015).</w:t>
      </w:r>
    </w:p>
    <w:p w14:paraId="1DD2C848" w14:textId="77777777" w:rsidR="00EB13C3" w:rsidRPr="00EB13C3" w:rsidRDefault="00EB13C3" w:rsidP="00EB13C3">
      <w:pPr>
        <w:pStyle w:val="Bibliography"/>
        <w:rPr>
          <w:rFonts w:eastAsiaTheme="minorHAnsi"/>
        </w:rPr>
      </w:pPr>
      <w:r w:rsidRPr="00EB13C3">
        <w:rPr>
          <w:rFonts w:eastAsiaTheme="minorHAnsi"/>
        </w:rPr>
        <w:t xml:space="preserve">97. </w:t>
      </w:r>
      <w:r w:rsidRPr="00EB13C3">
        <w:rPr>
          <w:rFonts w:eastAsiaTheme="minorHAnsi"/>
        </w:rPr>
        <w:tab/>
        <w:t xml:space="preserve">M. Vinayak, C. Pathak, Queuosine modification of tRNA: its divergent role in cellular machinery. </w:t>
      </w:r>
      <w:r w:rsidRPr="00EB13C3">
        <w:rPr>
          <w:rFonts w:eastAsiaTheme="minorHAnsi"/>
          <w:i/>
          <w:iCs/>
        </w:rPr>
        <w:t>Bioscience Reports</w:t>
      </w:r>
      <w:r w:rsidRPr="00EB13C3">
        <w:rPr>
          <w:rFonts w:eastAsiaTheme="minorHAnsi"/>
        </w:rPr>
        <w:t xml:space="preserve"> </w:t>
      </w:r>
      <w:r w:rsidRPr="00EB13C3">
        <w:rPr>
          <w:rFonts w:eastAsiaTheme="minorHAnsi"/>
          <w:b/>
          <w:bCs/>
        </w:rPr>
        <w:t>30</w:t>
      </w:r>
      <w:r w:rsidRPr="00EB13C3">
        <w:rPr>
          <w:rFonts w:eastAsiaTheme="minorHAnsi"/>
        </w:rPr>
        <w:t>, 135–148 (2009).</w:t>
      </w:r>
    </w:p>
    <w:p w14:paraId="3A5A26E8" w14:textId="77777777" w:rsidR="00EB13C3" w:rsidRPr="00EB13C3" w:rsidRDefault="00EB13C3" w:rsidP="00EB13C3">
      <w:pPr>
        <w:pStyle w:val="Bibliography"/>
        <w:rPr>
          <w:rFonts w:eastAsiaTheme="minorHAnsi"/>
        </w:rPr>
      </w:pPr>
      <w:r w:rsidRPr="00EB13C3">
        <w:rPr>
          <w:rFonts w:eastAsiaTheme="minorHAnsi"/>
        </w:rPr>
        <w:lastRenderedPageBreak/>
        <w:t xml:space="preserve">98. </w:t>
      </w:r>
      <w:r w:rsidRPr="00EB13C3">
        <w:rPr>
          <w:rFonts w:eastAsiaTheme="minorHAnsi"/>
        </w:rPr>
        <w:tab/>
        <w:t xml:space="preserve">J. A. Imlay, The molecular mechanisms and physiological consequences of oxidative stress: lessons from a model bacterium. </w:t>
      </w:r>
      <w:r w:rsidRPr="00EB13C3">
        <w:rPr>
          <w:rFonts w:eastAsiaTheme="minorHAnsi"/>
          <w:i/>
          <w:iCs/>
        </w:rPr>
        <w:t>Nat Rev Microbiol</w:t>
      </w:r>
      <w:r w:rsidRPr="00EB13C3">
        <w:rPr>
          <w:rFonts w:eastAsiaTheme="minorHAnsi"/>
        </w:rPr>
        <w:t xml:space="preserve"> </w:t>
      </w:r>
      <w:r w:rsidRPr="00EB13C3">
        <w:rPr>
          <w:rFonts w:eastAsiaTheme="minorHAnsi"/>
          <w:b/>
          <w:bCs/>
        </w:rPr>
        <w:t>11</w:t>
      </w:r>
      <w:r w:rsidRPr="00EB13C3">
        <w:rPr>
          <w:rFonts w:eastAsiaTheme="minorHAnsi"/>
        </w:rPr>
        <w:t>, 443–454 (2013).</w:t>
      </w:r>
    </w:p>
    <w:p w14:paraId="2F936754" w14:textId="77777777" w:rsidR="00EB13C3" w:rsidRPr="00EB13C3" w:rsidRDefault="00EB13C3" w:rsidP="00EB13C3">
      <w:pPr>
        <w:pStyle w:val="Bibliography"/>
        <w:rPr>
          <w:rFonts w:eastAsiaTheme="minorHAnsi"/>
        </w:rPr>
      </w:pPr>
      <w:r w:rsidRPr="00EB13C3">
        <w:rPr>
          <w:rFonts w:eastAsiaTheme="minorHAnsi"/>
        </w:rPr>
        <w:t xml:space="preserve">99. </w:t>
      </w:r>
      <w:r w:rsidRPr="00EB13C3">
        <w:rPr>
          <w:rFonts w:eastAsiaTheme="minorHAnsi"/>
        </w:rPr>
        <w:tab/>
        <w:t xml:space="preserve">J.-H. Martens, H. Barg, M. Warren, D. Jahn, Microbial production of vitamin B12. </w:t>
      </w:r>
      <w:r w:rsidRPr="00EB13C3">
        <w:rPr>
          <w:rFonts w:eastAsiaTheme="minorHAnsi"/>
          <w:i/>
          <w:iCs/>
        </w:rPr>
        <w:t>Appl Microbiol Biotechnol</w:t>
      </w:r>
      <w:r w:rsidRPr="00EB13C3">
        <w:rPr>
          <w:rFonts w:eastAsiaTheme="minorHAnsi"/>
        </w:rPr>
        <w:t xml:space="preserve"> </w:t>
      </w:r>
      <w:r w:rsidRPr="00EB13C3">
        <w:rPr>
          <w:rFonts w:eastAsiaTheme="minorHAnsi"/>
          <w:b/>
          <w:bCs/>
        </w:rPr>
        <w:t>58</w:t>
      </w:r>
      <w:r w:rsidRPr="00EB13C3">
        <w:rPr>
          <w:rFonts w:eastAsiaTheme="minorHAnsi"/>
        </w:rPr>
        <w:t>, 275–285 (2002).</w:t>
      </w:r>
    </w:p>
    <w:p w14:paraId="44EFBB36" w14:textId="77777777" w:rsidR="00EB13C3" w:rsidRPr="00EB13C3" w:rsidRDefault="00EB13C3" w:rsidP="00EB13C3">
      <w:pPr>
        <w:pStyle w:val="Bibliography"/>
        <w:rPr>
          <w:rFonts w:eastAsiaTheme="minorHAnsi"/>
        </w:rPr>
      </w:pPr>
      <w:r w:rsidRPr="00EB13C3">
        <w:rPr>
          <w:rFonts w:eastAsiaTheme="minorHAnsi"/>
        </w:rPr>
        <w:t xml:space="preserve">100. </w:t>
      </w:r>
      <w:r w:rsidRPr="00EB13C3">
        <w:rPr>
          <w:rFonts w:eastAsiaTheme="minorHAnsi"/>
        </w:rPr>
        <w:tab/>
        <w:t xml:space="preserve">P. Belenky, K. L. Bogan, C. Brenner, NAD+ metabolism in health and disease. </w:t>
      </w:r>
      <w:r w:rsidRPr="00EB13C3">
        <w:rPr>
          <w:rFonts w:eastAsiaTheme="minorHAnsi"/>
          <w:i/>
          <w:iCs/>
        </w:rPr>
        <w:t>Trends in Biochemical Sciences</w:t>
      </w:r>
      <w:r w:rsidRPr="00EB13C3">
        <w:rPr>
          <w:rFonts w:eastAsiaTheme="minorHAnsi"/>
        </w:rPr>
        <w:t xml:space="preserve"> </w:t>
      </w:r>
      <w:r w:rsidRPr="00EB13C3">
        <w:rPr>
          <w:rFonts w:eastAsiaTheme="minorHAnsi"/>
          <w:b/>
          <w:bCs/>
        </w:rPr>
        <w:t>32</w:t>
      </w:r>
      <w:r w:rsidRPr="00EB13C3">
        <w:rPr>
          <w:rFonts w:eastAsiaTheme="minorHAnsi"/>
        </w:rPr>
        <w:t>, 12–19 (2007).</w:t>
      </w:r>
    </w:p>
    <w:p w14:paraId="3BEDDB36" w14:textId="77777777" w:rsidR="00EB13C3" w:rsidRPr="00EB13C3" w:rsidRDefault="00EB13C3" w:rsidP="00EB13C3">
      <w:pPr>
        <w:pStyle w:val="Bibliography"/>
        <w:rPr>
          <w:rFonts w:eastAsiaTheme="minorHAnsi"/>
        </w:rPr>
      </w:pPr>
      <w:r w:rsidRPr="00EB13C3">
        <w:rPr>
          <w:rFonts w:eastAsiaTheme="minorHAnsi"/>
        </w:rPr>
        <w:t xml:space="preserve">101. </w:t>
      </w:r>
      <w:r w:rsidRPr="00EB13C3">
        <w:rPr>
          <w:rFonts w:eastAsiaTheme="minorHAnsi"/>
        </w:rPr>
        <w:tab/>
        <w:t xml:space="preserve">C. L. Linster, E. Van Schaftingen, Vitamin C. </w:t>
      </w:r>
      <w:r w:rsidRPr="00EB13C3">
        <w:rPr>
          <w:rFonts w:eastAsiaTheme="minorHAnsi"/>
          <w:i/>
          <w:iCs/>
        </w:rPr>
        <w:t>The FEBS Journal</w:t>
      </w:r>
      <w:r w:rsidRPr="00EB13C3">
        <w:rPr>
          <w:rFonts w:eastAsiaTheme="minorHAnsi"/>
        </w:rPr>
        <w:t xml:space="preserve"> </w:t>
      </w:r>
      <w:r w:rsidRPr="00EB13C3">
        <w:rPr>
          <w:rFonts w:eastAsiaTheme="minorHAnsi"/>
          <w:b/>
          <w:bCs/>
        </w:rPr>
        <w:t>274</w:t>
      </w:r>
      <w:r w:rsidRPr="00EB13C3">
        <w:rPr>
          <w:rFonts w:eastAsiaTheme="minorHAnsi"/>
        </w:rPr>
        <w:t>, 1–22 (2007).</w:t>
      </w:r>
    </w:p>
    <w:p w14:paraId="2EFF833B" w14:textId="77777777" w:rsidR="00EB13C3" w:rsidRPr="00EB13C3" w:rsidRDefault="00EB13C3" w:rsidP="00EB13C3">
      <w:pPr>
        <w:pStyle w:val="Bibliography"/>
        <w:rPr>
          <w:rFonts w:eastAsiaTheme="minorHAnsi"/>
        </w:rPr>
      </w:pPr>
      <w:r w:rsidRPr="00EB13C3">
        <w:rPr>
          <w:rFonts w:eastAsiaTheme="minorHAnsi"/>
        </w:rPr>
        <w:t xml:space="preserve">102. </w:t>
      </w:r>
      <w:r w:rsidRPr="00EB13C3">
        <w:rPr>
          <w:rFonts w:eastAsiaTheme="minorHAnsi"/>
        </w:rPr>
        <w:tab/>
        <w:t xml:space="preserve">N. Arpaia, C. Campbell, X. Fan, S. Dikiy, J. van der Veeken, P. deRoos, H. Liu, J. R. Cross, K. Pfeffer, P. J. Coffer, A. Y. Rudensky, Metabolites produced by commensal bacteria promote peripheral regulatory T-cell generation. </w:t>
      </w:r>
      <w:r w:rsidRPr="00EB13C3">
        <w:rPr>
          <w:rFonts w:eastAsiaTheme="minorHAnsi"/>
          <w:i/>
          <w:iCs/>
        </w:rPr>
        <w:t>Nature</w:t>
      </w:r>
      <w:r w:rsidRPr="00EB13C3">
        <w:rPr>
          <w:rFonts w:eastAsiaTheme="minorHAnsi"/>
        </w:rPr>
        <w:t xml:space="preserve"> </w:t>
      </w:r>
      <w:r w:rsidRPr="00EB13C3">
        <w:rPr>
          <w:rFonts w:eastAsiaTheme="minorHAnsi"/>
          <w:b/>
          <w:bCs/>
        </w:rPr>
        <w:t>504</w:t>
      </w:r>
      <w:r w:rsidRPr="00EB13C3">
        <w:rPr>
          <w:rFonts w:eastAsiaTheme="minorHAnsi"/>
        </w:rPr>
        <w:t>, 451–455 (2013).</w:t>
      </w:r>
    </w:p>
    <w:p w14:paraId="1B5A3565" w14:textId="77777777" w:rsidR="00EB13C3" w:rsidRPr="00EB13C3" w:rsidRDefault="00EB13C3" w:rsidP="00EB13C3">
      <w:pPr>
        <w:pStyle w:val="Bibliography"/>
        <w:rPr>
          <w:rFonts w:eastAsiaTheme="minorHAnsi"/>
        </w:rPr>
      </w:pPr>
      <w:r w:rsidRPr="00EB13C3">
        <w:rPr>
          <w:rFonts w:eastAsiaTheme="minorHAnsi"/>
        </w:rPr>
        <w:t xml:space="preserve">103. </w:t>
      </w:r>
      <w:r w:rsidRPr="00EB13C3">
        <w:rPr>
          <w:rFonts w:eastAsiaTheme="minorHAnsi"/>
        </w:rPr>
        <w:tab/>
        <w:t xml:space="preserve">H.-C. Hung, S.-F. Tsai, H.-W. Chou, M.-J. Tsai, P.-L. Hsu, Y.-M. Kuo, Dietary fatty acids differentially affect secretion of pro-inflammatory cytokines in human THP-1 monocytes. </w:t>
      </w:r>
      <w:r w:rsidRPr="00EB13C3">
        <w:rPr>
          <w:rFonts w:eastAsiaTheme="minorHAnsi"/>
          <w:i/>
          <w:iCs/>
        </w:rPr>
        <w:t>Sci Rep</w:t>
      </w:r>
      <w:r w:rsidRPr="00EB13C3">
        <w:rPr>
          <w:rFonts w:eastAsiaTheme="minorHAnsi"/>
        </w:rPr>
        <w:t xml:space="preserve"> </w:t>
      </w:r>
      <w:r w:rsidRPr="00EB13C3">
        <w:rPr>
          <w:rFonts w:eastAsiaTheme="minorHAnsi"/>
          <w:b/>
          <w:bCs/>
        </w:rPr>
        <w:t>13</w:t>
      </w:r>
      <w:r w:rsidRPr="00EB13C3">
        <w:rPr>
          <w:rFonts w:eastAsiaTheme="minorHAnsi"/>
        </w:rPr>
        <w:t>, 5511 (2023).</w:t>
      </w:r>
    </w:p>
    <w:p w14:paraId="6EBF17B0" w14:textId="77777777" w:rsidR="00EB13C3" w:rsidRPr="00EB13C3" w:rsidRDefault="00EB13C3" w:rsidP="00EB13C3">
      <w:pPr>
        <w:pStyle w:val="Bibliography"/>
        <w:rPr>
          <w:rFonts w:eastAsiaTheme="minorHAnsi"/>
        </w:rPr>
      </w:pPr>
      <w:r w:rsidRPr="00EB13C3">
        <w:rPr>
          <w:rFonts w:eastAsiaTheme="minorHAnsi"/>
        </w:rPr>
        <w:t xml:space="preserve">104. </w:t>
      </w:r>
      <w:r w:rsidRPr="00EB13C3">
        <w:rPr>
          <w:rFonts w:eastAsiaTheme="minorHAnsi"/>
        </w:rPr>
        <w:tab/>
        <w:t xml:space="preserve">A. Nakamura, M. Matsumoto, Role of polyamines in intestinal mucosal barrier function. </w:t>
      </w:r>
      <w:r w:rsidRPr="00EB13C3">
        <w:rPr>
          <w:rFonts w:eastAsiaTheme="minorHAnsi"/>
          <w:i/>
          <w:iCs/>
        </w:rPr>
        <w:t>Semin Immunopathol</w:t>
      </w:r>
      <w:r w:rsidRPr="00EB13C3">
        <w:rPr>
          <w:rFonts w:eastAsiaTheme="minorHAnsi"/>
        </w:rPr>
        <w:t xml:space="preserve"> </w:t>
      </w:r>
      <w:r w:rsidRPr="00EB13C3">
        <w:rPr>
          <w:rFonts w:eastAsiaTheme="minorHAnsi"/>
          <w:b/>
          <w:bCs/>
        </w:rPr>
        <w:t>47</w:t>
      </w:r>
      <w:r w:rsidRPr="00EB13C3">
        <w:rPr>
          <w:rFonts w:eastAsiaTheme="minorHAnsi"/>
        </w:rPr>
        <w:t>, 9 (2025).</w:t>
      </w:r>
    </w:p>
    <w:p w14:paraId="33FCBD64" w14:textId="77777777" w:rsidR="00EB13C3" w:rsidRPr="00EB13C3" w:rsidRDefault="00EB13C3" w:rsidP="00EB13C3">
      <w:pPr>
        <w:pStyle w:val="Bibliography"/>
        <w:rPr>
          <w:rFonts w:eastAsiaTheme="minorHAnsi"/>
        </w:rPr>
      </w:pPr>
      <w:r w:rsidRPr="00EB13C3">
        <w:rPr>
          <w:rFonts w:eastAsiaTheme="minorHAnsi"/>
        </w:rPr>
        <w:t xml:space="preserve">105. </w:t>
      </w:r>
      <w:r w:rsidRPr="00EB13C3">
        <w:rPr>
          <w:rFonts w:eastAsiaTheme="minorHAnsi"/>
        </w:rPr>
        <w:tab/>
        <w:t xml:space="preserve">P. Konopelski, I. Mogilnicka, Biological Effects of Indole-3-Propionic Acid, a Gut Microbiota-Derived Metabolite, and Its Precursor Tryptophan in Mammals’ Health and Disease. </w:t>
      </w:r>
      <w:r w:rsidRPr="00EB13C3">
        <w:rPr>
          <w:rFonts w:eastAsiaTheme="minorHAnsi"/>
          <w:i/>
          <w:iCs/>
        </w:rPr>
        <w:t>International Journal of Molecular Sciences</w:t>
      </w:r>
      <w:r w:rsidRPr="00EB13C3">
        <w:rPr>
          <w:rFonts w:eastAsiaTheme="minorHAnsi"/>
        </w:rPr>
        <w:t xml:space="preserve"> </w:t>
      </w:r>
      <w:r w:rsidRPr="00EB13C3">
        <w:rPr>
          <w:rFonts w:eastAsiaTheme="minorHAnsi"/>
          <w:b/>
          <w:bCs/>
        </w:rPr>
        <w:t>23</w:t>
      </w:r>
      <w:r w:rsidRPr="00EB13C3">
        <w:rPr>
          <w:rFonts w:eastAsiaTheme="minorHAnsi"/>
        </w:rPr>
        <w:t>, 1222 (2022).</w:t>
      </w:r>
    </w:p>
    <w:p w14:paraId="01FA61F3" w14:textId="77777777" w:rsidR="00EB13C3" w:rsidRPr="00EB13C3" w:rsidRDefault="00EB13C3" w:rsidP="00EB13C3">
      <w:pPr>
        <w:pStyle w:val="Bibliography"/>
        <w:rPr>
          <w:rFonts w:eastAsiaTheme="minorHAnsi"/>
        </w:rPr>
      </w:pPr>
      <w:r w:rsidRPr="00EB13C3">
        <w:rPr>
          <w:rFonts w:eastAsiaTheme="minorHAnsi"/>
        </w:rPr>
        <w:t xml:space="preserve">106. </w:t>
      </w:r>
      <w:r w:rsidRPr="00EB13C3">
        <w:rPr>
          <w:rFonts w:eastAsiaTheme="minorHAnsi"/>
        </w:rPr>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EB13C3">
        <w:rPr>
          <w:rFonts w:eastAsiaTheme="minorHAnsi"/>
          <w:i/>
          <w:iCs/>
        </w:rPr>
        <w:t>Nutrients</w:t>
      </w:r>
      <w:r w:rsidRPr="00EB13C3">
        <w:rPr>
          <w:rFonts w:eastAsiaTheme="minorHAnsi"/>
        </w:rPr>
        <w:t xml:space="preserve"> </w:t>
      </w:r>
      <w:r w:rsidRPr="00EB13C3">
        <w:rPr>
          <w:rFonts w:eastAsiaTheme="minorHAnsi"/>
          <w:b/>
          <w:bCs/>
        </w:rPr>
        <w:t>12</w:t>
      </w:r>
      <w:r w:rsidRPr="00EB13C3">
        <w:rPr>
          <w:rFonts w:eastAsiaTheme="minorHAnsi"/>
        </w:rPr>
        <w:t>, 935 (2020).</w:t>
      </w:r>
    </w:p>
    <w:p w14:paraId="7D8C58BA" w14:textId="77777777" w:rsidR="00EB13C3" w:rsidRPr="00EB13C3" w:rsidRDefault="00EB13C3" w:rsidP="00EB13C3">
      <w:pPr>
        <w:pStyle w:val="Bibliography"/>
        <w:rPr>
          <w:rFonts w:eastAsiaTheme="minorHAnsi"/>
        </w:rPr>
      </w:pPr>
      <w:r w:rsidRPr="00EB13C3">
        <w:rPr>
          <w:rFonts w:eastAsiaTheme="minorHAnsi"/>
        </w:rPr>
        <w:t xml:space="preserve">107. </w:t>
      </w:r>
      <w:r w:rsidRPr="00EB13C3">
        <w:rPr>
          <w:rFonts w:eastAsiaTheme="minorHAnsi"/>
        </w:rPr>
        <w:tab/>
        <w:t xml:space="preserve">B. J. Parker, P. A. Wearsch, A. C. M. Veloo, A. Rodriguez-Palacios, The Genus Alistipes: Gut Bacteria With Emerging Implications to Inflammation, Cancer, and Mental Health. </w:t>
      </w:r>
      <w:r w:rsidRPr="00EB13C3">
        <w:rPr>
          <w:rFonts w:eastAsiaTheme="minorHAnsi"/>
          <w:i/>
          <w:iCs/>
        </w:rPr>
        <w:t>Front. Immunol.</w:t>
      </w:r>
      <w:r w:rsidRPr="00EB13C3">
        <w:rPr>
          <w:rFonts w:eastAsiaTheme="minorHAnsi"/>
        </w:rPr>
        <w:t xml:space="preserve"> </w:t>
      </w:r>
      <w:r w:rsidRPr="00EB13C3">
        <w:rPr>
          <w:rFonts w:eastAsiaTheme="minorHAnsi"/>
          <w:b/>
          <w:bCs/>
        </w:rPr>
        <w:t>11</w:t>
      </w:r>
      <w:r w:rsidRPr="00EB13C3">
        <w:rPr>
          <w:rFonts w:eastAsiaTheme="minorHAnsi"/>
        </w:rPr>
        <w:t xml:space="preserve"> (2020).</w:t>
      </w:r>
    </w:p>
    <w:p w14:paraId="0C34D348" w14:textId="77777777" w:rsidR="00EB13C3" w:rsidRPr="00EB13C3" w:rsidRDefault="00EB13C3" w:rsidP="00EB13C3">
      <w:pPr>
        <w:pStyle w:val="Bibliography"/>
        <w:rPr>
          <w:rFonts w:eastAsiaTheme="minorHAnsi"/>
        </w:rPr>
      </w:pPr>
      <w:r w:rsidRPr="00EB13C3">
        <w:rPr>
          <w:rFonts w:eastAsiaTheme="minorHAnsi"/>
        </w:rPr>
        <w:t xml:space="preserve">108. </w:t>
      </w:r>
      <w:r w:rsidRPr="00EB13C3">
        <w:rPr>
          <w:rFonts w:eastAsiaTheme="minorHAnsi"/>
        </w:rPr>
        <w:tab/>
        <w:t xml:space="preserve">P. Louis, H. J. Flint, Formation of propionate and butyrate by the human colonic microbiota. </w:t>
      </w:r>
      <w:r w:rsidRPr="00EB13C3">
        <w:rPr>
          <w:rFonts w:eastAsiaTheme="minorHAnsi"/>
          <w:i/>
          <w:iCs/>
        </w:rPr>
        <w:t>Environmental Microbiology</w:t>
      </w:r>
      <w:r w:rsidRPr="00EB13C3">
        <w:rPr>
          <w:rFonts w:eastAsiaTheme="minorHAnsi"/>
        </w:rPr>
        <w:t xml:space="preserve"> </w:t>
      </w:r>
      <w:r w:rsidRPr="00EB13C3">
        <w:rPr>
          <w:rFonts w:eastAsiaTheme="minorHAnsi"/>
          <w:b/>
          <w:bCs/>
        </w:rPr>
        <w:t>19</w:t>
      </w:r>
      <w:r w:rsidRPr="00EB13C3">
        <w:rPr>
          <w:rFonts w:eastAsiaTheme="minorHAnsi"/>
        </w:rPr>
        <w:t>, 29–41 (2017).</w:t>
      </w:r>
    </w:p>
    <w:p w14:paraId="619A375D" w14:textId="77777777" w:rsidR="00EB13C3" w:rsidRPr="00EB13C3" w:rsidRDefault="00EB13C3" w:rsidP="00EB13C3">
      <w:pPr>
        <w:pStyle w:val="Bibliography"/>
        <w:rPr>
          <w:rFonts w:eastAsiaTheme="minorHAnsi"/>
        </w:rPr>
      </w:pPr>
      <w:r w:rsidRPr="00EB13C3">
        <w:rPr>
          <w:rFonts w:eastAsiaTheme="minorHAnsi"/>
        </w:rPr>
        <w:t xml:space="preserve">109. </w:t>
      </w:r>
      <w:r w:rsidRPr="00EB13C3">
        <w:rPr>
          <w:rFonts w:eastAsiaTheme="minorHAnsi"/>
        </w:rPr>
        <w:tab/>
        <w:t xml:space="preserve">F. Wu, X. Guo, J. Zhang, M. Zhang, Z. Ou, Y. Peng, Phascolarctobacterium faecium abundant colonization in human gastrointestinal tract. </w:t>
      </w:r>
      <w:r w:rsidRPr="00EB13C3">
        <w:rPr>
          <w:rFonts w:eastAsiaTheme="minorHAnsi"/>
          <w:i/>
          <w:iCs/>
        </w:rPr>
        <w:t>Experimental and Therapeutic Medicine</w:t>
      </w:r>
      <w:r w:rsidRPr="00EB13C3">
        <w:rPr>
          <w:rFonts w:eastAsiaTheme="minorHAnsi"/>
        </w:rPr>
        <w:t xml:space="preserve"> </w:t>
      </w:r>
      <w:r w:rsidRPr="00EB13C3">
        <w:rPr>
          <w:rFonts w:eastAsiaTheme="minorHAnsi"/>
          <w:b/>
          <w:bCs/>
        </w:rPr>
        <w:t>14</w:t>
      </w:r>
      <w:r w:rsidRPr="00EB13C3">
        <w:rPr>
          <w:rFonts w:eastAsiaTheme="minorHAnsi"/>
        </w:rPr>
        <w:t>, 3122–3126 (2017).</w:t>
      </w:r>
    </w:p>
    <w:p w14:paraId="744ACC30" w14:textId="77777777" w:rsidR="00EB13C3" w:rsidRPr="00EB13C3" w:rsidRDefault="00EB13C3" w:rsidP="00EB13C3">
      <w:pPr>
        <w:pStyle w:val="Bibliography"/>
        <w:rPr>
          <w:rFonts w:eastAsiaTheme="minorHAnsi"/>
        </w:rPr>
      </w:pPr>
      <w:r w:rsidRPr="00EB13C3">
        <w:rPr>
          <w:rFonts w:eastAsiaTheme="minorHAnsi"/>
        </w:rPr>
        <w:t xml:space="preserve">110. </w:t>
      </w:r>
      <w:r w:rsidRPr="00EB13C3">
        <w:rPr>
          <w:rFonts w:eastAsiaTheme="minorHAnsi"/>
        </w:rPr>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EB13C3">
        <w:rPr>
          <w:rFonts w:eastAsiaTheme="minorHAnsi"/>
          <w:i/>
          <w:iCs/>
        </w:rPr>
        <w:t>Front. Oncol.</w:t>
      </w:r>
      <w:r w:rsidRPr="00EB13C3">
        <w:rPr>
          <w:rFonts w:eastAsiaTheme="minorHAnsi"/>
        </w:rPr>
        <w:t xml:space="preserve"> </w:t>
      </w:r>
      <w:r w:rsidRPr="00EB13C3">
        <w:rPr>
          <w:rFonts w:eastAsiaTheme="minorHAnsi"/>
          <w:b/>
          <w:bCs/>
        </w:rPr>
        <w:t>9</w:t>
      </w:r>
      <w:r w:rsidRPr="00EB13C3">
        <w:rPr>
          <w:rFonts w:eastAsiaTheme="minorHAnsi"/>
        </w:rPr>
        <w:t xml:space="preserve"> (2019).</w:t>
      </w:r>
    </w:p>
    <w:p w14:paraId="748852BB" w14:textId="77777777" w:rsidR="00EB13C3" w:rsidRPr="00EB13C3" w:rsidRDefault="00EB13C3" w:rsidP="00EB13C3">
      <w:pPr>
        <w:pStyle w:val="Bibliography"/>
        <w:rPr>
          <w:rFonts w:eastAsiaTheme="minorHAnsi"/>
        </w:rPr>
      </w:pPr>
      <w:r w:rsidRPr="00EB13C3">
        <w:rPr>
          <w:rFonts w:eastAsiaTheme="minorHAnsi"/>
        </w:rPr>
        <w:lastRenderedPageBreak/>
        <w:t xml:space="preserve">111. </w:t>
      </w:r>
      <w:r w:rsidRPr="00EB13C3">
        <w:rPr>
          <w:rFonts w:eastAsiaTheme="minorHAnsi"/>
        </w:rPr>
        <w:tab/>
        <w:t xml:space="preserve">M. Rajilić-Stojanović, W. M. de Vos, The first 1000 cultured species of the human gastrointestinal microbiota. </w:t>
      </w:r>
      <w:r w:rsidRPr="00EB13C3">
        <w:rPr>
          <w:rFonts w:eastAsiaTheme="minorHAnsi"/>
          <w:i/>
          <w:iCs/>
        </w:rPr>
        <w:t>FEMS Microbiology Reviews</w:t>
      </w:r>
      <w:r w:rsidRPr="00EB13C3">
        <w:rPr>
          <w:rFonts w:eastAsiaTheme="minorHAnsi"/>
        </w:rPr>
        <w:t xml:space="preserve"> </w:t>
      </w:r>
      <w:r w:rsidRPr="00EB13C3">
        <w:rPr>
          <w:rFonts w:eastAsiaTheme="minorHAnsi"/>
          <w:b/>
          <w:bCs/>
        </w:rPr>
        <w:t>38</w:t>
      </w:r>
      <w:r w:rsidRPr="00EB13C3">
        <w:rPr>
          <w:rFonts w:eastAsiaTheme="minorHAnsi"/>
        </w:rPr>
        <w:t>, 996–1047 (2014).</w:t>
      </w:r>
    </w:p>
    <w:p w14:paraId="2CDAD588" w14:textId="77777777" w:rsidR="00EB13C3" w:rsidRPr="00EB13C3" w:rsidRDefault="00EB13C3" w:rsidP="00EB13C3">
      <w:pPr>
        <w:pStyle w:val="Bibliography"/>
        <w:rPr>
          <w:rFonts w:eastAsiaTheme="minorHAnsi"/>
        </w:rPr>
      </w:pPr>
      <w:r w:rsidRPr="00EB13C3">
        <w:rPr>
          <w:rFonts w:eastAsiaTheme="minorHAnsi"/>
        </w:rPr>
        <w:t xml:space="preserve">112. </w:t>
      </w:r>
      <w:r w:rsidRPr="00EB13C3">
        <w:rPr>
          <w:rFonts w:eastAsiaTheme="minorHAnsi"/>
        </w:rPr>
        <w:tab/>
        <w:t xml:space="preserve">S. Ahn, J. Jung, I.-A. Jang, E. L. Madsen, W. Park, Role of Glyoxylate Shunt in Oxidative Stress Response. </w:t>
      </w:r>
      <w:r w:rsidRPr="00EB13C3">
        <w:rPr>
          <w:rFonts w:eastAsiaTheme="minorHAnsi"/>
          <w:i/>
          <w:iCs/>
        </w:rPr>
        <w:t>Journal of Biological Chemistry</w:t>
      </w:r>
      <w:r w:rsidRPr="00EB13C3">
        <w:rPr>
          <w:rFonts w:eastAsiaTheme="minorHAnsi"/>
        </w:rPr>
        <w:t xml:space="preserve"> </w:t>
      </w:r>
      <w:r w:rsidRPr="00EB13C3">
        <w:rPr>
          <w:rFonts w:eastAsiaTheme="minorHAnsi"/>
          <w:b/>
          <w:bCs/>
        </w:rPr>
        <w:t>291</w:t>
      </w:r>
      <w:r w:rsidRPr="00EB13C3">
        <w:rPr>
          <w:rFonts w:eastAsiaTheme="minorHAnsi"/>
        </w:rPr>
        <w:t>, 11928–11938 (2016).</w:t>
      </w:r>
    </w:p>
    <w:p w14:paraId="623E9726" w14:textId="77777777" w:rsidR="00EB13C3" w:rsidRPr="00EB13C3" w:rsidRDefault="00EB13C3" w:rsidP="00EB13C3">
      <w:pPr>
        <w:pStyle w:val="Bibliography"/>
        <w:rPr>
          <w:rFonts w:eastAsiaTheme="minorHAnsi"/>
        </w:rPr>
      </w:pPr>
      <w:r w:rsidRPr="00EB13C3">
        <w:rPr>
          <w:rFonts w:eastAsiaTheme="minorHAnsi"/>
        </w:rPr>
        <w:t xml:space="preserve">113. </w:t>
      </w:r>
      <w:r w:rsidRPr="00EB13C3">
        <w:rPr>
          <w:rFonts w:eastAsiaTheme="minorHAnsi"/>
        </w:rPr>
        <w:tab/>
        <w:t xml:space="preserve">M. R. Badger, E. J. Bek, Multiple Rubisco forms in proteobacteria: their functional significance in relation to CO2 acquisition by the CBB cycle. </w:t>
      </w:r>
      <w:r w:rsidRPr="00EB13C3">
        <w:rPr>
          <w:rFonts w:eastAsiaTheme="minorHAnsi"/>
          <w:i/>
          <w:iCs/>
        </w:rPr>
        <w:t>Journal of Experimental Botany</w:t>
      </w:r>
      <w:r w:rsidRPr="00EB13C3">
        <w:rPr>
          <w:rFonts w:eastAsiaTheme="minorHAnsi"/>
        </w:rPr>
        <w:t xml:space="preserve"> </w:t>
      </w:r>
      <w:r w:rsidRPr="00EB13C3">
        <w:rPr>
          <w:rFonts w:eastAsiaTheme="minorHAnsi"/>
          <w:b/>
          <w:bCs/>
        </w:rPr>
        <w:t>59</w:t>
      </w:r>
      <w:r w:rsidRPr="00EB13C3">
        <w:rPr>
          <w:rFonts w:eastAsiaTheme="minorHAnsi"/>
        </w:rPr>
        <w:t>, 1525–1541 (2008).</w:t>
      </w:r>
    </w:p>
    <w:p w14:paraId="1639775B" w14:textId="77777777" w:rsidR="00EB13C3" w:rsidRPr="00EB13C3" w:rsidRDefault="00EB13C3" w:rsidP="00EB13C3">
      <w:pPr>
        <w:pStyle w:val="Bibliography"/>
        <w:rPr>
          <w:rFonts w:eastAsiaTheme="minorHAnsi"/>
        </w:rPr>
      </w:pPr>
      <w:r w:rsidRPr="00EB13C3">
        <w:rPr>
          <w:rFonts w:eastAsiaTheme="minorHAnsi"/>
        </w:rPr>
        <w:t xml:space="preserve">114. </w:t>
      </w:r>
      <w:r w:rsidRPr="00EB13C3">
        <w:rPr>
          <w:rFonts w:eastAsiaTheme="minorHAnsi"/>
        </w:rPr>
        <w:tab/>
        <w:t xml:space="preserve">M. Bekker, G. Kramer, A. F. Hartog, M. J. Wagner, C. G. De Koster, K. J. Hellingwerf, M. J. Teixeira De Mattos, Changes in the redox state and composition of the quinone pool of Escherichia coli during aerobic batch-culture growth. </w:t>
      </w:r>
      <w:r w:rsidRPr="00EB13C3">
        <w:rPr>
          <w:rFonts w:eastAsiaTheme="minorHAnsi"/>
          <w:i/>
          <w:iCs/>
        </w:rPr>
        <w:t>Microbiology</w:t>
      </w:r>
      <w:r w:rsidRPr="00EB13C3">
        <w:rPr>
          <w:rFonts w:eastAsiaTheme="minorHAnsi"/>
        </w:rPr>
        <w:t xml:space="preserve"> </w:t>
      </w:r>
      <w:r w:rsidRPr="00EB13C3">
        <w:rPr>
          <w:rFonts w:eastAsiaTheme="minorHAnsi"/>
          <w:b/>
          <w:bCs/>
        </w:rPr>
        <w:t>153</w:t>
      </w:r>
      <w:r w:rsidRPr="00EB13C3">
        <w:rPr>
          <w:rFonts w:eastAsiaTheme="minorHAnsi"/>
        </w:rPr>
        <w:t>, 1974–1980 (2007).</w:t>
      </w:r>
    </w:p>
    <w:p w14:paraId="35A49CC6" w14:textId="77777777" w:rsidR="00EB13C3" w:rsidRPr="00EB13C3" w:rsidRDefault="00EB13C3" w:rsidP="00EB13C3">
      <w:pPr>
        <w:pStyle w:val="Bibliography"/>
        <w:rPr>
          <w:rFonts w:eastAsiaTheme="minorHAnsi"/>
        </w:rPr>
      </w:pPr>
      <w:r w:rsidRPr="00EB13C3">
        <w:rPr>
          <w:rFonts w:eastAsiaTheme="minorHAnsi"/>
        </w:rPr>
        <w:t xml:space="preserve">115. </w:t>
      </w:r>
      <w:r w:rsidRPr="00EB13C3">
        <w:rPr>
          <w:rFonts w:eastAsiaTheme="minorHAnsi"/>
        </w:rPr>
        <w:tab/>
        <w:t xml:space="preserve">H.-M. Kuhn, U. Meier-Dieter, H. Mayer, ECA, the enterobacterial common antigen*. </w:t>
      </w:r>
      <w:r w:rsidRPr="00EB13C3">
        <w:rPr>
          <w:rFonts w:eastAsiaTheme="minorHAnsi"/>
          <w:i/>
          <w:iCs/>
        </w:rPr>
        <w:t>FEMS Microbiology Reviews</w:t>
      </w:r>
      <w:r w:rsidRPr="00EB13C3">
        <w:rPr>
          <w:rFonts w:eastAsiaTheme="minorHAnsi"/>
        </w:rPr>
        <w:t xml:space="preserve"> </w:t>
      </w:r>
      <w:r w:rsidRPr="00EB13C3">
        <w:rPr>
          <w:rFonts w:eastAsiaTheme="minorHAnsi"/>
          <w:b/>
          <w:bCs/>
        </w:rPr>
        <w:t>4</w:t>
      </w:r>
      <w:r w:rsidRPr="00EB13C3">
        <w:rPr>
          <w:rFonts w:eastAsiaTheme="minorHAnsi"/>
        </w:rPr>
        <w:t>, 195–222 (1988).</w:t>
      </w:r>
    </w:p>
    <w:p w14:paraId="071F330C" w14:textId="77777777" w:rsidR="00EB13C3" w:rsidRPr="00EB13C3" w:rsidRDefault="00EB13C3" w:rsidP="00EB13C3">
      <w:pPr>
        <w:pStyle w:val="Bibliography"/>
        <w:rPr>
          <w:rFonts w:eastAsiaTheme="minorHAnsi"/>
        </w:rPr>
      </w:pPr>
      <w:r w:rsidRPr="00EB13C3">
        <w:rPr>
          <w:rFonts w:eastAsiaTheme="minorHAnsi"/>
        </w:rPr>
        <w:t xml:space="preserve">116. </w:t>
      </w:r>
      <w:r w:rsidRPr="00EB13C3">
        <w:rPr>
          <w:rFonts w:eastAsiaTheme="minorHAnsi"/>
        </w:rPr>
        <w:tab/>
        <w:t xml:space="preserve">C. R. H. Raetz, C. Whitfield, Lipopolysaccharide endotoxins. </w:t>
      </w:r>
      <w:r w:rsidRPr="00EB13C3">
        <w:rPr>
          <w:rFonts w:eastAsiaTheme="minorHAnsi"/>
          <w:i/>
          <w:iCs/>
        </w:rPr>
        <w:t>Annual Review of Biochemistry</w:t>
      </w:r>
      <w:r w:rsidRPr="00EB13C3">
        <w:rPr>
          <w:rFonts w:eastAsiaTheme="minorHAnsi"/>
        </w:rPr>
        <w:t xml:space="preserve"> </w:t>
      </w:r>
      <w:r w:rsidRPr="00EB13C3">
        <w:rPr>
          <w:rFonts w:eastAsiaTheme="minorHAnsi"/>
          <w:b/>
          <w:bCs/>
        </w:rPr>
        <w:t>71</w:t>
      </w:r>
      <w:r w:rsidRPr="00EB13C3">
        <w:rPr>
          <w:rFonts w:eastAsiaTheme="minorHAnsi"/>
        </w:rPr>
        <w:t>, 635 (2002).</w:t>
      </w:r>
    </w:p>
    <w:p w14:paraId="52F6020A" w14:textId="77777777" w:rsidR="00EB13C3" w:rsidRPr="00EB13C3" w:rsidRDefault="00EB13C3" w:rsidP="00EB13C3">
      <w:pPr>
        <w:pStyle w:val="Bibliography"/>
        <w:rPr>
          <w:rFonts w:eastAsiaTheme="minorHAnsi"/>
        </w:rPr>
      </w:pPr>
      <w:r w:rsidRPr="00EB13C3">
        <w:rPr>
          <w:rFonts w:eastAsiaTheme="minorHAnsi"/>
        </w:rPr>
        <w:t xml:space="preserve">117. </w:t>
      </w:r>
      <w:r w:rsidRPr="00EB13C3">
        <w:rPr>
          <w:rFonts w:eastAsiaTheme="minorHAnsi"/>
        </w:rPr>
        <w:tab/>
        <w:t xml:space="preserve">G. Caballero-Flores, J. M. Pickard, G. Núñez, Microbiota-mediated colonization resistance: mechanisms and regulation. </w:t>
      </w:r>
      <w:r w:rsidRPr="00EB13C3">
        <w:rPr>
          <w:rFonts w:eastAsiaTheme="minorHAnsi"/>
          <w:i/>
          <w:iCs/>
        </w:rPr>
        <w:t>Nat Rev Microbiol</w:t>
      </w:r>
      <w:r w:rsidRPr="00EB13C3">
        <w:rPr>
          <w:rFonts w:eastAsiaTheme="minorHAnsi"/>
        </w:rPr>
        <w:t xml:space="preserve"> </w:t>
      </w:r>
      <w:r w:rsidRPr="00EB13C3">
        <w:rPr>
          <w:rFonts w:eastAsiaTheme="minorHAnsi"/>
          <w:b/>
          <w:bCs/>
        </w:rPr>
        <w:t>21</w:t>
      </w:r>
      <w:r w:rsidRPr="00EB13C3">
        <w:rPr>
          <w:rFonts w:eastAsiaTheme="minorHAnsi"/>
        </w:rPr>
        <w:t>, 347–360 (2023).</w:t>
      </w:r>
    </w:p>
    <w:p w14:paraId="42B919B1" w14:textId="77777777" w:rsidR="00EB13C3" w:rsidRPr="00EB13C3" w:rsidRDefault="00EB13C3" w:rsidP="00EB13C3">
      <w:pPr>
        <w:pStyle w:val="Bibliography"/>
        <w:rPr>
          <w:rFonts w:eastAsiaTheme="minorHAnsi"/>
        </w:rPr>
      </w:pPr>
      <w:r w:rsidRPr="00EB13C3">
        <w:rPr>
          <w:rFonts w:eastAsiaTheme="minorHAnsi"/>
        </w:rPr>
        <w:t xml:space="preserve">118. </w:t>
      </w:r>
      <w:r w:rsidRPr="00EB13C3">
        <w:rPr>
          <w:rFonts w:eastAsiaTheme="minorHAnsi"/>
        </w:rPr>
        <w:tab/>
        <w:t xml:space="preserve">F. Spragge, E. Bakkeren, M. T. Jahn, E. B. N. Araujo, C. F. Pearson, X. Wang, L. Pankhurst, O. Cunrath, K. R. Foster, Microbiome diversity protects against pathogens by nutrient blocking. </w:t>
      </w:r>
      <w:r w:rsidRPr="00EB13C3">
        <w:rPr>
          <w:rFonts w:eastAsiaTheme="minorHAnsi"/>
          <w:i/>
          <w:iCs/>
        </w:rPr>
        <w:t>Science</w:t>
      </w:r>
      <w:r w:rsidRPr="00EB13C3">
        <w:rPr>
          <w:rFonts w:eastAsiaTheme="minorHAnsi"/>
        </w:rPr>
        <w:t xml:space="preserve"> </w:t>
      </w:r>
      <w:r w:rsidRPr="00EB13C3">
        <w:rPr>
          <w:rFonts w:eastAsiaTheme="minorHAnsi"/>
          <w:b/>
          <w:bCs/>
        </w:rPr>
        <w:t>382</w:t>
      </w:r>
      <w:r w:rsidRPr="00EB13C3">
        <w:rPr>
          <w:rFonts w:eastAsiaTheme="minorHAnsi"/>
        </w:rPr>
        <w:t>, eadj3502 (2023).</w:t>
      </w:r>
    </w:p>
    <w:p w14:paraId="521B6FE5" w14:textId="77777777" w:rsidR="00EB13C3" w:rsidRPr="00EB13C3" w:rsidRDefault="00EB13C3" w:rsidP="00EB13C3">
      <w:pPr>
        <w:pStyle w:val="Bibliography"/>
        <w:rPr>
          <w:rFonts w:eastAsiaTheme="minorHAnsi"/>
        </w:rPr>
      </w:pPr>
      <w:r w:rsidRPr="00EB13C3">
        <w:rPr>
          <w:rFonts w:eastAsiaTheme="minorHAnsi"/>
        </w:rPr>
        <w:t xml:space="preserve">119. </w:t>
      </w:r>
      <w:r w:rsidRPr="00EB13C3">
        <w:rPr>
          <w:rFonts w:eastAsiaTheme="minorHAnsi"/>
        </w:rPr>
        <w:tab/>
        <w:t xml:space="preserve">C. G. Buffie, E. G. Pamer, Microbiota-mediated colonization resistance against intestinal pathogens.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790–801 (2013).</w:t>
      </w:r>
    </w:p>
    <w:p w14:paraId="01A080CF" w14:textId="77777777" w:rsidR="00EB13C3" w:rsidRPr="00EB13C3" w:rsidRDefault="00EB13C3" w:rsidP="00EB13C3">
      <w:pPr>
        <w:pStyle w:val="Bibliography"/>
        <w:rPr>
          <w:rFonts w:eastAsiaTheme="minorHAnsi"/>
        </w:rPr>
      </w:pPr>
      <w:r w:rsidRPr="00EB13C3">
        <w:rPr>
          <w:rFonts w:eastAsiaTheme="minorHAnsi"/>
        </w:rPr>
        <w:t xml:space="preserve">120. </w:t>
      </w:r>
      <w:r w:rsidRPr="00EB13C3">
        <w:rPr>
          <w:rFonts w:eastAsiaTheme="minorHAnsi"/>
        </w:rPr>
        <w:tab/>
        <w:t xml:space="preserve">S. Louca, M. F. Polz, F. Mazel, M. B. N. Albright, J. A. Huber, M. I. O’Connor, M. Ackermann, A. S. Hahn, D. S. Srivastava, S. A. Crowe, M. Doebeli, L. W. Parfrey, Function and functional redundancy in microbial systems. </w:t>
      </w:r>
      <w:r w:rsidRPr="00EB13C3">
        <w:rPr>
          <w:rFonts w:eastAsiaTheme="minorHAnsi"/>
          <w:i/>
          <w:iCs/>
        </w:rPr>
        <w:t>Nat Ecol Evol</w:t>
      </w:r>
      <w:r w:rsidRPr="00EB13C3">
        <w:rPr>
          <w:rFonts w:eastAsiaTheme="minorHAnsi"/>
        </w:rPr>
        <w:t xml:space="preserve"> </w:t>
      </w:r>
      <w:r w:rsidRPr="00EB13C3">
        <w:rPr>
          <w:rFonts w:eastAsiaTheme="minorHAnsi"/>
          <w:b/>
          <w:bCs/>
        </w:rPr>
        <w:t>2</w:t>
      </w:r>
      <w:r w:rsidRPr="00EB13C3">
        <w:rPr>
          <w:rFonts w:eastAsiaTheme="minorHAnsi"/>
        </w:rPr>
        <w:t>, 936–943 (2018).</w:t>
      </w:r>
    </w:p>
    <w:p w14:paraId="057A25CC" w14:textId="77777777" w:rsidR="00EB13C3" w:rsidRPr="00EB13C3" w:rsidRDefault="00EB13C3" w:rsidP="00EB13C3">
      <w:pPr>
        <w:pStyle w:val="Bibliography"/>
        <w:rPr>
          <w:rFonts w:eastAsiaTheme="minorHAnsi"/>
        </w:rPr>
      </w:pPr>
      <w:r w:rsidRPr="00EB13C3">
        <w:rPr>
          <w:rFonts w:eastAsiaTheme="minorHAnsi"/>
        </w:rPr>
        <w:t xml:space="preserve">121. </w:t>
      </w:r>
      <w:r w:rsidRPr="00EB13C3">
        <w:rPr>
          <w:rFonts w:eastAsiaTheme="minorHAnsi"/>
        </w:rPr>
        <w:tab/>
        <w:t xml:space="preserve">N. O. Kaakoush, N. Castaño-Rodríguez, H. M. Mitchell, S. M. Man, Global Epidemiology of Campylobacter Infection. </w:t>
      </w:r>
      <w:r w:rsidRPr="00EB13C3">
        <w:rPr>
          <w:rFonts w:eastAsiaTheme="minorHAnsi"/>
          <w:i/>
          <w:iCs/>
        </w:rPr>
        <w:t>Clinical Microbiology Reviews</w:t>
      </w:r>
      <w:r w:rsidRPr="00EB13C3">
        <w:rPr>
          <w:rFonts w:eastAsiaTheme="minorHAnsi"/>
        </w:rPr>
        <w:t xml:space="preserve"> </w:t>
      </w:r>
      <w:r w:rsidRPr="00EB13C3">
        <w:rPr>
          <w:rFonts w:eastAsiaTheme="minorHAnsi"/>
          <w:b/>
          <w:bCs/>
        </w:rPr>
        <w:t>28</w:t>
      </w:r>
      <w:r w:rsidRPr="00EB13C3">
        <w:rPr>
          <w:rFonts w:eastAsiaTheme="minorHAnsi"/>
        </w:rPr>
        <w:t>, 687–720 (2015).</w:t>
      </w:r>
    </w:p>
    <w:p w14:paraId="3A08B71D" w14:textId="77777777" w:rsidR="00EB13C3" w:rsidRPr="00EB13C3" w:rsidRDefault="00EB13C3" w:rsidP="00EB13C3">
      <w:pPr>
        <w:pStyle w:val="Bibliography"/>
        <w:rPr>
          <w:rFonts w:eastAsiaTheme="minorHAnsi"/>
        </w:rPr>
      </w:pPr>
      <w:r w:rsidRPr="00EB13C3">
        <w:rPr>
          <w:rFonts w:eastAsiaTheme="minorHAnsi"/>
        </w:rPr>
        <w:t xml:space="preserve">122. </w:t>
      </w:r>
      <w:r w:rsidRPr="00EB13C3">
        <w:rPr>
          <w:rFonts w:eastAsiaTheme="minorHAnsi"/>
        </w:rPr>
        <w:tab/>
        <w:t xml:space="preserve">J. Sáenz, Hopanoids as functional analogues of cholesterol in bacterial membranes. </w:t>
      </w:r>
      <w:r w:rsidRPr="00EB13C3">
        <w:rPr>
          <w:rFonts w:eastAsiaTheme="minorHAnsi"/>
          <w:i/>
          <w:iCs/>
        </w:rPr>
        <w:t>PNAS</w:t>
      </w:r>
      <w:r w:rsidRPr="00EB13C3">
        <w:rPr>
          <w:rFonts w:eastAsiaTheme="minorHAnsi"/>
        </w:rPr>
        <w:t xml:space="preserve"> </w:t>
      </w:r>
      <w:r w:rsidRPr="00EB13C3">
        <w:rPr>
          <w:rFonts w:eastAsiaTheme="minorHAnsi"/>
          <w:b/>
          <w:bCs/>
        </w:rPr>
        <w:t>112</w:t>
      </w:r>
      <w:r w:rsidRPr="00EB13C3">
        <w:rPr>
          <w:rFonts w:eastAsiaTheme="minorHAnsi"/>
        </w:rPr>
        <w:t>, 11971–11976 (2015).</w:t>
      </w:r>
    </w:p>
    <w:p w14:paraId="7B6594C2" w14:textId="77777777" w:rsidR="00EB13C3" w:rsidRPr="00EB13C3" w:rsidRDefault="00EB13C3" w:rsidP="00EB13C3">
      <w:pPr>
        <w:pStyle w:val="Bibliography"/>
        <w:rPr>
          <w:rFonts w:eastAsiaTheme="minorHAnsi"/>
        </w:rPr>
      </w:pPr>
      <w:r w:rsidRPr="00EB13C3">
        <w:rPr>
          <w:rFonts w:eastAsiaTheme="minorHAnsi"/>
        </w:rPr>
        <w:t xml:space="preserve">123. </w:t>
      </w:r>
      <w:r w:rsidRPr="00EB13C3">
        <w:rPr>
          <w:rFonts w:eastAsiaTheme="minorHAnsi"/>
        </w:rPr>
        <w:tab/>
        <w:t xml:space="preserve">H. Lin, E. Decuypere, J. Buyse, Acute heat stress induces oxidative stress in broiler chickens. </w:t>
      </w:r>
      <w:r w:rsidRPr="00EB13C3">
        <w:rPr>
          <w:rFonts w:eastAsiaTheme="minorHAnsi"/>
          <w:i/>
          <w:iCs/>
        </w:rPr>
        <w:t>Comparative Biochemistry and Physiology Part A: Molecular &amp; Integrative Physiology</w:t>
      </w:r>
      <w:r w:rsidRPr="00EB13C3">
        <w:rPr>
          <w:rFonts w:eastAsiaTheme="minorHAnsi"/>
        </w:rPr>
        <w:t xml:space="preserve"> </w:t>
      </w:r>
      <w:r w:rsidRPr="00EB13C3">
        <w:rPr>
          <w:rFonts w:eastAsiaTheme="minorHAnsi"/>
          <w:b/>
          <w:bCs/>
        </w:rPr>
        <w:t>144</w:t>
      </w:r>
      <w:r w:rsidRPr="00EB13C3">
        <w:rPr>
          <w:rFonts w:eastAsiaTheme="minorHAnsi"/>
        </w:rPr>
        <w:t>, 11–17 (2006).</w:t>
      </w:r>
    </w:p>
    <w:p w14:paraId="0308C812" w14:textId="77777777" w:rsidR="00EB13C3" w:rsidRPr="00EB13C3" w:rsidRDefault="00EB13C3" w:rsidP="00EB13C3">
      <w:pPr>
        <w:pStyle w:val="Bibliography"/>
        <w:rPr>
          <w:rFonts w:eastAsiaTheme="minorHAnsi"/>
        </w:rPr>
      </w:pPr>
      <w:r w:rsidRPr="00EB13C3">
        <w:rPr>
          <w:rFonts w:eastAsiaTheme="minorHAnsi"/>
        </w:rPr>
        <w:t xml:space="preserve">124. </w:t>
      </w:r>
      <w:r w:rsidRPr="00EB13C3">
        <w:rPr>
          <w:rFonts w:eastAsiaTheme="minorHAnsi"/>
        </w:rPr>
        <w:tab/>
        <w:t>K. M. Ng, J. A. Ferreyra, S. K. Higginbottom, J. B. Lynch, P. C. Kashyap, S. Gopinath, N. Naidu, B. Choudhury, B. C. Weimer, D. M. Monack, J. L. Sonnenburg, Microbiota-</w:t>
      </w:r>
      <w:r w:rsidRPr="00EB13C3">
        <w:rPr>
          <w:rFonts w:eastAsiaTheme="minorHAnsi"/>
        </w:rPr>
        <w:lastRenderedPageBreak/>
        <w:t xml:space="preserve">liberated host sugars facilitate post-antibiotic expansion of enteric pathogens. </w:t>
      </w:r>
      <w:r w:rsidRPr="00EB13C3">
        <w:rPr>
          <w:rFonts w:eastAsiaTheme="minorHAnsi"/>
          <w:i/>
          <w:iCs/>
        </w:rPr>
        <w:t>Nature</w:t>
      </w:r>
      <w:r w:rsidRPr="00EB13C3">
        <w:rPr>
          <w:rFonts w:eastAsiaTheme="minorHAnsi"/>
        </w:rPr>
        <w:t xml:space="preserve"> </w:t>
      </w:r>
      <w:r w:rsidRPr="00EB13C3">
        <w:rPr>
          <w:rFonts w:eastAsiaTheme="minorHAnsi"/>
          <w:b/>
          <w:bCs/>
        </w:rPr>
        <w:t>502</w:t>
      </w:r>
      <w:r w:rsidRPr="00EB13C3">
        <w:rPr>
          <w:rFonts w:eastAsiaTheme="minorHAnsi"/>
        </w:rPr>
        <w:t>, 96–99 (2013).</w:t>
      </w:r>
    </w:p>
    <w:p w14:paraId="02F01C1B" w14:textId="77777777" w:rsidR="00EB13C3" w:rsidRPr="00EB13C3" w:rsidRDefault="00EB13C3" w:rsidP="00EB13C3">
      <w:pPr>
        <w:pStyle w:val="Bibliography"/>
        <w:rPr>
          <w:rFonts w:eastAsiaTheme="minorHAnsi"/>
        </w:rPr>
      </w:pPr>
      <w:r w:rsidRPr="00EB13C3">
        <w:rPr>
          <w:rFonts w:eastAsiaTheme="minorHAnsi"/>
        </w:rPr>
        <w:t xml:space="preserve">125. </w:t>
      </w:r>
      <w:r w:rsidRPr="00EB13C3">
        <w:rPr>
          <w:rFonts w:eastAsiaTheme="minorHAnsi"/>
        </w:rPr>
        <w:tab/>
        <w:t xml:space="preserve">M. Y. Zeng, N. Inohara, G. Nuñez, Mechanisms of inflammation-driven bacterial dysbiosis in the gut. </w:t>
      </w:r>
      <w:r w:rsidRPr="00EB13C3">
        <w:rPr>
          <w:rFonts w:eastAsiaTheme="minorHAnsi"/>
          <w:i/>
          <w:iCs/>
        </w:rPr>
        <w:t>Mucosal Immunology</w:t>
      </w:r>
      <w:r w:rsidRPr="00EB13C3">
        <w:rPr>
          <w:rFonts w:eastAsiaTheme="minorHAnsi"/>
        </w:rPr>
        <w:t xml:space="preserve"> </w:t>
      </w:r>
      <w:r w:rsidRPr="00EB13C3">
        <w:rPr>
          <w:rFonts w:eastAsiaTheme="minorHAnsi"/>
          <w:b/>
          <w:bCs/>
        </w:rPr>
        <w:t>10</w:t>
      </w:r>
      <w:r w:rsidRPr="00EB13C3">
        <w:rPr>
          <w:rFonts w:eastAsiaTheme="minorHAnsi"/>
        </w:rPr>
        <w:t>, 18–26 (2017).</w:t>
      </w:r>
    </w:p>
    <w:p w14:paraId="5072E8D0" w14:textId="77777777" w:rsidR="00EB13C3" w:rsidRPr="00EB13C3" w:rsidRDefault="00EB13C3" w:rsidP="00EB13C3">
      <w:pPr>
        <w:pStyle w:val="Bibliography"/>
        <w:rPr>
          <w:rFonts w:eastAsiaTheme="minorHAnsi"/>
        </w:rPr>
      </w:pPr>
      <w:r w:rsidRPr="00EB13C3">
        <w:rPr>
          <w:rFonts w:eastAsiaTheme="minorHAnsi"/>
        </w:rPr>
        <w:t xml:space="preserve">126. </w:t>
      </w:r>
      <w:r w:rsidRPr="00EB13C3">
        <w:rPr>
          <w:rFonts w:eastAsiaTheme="minorHAnsi"/>
        </w:rPr>
        <w:tab/>
        <w:t xml:space="preserve">D. R. Donohoe, N. Garge, X. Zhang, W. Sun, T. M. O’Connell, M. K. Bunger, S. J. Bultman, The Microbiome and Butyrate Regulate Energy Metabolism and Autophagy in the Mammalian Colon. </w:t>
      </w:r>
      <w:r w:rsidRPr="00EB13C3">
        <w:rPr>
          <w:rFonts w:eastAsiaTheme="minorHAnsi"/>
          <w:i/>
          <w:iCs/>
        </w:rPr>
        <w:t>Cell Metabolism</w:t>
      </w:r>
      <w:r w:rsidRPr="00EB13C3">
        <w:rPr>
          <w:rFonts w:eastAsiaTheme="minorHAnsi"/>
        </w:rPr>
        <w:t xml:space="preserve"> </w:t>
      </w:r>
      <w:r w:rsidRPr="00EB13C3">
        <w:rPr>
          <w:rFonts w:eastAsiaTheme="minorHAnsi"/>
          <w:b/>
          <w:bCs/>
        </w:rPr>
        <w:t>13</w:t>
      </w:r>
      <w:r w:rsidRPr="00EB13C3">
        <w:rPr>
          <w:rFonts w:eastAsiaTheme="minorHAnsi"/>
        </w:rPr>
        <w:t>, 517–526 (2011).</w:t>
      </w:r>
    </w:p>
    <w:p w14:paraId="635A5C75" w14:textId="77777777" w:rsidR="00EB13C3" w:rsidRPr="00EB13C3" w:rsidRDefault="00EB13C3" w:rsidP="00EB13C3">
      <w:pPr>
        <w:pStyle w:val="Bibliography"/>
        <w:rPr>
          <w:rFonts w:eastAsiaTheme="minorHAnsi"/>
        </w:rPr>
      </w:pPr>
      <w:r w:rsidRPr="00EB13C3">
        <w:rPr>
          <w:rFonts w:eastAsiaTheme="minorHAnsi"/>
        </w:rPr>
        <w:t xml:space="preserve">127. </w:t>
      </w:r>
      <w:r w:rsidRPr="00EB13C3">
        <w:rPr>
          <w:rFonts w:eastAsiaTheme="minorHAnsi"/>
        </w:rPr>
        <w:tab/>
        <w:t xml:space="preserve">C. Neuman, E. Hatje, K. Z. Zarkasi, R. Smullen, J. P. Bowman, M. Katouli, The effect of diet and environmental temperature on the faecal microbiota of farmed Tasmanian Atlantic Salmon (almo salar L.). </w:t>
      </w:r>
      <w:r w:rsidRPr="00EB13C3">
        <w:rPr>
          <w:rFonts w:eastAsiaTheme="minorHAnsi"/>
          <w:i/>
          <w:iCs/>
        </w:rPr>
        <w:t>Aquaculture Research</w:t>
      </w:r>
      <w:r w:rsidRPr="00EB13C3">
        <w:rPr>
          <w:rFonts w:eastAsiaTheme="minorHAnsi"/>
        </w:rPr>
        <w:t xml:space="preserve"> </w:t>
      </w:r>
      <w:r w:rsidRPr="00EB13C3">
        <w:rPr>
          <w:rFonts w:eastAsiaTheme="minorHAnsi"/>
          <w:b/>
          <w:bCs/>
        </w:rPr>
        <w:t>47</w:t>
      </w:r>
      <w:r w:rsidRPr="00EB13C3">
        <w:rPr>
          <w:rFonts w:eastAsiaTheme="minorHAnsi"/>
        </w:rPr>
        <w:t>, 660–672 (2016).</w:t>
      </w:r>
    </w:p>
    <w:p w14:paraId="1C99D218" w14:textId="77777777" w:rsidR="00EB13C3" w:rsidRPr="00EB13C3" w:rsidRDefault="00EB13C3" w:rsidP="00EB13C3">
      <w:pPr>
        <w:pStyle w:val="Bibliography"/>
        <w:rPr>
          <w:rFonts w:eastAsiaTheme="minorHAnsi"/>
        </w:rPr>
      </w:pPr>
      <w:r w:rsidRPr="00EB13C3">
        <w:rPr>
          <w:rFonts w:eastAsiaTheme="minorHAnsi"/>
        </w:rPr>
        <w:t xml:space="preserve">128. </w:t>
      </w:r>
      <w:r w:rsidRPr="00EB13C3">
        <w:rPr>
          <w:rFonts w:eastAsiaTheme="minorHAnsi"/>
        </w:rPr>
        <w:tab/>
        <w:t xml:space="preserve">E. L. Soriano, D. T. Ramírez, D. R. Araujo, B. Gómez-Gil, L. I. Castro, C. G. Sánchez, Effect of temperature and dietary lipid proportion on gut microbiota in yellowtail kingfish </w:t>
      </w:r>
      <w:r w:rsidRPr="00EB13C3">
        <w:rPr>
          <w:rFonts w:eastAsiaTheme="minorHAnsi"/>
          <w:i/>
          <w:iCs/>
        </w:rPr>
        <w:t>Seriola lalandi</w:t>
      </w:r>
      <w:r w:rsidRPr="00EB13C3">
        <w:rPr>
          <w:rFonts w:eastAsiaTheme="minorHAnsi"/>
        </w:rPr>
        <w:t xml:space="preserve"> juveniles. </w:t>
      </w:r>
      <w:r w:rsidRPr="00EB13C3">
        <w:rPr>
          <w:rFonts w:eastAsiaTheme="minorHAnsi"/>
          <w:i/>
          <w:iCs/>
        </w:rPr>
        <w:t>Aquaculture</w:t>
      </w:r>
      <w:r w:rsidRPr="00EB13C3">
        <w:rPr>
          <w:rFonts w:eastAsiaTheme="minorHAnsi"/>
        </w:rPr>
        <w:t xml:space="preserve"> </w:t>
      </w:r>
      <w:r w:rsidRPr="00EB13C3">
        <w:rPr>
          <w:rFonts w:eastAsiaTheme="minorHAnsi"/>
          <w:b/>
          <w:bCs/>
        </w:rPr>
        <w:t>497</w:t>
      </w:r>
      <w:r w:rsidRPr="00EB13C3">
        <w:rPr>
          <w:rFonts w:eastAsiaTheme="minorHAnsi"/>
        </w:rPr>
        <w:t>, 269–277 (2018).</w:t>
      </w:r>
    </w:p>
    <w:p w14:paraId="541D912C" w14:textId="77777777" w:rsidR="00EB13C3" w:rsidRPr="00EB13C3" w:rsidRDefault="00EB13C3" w:rsidP="00EB13C3">
      <w:pPr>
        <w:pStyle w:val="Bibliography"/>
        <w:rPr>
          <w:rFonts w:eastAsiaTheme="minorHAnsi"/>
        </w:rPr>
      </w:pPr>
      <w:r w:rsidRPr="00EB13C3">
        <w:rPr>
          <w:rFonts w:eastAsiaTheme="minorHAnsi"/>
        </w:rPr>
        <w:t xml:space="preserve">129. </w:t>
      </w:r>
      <w:r w:rsidRPr="00EB13C3">
        <w:rPr>
          <w:rFonts w:eastAsiaTheme="minorHAnsi"/>
        </w:rPr>
        <w:tab/>
        <w:t xml:space="preserve">K. D. Kohl, J. Yahn, Effects of environmental temperature on the gut microbial communities of tadpoles. </w:t>
      </w:r>
      <w:r w:rsidRPr="00EB13C3">
        <w:rPr>
          <w:rFonts w:eastAsiaTheme="minorHAnsi"/>
          <w:i/>
          <w:iCs/>
        </w:rPr>
        <w:t>Environmental Microbiology</w:t>
      </w:r>
      <w:r w:rsidRPr="00EB13C3">
        <w:rPr>
          <w:rFonts w:eastAsiaTheme="minorHAnsi"/>
        </w:rPr>
        <w:t xml:space="preserve"> </w:t>
      </w:r>
      <w:r w:rsidRPr="00EB13C3">
        <w:rPr>
          <w:rFonts w:eastAsiaTheme="minorHAnsi"/>
          <w:b/>
          <w:bCs/>
        </w:rPr>
        <w:t>18</w:t>
      </w:r>
      <w:r w:rsidRPr="00EB13C3">
        <w:rPr>
          <w:rFonts w:eastAsiaTheme="minorHAnsi"/>
        </w:rPr>
        <w:t>, 1561–1565 (2016).</w:t>
      </w:r>
    </w:p>
    <w:p w14:paraId="0D573681" w14:textId="77777777" w:rsidR="00EB13C3" w:rsidRPr="00EB13C3" w:rsidRDefault="00EB13C3" w:rsidP="00EB13C3">
      <w:pPr>
        <w:pStyle w:val="Bibliography"/>
        <w:rPr>
          <w:rFonts w:eastAsiaTheme="minorHAnsi"/>
        </w:rPr>
      </w:pPr>
      <w:r w:rsidRPr="00EB13C3">
        <w:rPr>
          <w:rFonts w:eastAsiaTheme="minorHAnsi"/>
        </w:rPr>
        <w:t xml:space="preserve">130. </w:t>
      </w:r>
      <w:r w:rsidRPr="00EB13C3">
        <w:rPr>
          <w:rFonts w:eastAsiaTheme="minorHAnsi"/>
        </w:rPr>
        <w:tab/>
        <w:t xml:space="preserve">C. Nathan, A. Cunningham-Bussel, Beyond oxidative stress: an immunologist’s guide to reactive oxygen species. </w:t>
      </w:r>
      <w:r w:rsidRPr="00EB13C3">
        <w:rPr>
          <w:rFonts w:eastAsiaTheme="minorHAnsi"/>
          <w:i/>
          <w:iCs/>
        </w:rPr>
        <w:t>Nat Rev Immunol</w:t>
      </w:r>
      <w:r w:rsidRPr="00EB13C3">
        <w:rPr>
          <w:rFonts w:eastAsiaTheme="minorHAnsi"/>
        </w:rPr>
        <w:t xml:space="preserve"> </w:t>
      </w:r>
      <w:r w:rsidRPr="00EB13C3">
        <w:rPr>
          <w:rFonts w:eastAsiaTheme="minorHAnsi"/>
          <w:b/>
          <w:bCs/>
        </w:rPr>
        <w:t>13</w:t>
      </w:r>
      <w:r w:rsidRPr="00EB13C3">
        <w:rPr>
          <w:rFonts w:eastAsiaTheme="minorHAnsi"/>
        </w:rPr>
        <w:t>, 349–361 (2013).</w:t>
      </w:r>
    </w:p>
    <w:p w14:paraId="65D2AD75" w14:textId="77777777" w:rsidR="00EB13C3" w:rsidRPr="00EB13C3" w:rsidRDefault="00EB13C3" w:rsidP="00EB13C3">
      <w:pPr>
        <w:pStyle w:val="Bibliography"/>
        <w:rPr>
          <w:rFonts w:eastAsiaTheme="minorHAnsi"/>
        </w:rPr>
      </w:pPr>
      <w:r w:rsidRPr="00EB13C3">
        <w:rPr>
          <w:rFonts w:eastAsiaTheme="minorHAnsi"/>
        </w:rPr>
        <w:t xml:space="preserve">131. </w:t>
      </w:r>
      <w:r w:rsidRPr="00EB13C3">
        <w:rPr>
          <w:rFonts w:eastAsiaTheme="minorHAnsi"/>
        </w:rPr>
        <w:tab/>
        <w:t xml:space="preserve">J. D. Orkin, S. E. Webb, A. D. Melin, Small to modest impact of social group on the gut microbiome of wild Costa Rican capuchins in a seasonal forest. </w:t>
      </w:r>
      <w:r w:rsidRPr="00EB13C3">
        <w:rPr>
          <w:rFonts w:eastAsiaTheme="minorHAnsi"/>
          <w:i/>
          <w:iCs/>
        </w:rPr>
        <w:t>American Journal of Primatology</w:t>
      </w:r>
      <w:r w:rsidRPr="00EB13C3">
        <w:rPr>
          <w:rFonts w:eastAsiaTheme="minorHAnsi"/>
        </w:rPr>
        <w:t xml:space="preserve"> </w:t>
      </w:r>
      <w:r w:rsidRPr="00EB13C3">
        <w:rPr>
          <w:rFonts w:eastAsiaTheme="minorHAnsi"/>
          <w:b/>
          <w:bCs/>
        </w:rPr>
        <w:t>81</w:t>
      </w:r>
      <w:r w:rsidRPr="00EB13C3">
        <w:rPr>
          <w:rFonts w:eastAsiaTheme="minorHAnsi"/>
        </w:rPr>
        <w:t>, e22985 (2019).</w:t>
      </w:r>
    </w:p>
    <w:p w14:paraId="5E553CFD" w14:textId="77777777" w:rsidR="00EB13C3" w:rsidRPr="00EB13C3" w:rsidRDefault="00EB13C3" w:rsidP="00EB13C3">
      <w:pPr>
        <w:pStyle w:val="Bibliography"/>
        <w:rPr>
          <w:rFonts w:eastAsiaTheme="minorHAnsi"/>
        </w:rPr>
      </w:pPr>
      <w:r w:rsidRPr="00EB13C3">
        <w:rPr>
          <w:rFonts w:eastAsiaTheme="minorHAnsi"/>
        </w:rPr>
        <w:t xml:space="preserve">132. </w:t>
      </w:r>
      <w:r w:rsidRPr="00EB13C3">
        <w:rPr>
          <w:rFonts w:eastAsiaTheme="minorHAnsi"/>
        </w:rPr>
        <w:tab/>
        <w:t xml:space="preserve">L. Li, P. Peng, N. Ding, W. Jia, C. Huang, Y. Tang, Oxidative Stress, Inflammation, Gut Dysbiosis: What Can Polyphenols Do in Inflammatory Bowel Disease? </w:t>
      </w:r>
      <w:r w:rsidRPr="00EB13C3">
        <w:rPr>
          <w:rFonts w:eastAsiaTheme="minorHAnsi"/>
          <w:i/>
          <w:iCs/>
        </w:rPr>
        <w:t>Antioxidants</w:t>
      </w:r>
      <w:r w:rsidRPr="00EB13C3">
        <w:rPr>
          <w:rFonts w:eastAsiaTheme="minorHAnsi"/>
        </w:rPr>
        <w:t xml:space="preserve"> </w:t>
      </w:r>
      <w:r w:rsidRPr="00EB13C3">
        <w:rPr>
          <w:rFonts w:eastAsiaTheme="minorHAnsi"/>
          <w:b/>
          <w:bCs/>
        </w:rPr>
        <w:t>12</w:t>
      </w:r>
      <w:r w:rsidRPr="00EB13C3">
        <w:rPr>
          <w:rFonts w:eastAsiaTheme="minorHAnsi"/>
        </w:rPr>
        <w:t>, 967 (2023).</w:t>
      </w:r>
    </w:p>
    <w:p w14:paraId="0711ADCD" w14:textId="77777777" w:rsidR="00EB13C3" w:rsidRPr="00EB13C3" w:rsidRDefault="00EB13C3" w:rsidP="00EB13C3">
      <w:pPr>
        <w:pStyle w:val="Bibliography"/>
        <w:rPr>
          <w:rFonts w:eastAsiaTheme="minorHAnsi"/>
        </w:rPr>
      </w:pPr>
      <w:r w:rsidRPr="00EB13C3">
        <w:rPr>
          <w:rFonts w:eastAsiaTheme="minorHAnsi"/>
        </w:rPr>
        <w:t xml:space="preserve">133. </w:t>
      </w:r>
      <w:r w:rsidRPr="00EB13C3">
        <w:rPr>
          <w:rFonts w:eastAsiaTheme="minorHAnsi"/>
        </w:rPr>
        <w:tab/>
        <w:t xml:space="preserve">H. Mostafavi Abdolmaleky, J.-R. Zhou, Gut Microbiota Dysbiosis, Oxidative Stress, Inflammation, and Epigenetic Alterations in Metabolic Diseases. </w:t>
      </w:r>
      <w:r w:rsidRPr="00EB13C3">
        <w:rPr>
          <w:rFonts w:eastAsiaTheme="minorHAnsi"/>
          <w:i/>
          <w:iCs/>
        </w:rPr>
        <w:t>Antioxidants</w:t>
      </w:r>
      <w:r w:rsidRPr="00EB13C3">
        <w:rPr>
          <w:rFonts w:eastAsiaTheme="minorHAnsi"/>
        </w:rPr>
        <w:t xml:space="preserve"> </w:t>
      </w:r>
      <w:r w:rsidRPr="00EB13C3">
        <w:rPr>
          <w:rFonts w:eastAsiaTheme="minorHAnsi"/>
          <w:b/>
          <w:bCs/>
        </w:rPr>
        <w:t>13</w:t>
      </w:r>
      <w:r w:rsidRPr="00EB13C3">
        <w:rPr>
          <w:rFonts w:eastAsiaTheme="minorHAnsi"/>
        </w:rPr>
        <w:t>, 985 (2024).</w:t>
      </w:r>
    </w:p>
    <w:p w14:paraId="4C453690" w14:textId="77777777" w:rsidR="00EB13C3" w:rsidRPr="00EB13C3" w:rsidRDefault="00EB13C3" w:rsidP="00EB13C3">
      <w:pPr>
        <w:pStyle w:val="Bibliography"/>
        <w:rPr>
          <w:rFonts w:eastAsiaTheme="minorHAnsi"/>
        </w:rPr>
      </w:pPr>
      <w:r w:rsidRPr="00EB13C3">
        <w:rPr>
          <w:rFonts w:eastAsiaTheme="minorHAnsi"/>
        </w:rPr>
        <w:t xml:space="preserve">134. </w:t>
      </w:r>
      <w:r w:rsidRPr="00EB13C3">
        <w:rPr>
          <w:rFonts w:eastAsiaTheme="minorHAnsi"/>
        </w:rPr>
        <w:tab/>
        <w:t xml:space="preserve">D. Dodd, M. H. Spitzer, W. Van Treuren, B. D. Merrill, A. J. Hryckowian, S. K. Higginbottom, A. Le, T. M. Cowan, G. P. Nolan, M. A. Fischbach, J. L. Sonnenburg, A gut bacterial pathway metabolizes aromatic amino acids into nine circulating metabolites. </w:t>
      </w:r>
      <w:r w:rsidRPr="00EB13C3">
        <w:rPr>
          <w:rFonts w:eastAsiaTheme="minorHAnsi"/>
          <w:i/>
          <w:iCs/>
        </w:rPr>
        <w:t>Nature</w:t>
      </w:r>
      <w:r w:rsidRPr="00EB13C3">
        <w:rPr>
          <w:rFonts w:eastAsiaTheme="minorHAnsi"/>
        </w:rPr>
        <w:t xml:space="preserve"> </w:t>
      </w:r>
      <w:r w:rsidRPr="00EB13C3">
        <w:rPr>
          <w:rFonts w:eastAsiaTheme="minorHAnsi"/>
          <w:b/>
          <w:bCs/>
        </w:rPr>
        <w:t>551</w:t>
      </w:r>
      <w:r w:rsidRPr="00EB13C3">
        <w:rPr>
          <w:rFonts w:eastAsiaTheme="minorHAnsi"/>
        </w:rPr>
        <w:t>, 648–652 (2017).</w:t>
      </w:r>
    </w:p>
    <w:p w14:paraId="164B08C8" w14:textId="77777777" w:rsidR="00EB13C3" w:rsidRPr="00EB13C3" w:rsidRDefault="00EB13C3" w:rsidP="00EB13C3">
      <w:pPr>
        <w:pStyle w:val="Bibliography"/>
        <w:rPr>
          <w:rFonts w:eastAsiaTheme="minorHAnsi"/>
        </w:rPr>
      </w:pPr>
      <w:r w:rsidRPr="00EB13C3">
        <w:rPr>
          <w:rFonts w:eastAsiaTheme="minorHAnsi"/>
        </w:rPr>
        <w:t xml:space="preserve">135. </w:t>
      </w:r>
      <w:r w:rsidRPr="00EB13C3">
        <w:rPr>
          <w:rFonts w:eastAsiaTheme="minorHAnsi"/>
        </w:rPr>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EB13C3">
        <w:rPr>
          <w:rFonts w:eastAsiaTheme="minorHAnsi"/>
          <w:i/>
          <w:iCs/>
        </w:rPr>
        <w:t>Immunity</w:t>
      </w:r>
      <w:r w:rsidRPr="00EB13C3">
        <w:rPr>
          <w:rFonts w:eastAsiaTheme="minorHAnsi"/>
        </w:rPr>
        <w:t xml:space="preserve"> </w:t>
      </w:r>
      <w:r w:rsidRPr="00EB13C3">
        <w:rPr>
          <w:rFonts w:eastAsiaTheme="minorHAnsi"/>
          <w:b/>
          <w:bCs/>
        </w:rPr>
        <w:t>39</w:t>
      </w:r>
      <w:r w:rsidRPr="00EB13C3">
        <w:rPr>
          <w:rFonts w:eastAsiaTheme="minorHAnsi"/>
        </w:rPr>
        <w:t>, 372–385 (2013).</w:t>
      </w:r>
    </w:p>
    <w:p w14:paraId="579CABA9" w14:textId="77777777" w:rsidR="00EB13C3" w:rsidRPr="00EB13C3" w:rsidRDefault="00EB13C3" w:rsidP="00EB13C3">
      <w:pPr>
        <w:pStyle w:val="Bibliography"/>
        <w:rPr>
          <w:rFonts w:eastAsiaTheme="minorHAnsi"/>
        </w:rPr>
      </w:pPr>
      <w:r w:rsidRPr="00EB13C3">
        <w:rPr>
          <w:rFonts w:eastAsiaTheme="minorHAnsi"/>
        </w:rPr>
        <w:lastRenderedPageBreak/>
        <w:t xml:space="preserve">136. </w:t>
      </w:r>
      <w:r w:rsidRPr="00EB13C3">
        <w:rPr>
          <w:rFonts w:eastAsiaTheme="minorHAnsi"/>
        </w:rPr>
        <w:tab/>
        <w:t xml:space="preserve">S. H. Chu, J. W. Lim, K. H. Kim, H. Kim, NF-κB and Bcl-2 in Helicobacter pylori-Induced Apoptosis in Gastric Epithelial Cells. </w:t>
      </w:r>
      <w:r w:rsidRPr="00EB13C3">
        <w:rPr>
          <w:rFonts w:eastAsiaTheme="minorHAnsi"/>
          <w:i/>
          <w:iCs/>
        </w:rPr>
        <w:t>Annals of the New York Academy of Sciences</w:t>
      </w:r>
      <w:r w:rsidRPr="00EB13C3">
        <w:rPr>
          <w:rFonts w:eastAsiaTheme="minorHAnsi"/>
        </w:rPr>
        <w:t xml:space="preserve"> </w:t>
      </w:r>
      <w:r w:rsidRPr="00EB13C3">
        <w:rPr>
          <w:rFonts w:eastAsiaTheme="minorHAnsi"/>
          <w:b/>
          <w:bCs/>
        </w:rPr>
        <w:t>1010</w:t>
      </w:r>
      <w:r w:rsidRPr="00EB13C3">
        <w:rPr>
          <w:rFonts w:eastAsiaTheme="minorHAnsi"/>
        </w:rPr>
        <w:t>, 568–572 (2003).</w:t>
      </w:r>
    </w:p>
    <w:p w14:paraId="7071185C" w14:textId="3072456B" w:rsidR="009E5AD7" w:rsidRDefault="009E5AD7" w:rsidP="00EB13C3">
      <w:pPr>
        <w:pStyle w:val="Bibliography"/>
      </w:pPr>
      <w:r>
        <w:fldChar w:fldCharType="end"/>
      </w:r>
    </w:p>
    <w:p w14:paraId="6F553D82" w14:textId="77777777" w:rsidR="009E5AD7" w:rsidRDefault="009E5AD7" w:rsidP="002D1193"/>
    <w:sectPr w:rsidR="009E5AD7"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shall, Andrew" w:date="2025-11-05T11:29:00Z" w:initials="AM">
    <w:p w14:paraId="5CABDFA2" w14:textId="77777777" w:rsidR="00A6106C" w:rsidRDefault="00A6106C" w:rsidP="00A6106C">
      <w:r>
        <w:rPr>
          <w:rStyle w:val="CommentReference"/>
        </w:rPr>
        <w:annotationRef/>
      </w:r>
      <w:r>
        <w:rPr>
          <w:sz w:val="20"/>
          <w:szCs w:val="20"/>
        </w:rPr>
        <w:t>long-term makes me think of time scales much longer than two weeks.  Maybe we can brainstorm an alternative?</w:t>
      </w:r>
    </w:p>
  </w:comment>
  <w:comment w:id="1" w:author="Lucore, Jordan" w:date="2025-11-05T15:31:00Z" w:initials="JL">
    <w:p w14:paraId="5A09105B" w14:textId="77777777" w:rsidR="00EB4B80" w:rsidRDefault="00EB4B80" w:rsidP="00EB4B80">
      <w:r>
        <w:rPr>
          <w:rStyle w:val="CommentReference"/>
        </w:rPr>
        <w:annotationRef/>
      </w:r>
      <w:r>
        <w:rPr>
          <w:sz w:val="20"/>
          <w:szCs w:val="20"/>
        </w:rPr>
        <w:t>just cut the long-term wording</w:t>
      </w:r>
    </w:p>
  </w:comment>
  <w:comment w:id="2" w:author="Marshall, Andrew" w:date="2025-11-05T11:30:00Z" w:initials="AM">
    <w:p w14:paraId="2C87635B" w14:textId="4BB2CD3A" w:rsidR="00A6106C" w:rsidRDefault="00A6106C" w:rsidP="00A6106C">
      <w:r>
        <w:rPr>
          <w:rStyle w:val="CommentReference"/>
        </w:rPr>
        <w:annotationRef/>
      </w:r>
      <w:r>
        <w:rPr>
          <w:sz w:val="20"/>
          <w:szCs w:val="20"/>
        </w:rPr>
        <w:t>Excellent!</w:t>
      </w:r>
    </w:p>
  </w:comment>
  <w:comment w:id="3" w:author="Marshall, Andrew" w:date="2025-11-05T11:31:00Z" w:initials="AM">
    <w:p w14:paraId="4C922E55" w14:textId="77777777" w:rsidR="00A6106C" w:rsidRDefault="00A6106C" w:rsidP="00A6106C">
      <w:r>
        <w:rPr>
          <w:rStyle w:val="CommentReference"/>
        </w:rPr>
        <w:annotationRef/>
      </w:r>
      <w:r>
        <w:rPr>
          <w:sz w:val="20"/>
          <w:szCs w:val="20"/>
        </w:rPr>
        <w:t>Same as above, I'm not sure this is the best term</w:t>
      </w:r>
    </w:p>
  </w:comment>
  <w:comment w:id="5" w:author="Marshall, Andrew" w:date="2025-11-05T11:31:00Z" w:initials="AM">
    <w:p w14:paraId="194359EA" w14:textId="77777777" w:rsidR="008533DB" w:rsidRDefault="008533DB" w:rsidP="008533DB">
      <w:r>
        <w:rPr>
          <w:rStyle w:val="CommentReference"/>
        </w:rPr>
        <w:annotationRef/>
      </w:r>
      <w:r>
        <w:rPr>
          <w:sz w:val="20"/>
          <w:szCs w:val="20"/>
        </w:rPr>
        <w:t>and here</w:t>
      </w:r>
    </w:p>
  </w:comment>
  <w:comment w:id="4" w:author="Marshall, Andrew" w:date="2025-11-05T11:32:00Z" w:initials="AM">
    <w:p w14:paraId="71D6BD01" w14:textId="77777777" w:rsidR="008533DB" w:rsidRDefault="008533DB" w:rsidP="008533DB">
      <w:r>
        <w:rPr>
          <w:rStyle w:val="CommentReference"/>
        </w:rPr>
        <w:annotationRef/>
      </w:r>
      <w:r>
        <w:rPr>
          <w:sz w:val="20"/>
          <w:szCs w:val="20"/>
        </w:rPr>
        <w:t>Super</w:t>
      </w:r>
    </w:p>
  </w:comment>
  <w:comment w:id="7" w:author="Marshall, Andrew" w:date="2025-11-05T11:33:00Z" w:initials="AM">
    <w:p w14:paraId="35D4CF71" w14:textId="77777777" w:rsidR="008C7E15" w:rsidRDefault="008C7E15" w:rsidP="008C7E15">
      <w:r>
        <w:rPr>
          <w:rStyle w:val="CommentReference"/>
        </w:rPr>
        <w:annotationRef/>
      </w:r>
      <w:r>
        <w:rPr>
          <w:sz w:val="20"/>
          <w:szCs w:val="20"/>
        </w:rPr>
        <w:t>This is excellent, too. I like these additions</w:t>
      </w:r>
    </w:p>
  </w:comment>
  <w:comment w:id="9" w:author="Marshall, Andrew" w:date="2025-11-05T11:35:00Z" w:initials="AM">
    <w:p w14:paraId="4EACB6F4" w14:textId="77777777" w:rsidR="008C7E15" w:rsidRDefault="008C7E15" w:rsidP="008C7E15">
      <w:r>
        <w:rPr>
          <w:rStyle w:val="CommentReference"/>
        </w:rPr>
        <w:annotationRef/>
      </w:r>
      <w:r>
        <w:rPr>
          <w:sz w:val="20"/>
          <w:szCs w:val="20"/>
        </w:rPr>
        <w:t>This implies a great title to me... "Heat stress compromises essential microbiome functions in a wild primate species"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ABDFA2" w15:done="0"/>
  <w15:commentEx w15:paraId="5A09105B" w15:paraIdParent="5CABDFA2" w15:done="0"/>
  <w15:commentEx w15:paraId="2C87635B" w15:done="0"/>
  <w15:commentEx w15:paraId="4C922E55" w15:done="0"/>
  <w15:commentEx w15:paraId="194359EA" w15:done="0"/>
  <w15:commentEx w15:paraId="71D6BD01" w15:done="0"/>
  <w15:commentEx w15:paraId="35D4CF71" w15:done="0"/>
  <w15:commentEx w15:paraId="4EACB6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ECF8F1" w16cex:dateUtc="2025-11-05T16:29:00Z"/>
  <w16cex:commentExtensible w16cex:durableId="352AE8F6" w16cex:dateUtc="2025-11-05T20:31:00Z"/>
  <w16cex:commentExtensible w16cex:durableId="1FF148A6" w16cex:dateUtc="2025-11-05T16:30:00Z"/>
  <w16cex:commentExtensible w16cex:durableId="7D326A45" w16cex:dateUtc="2025-11-05T16:31:00Z"/>
  <w16cex:commentExtensible w16cex:durableId="1402ED48" w16cex:dateUtc="2025-11-05T16:31:00Z"/>
  <w16cex:commentExtensible w16cex:durableId="048D5A8C" w16cex:dateUtc="2025-11-05T16:32:00Z"/>
  <w16cex:commentExtensible w16cex:durableId="4A2585FE" w16cex:dateUtc="2025-11-05T16:33:00Z"/>
  <w16cex:commentExtensible w16cex:durableId="3CB517F1" w16cex:dateUtc="2025-11-05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ABDFA2" w16cid:durableId="45ECF8F1"/>
  <w16cid:commentId w16cid:paraId="5A09105B" w16cid:durableId="352AE8F6"/>
  <w16cid:commentId w16cid:paraId="2C87635B" w16cid:durableId="1FF148A6"/>
  <w16cid:commentId w16cid:paraId="4C922E55" w16cid:durableId="7D326A45"/>
  <w16cid:commentId w16cid:paraId="194359EA" w16cid:durableId="1402ED48"/>
  <w16cid:commentId w16cid:paraId="71D6BD01" w16cid:durableId="048D5A8C"/>
  <w16cid:commentId w16cid:paraId="35D4CF71" w16cid:durableId="4A2585FE"/>
  <w16cid:commentId w16cid:paraId="4EACB6F4" w16cid:durableId="3CB517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shall, Andrew">
    <w15:presenceInfo w15:providerId="AD" w15:userId="S::ajmarsha@umich.edu::e1495f42-9426-4e39-b223-e98e8f773398"/>
  </w15:person>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66"/>
    <w:rsid w:val="00033021"/>
    <w:rsid w:val="000365B2"/>
    <w:rsid w:val="000560CC"/>
    <w:rsid w:val="00074A66"/>
    <w:rsid w:val="000A4F3A"/>
    <w:rsid w:val="000D1A59"/>
    <w:rsid w:val="00150BEB"/>
    <w:rsid w:val="00190DE4"/>
    <w:rsid w:val="00280EC6"/>
    <w:rsid w:val="002B5CD8"/>
    <w:rsid w:val="002C7F8C"/>
    <w:rsid w:val="002D1193"/>
    <w:rsid w:val="0032533A"/>
    <w:rsid w:val="00337EBD"/>
    <w:rsid w:val="003563E7"/>
    <w:rsid w:val="004213D8"/>
    <w:rsid w:val="00435343"/>
    <w:rsid w:val="00440E37"/>
    <w:rsid w:val="00462118"/>
    <w:rsid w:val="00494677"/>
    <w:rsid w:val="004C046C"/>
    <w:rsid w:val="004C6D89"/>
    <w:rsid w:val="004E0440"/>
    <w:rsid w:val="004E622C"/>
    <w:rsid w:val="004F5B78"/>
    <w:rsid w:val="005551F2"/>
    <w:rsid w:val="005B0F26"/>
    <w:rsid w:val="005C1673"/>
    <w:rsid w:val="005F69FD"/>
    <w:rsid w:val="00616C99"/>
    <w:rsid w:val="006209C5"/>
    <w:rsid w:val="006A0CCA"/>
    <w:rsid w:val="006B28A1"/>
    <w:rsid w:val="006E102A"/>
    <w:rsid w:val="006F07A1"/>
    <w:rsid w:val="006F1050"/>
    <w:rsid w:val="00752B2B"/>
    <w:rsid w:val="00755D6C"/>
    <w:rsid w:val="00797413"/>
    <w:rsid w:val="00804D7A"/>
    <w:rsid w:val="00835F44"/>
    <w:rsid w:val="008533DB"/>
    <w:rsid w:val="008631EB"/>
    <w:rsid w:val="00883999"/>
    <w:rsid w:val="008C7E15"/>
    <w:rsid w:val="009304A2"/>
    <w:rsid w:val="00950571"/>
    <w:rsid w:val="00974119"/>
    <w:rsid w:val="00992CB0"/>
    <w:rsid w:val="009E07A2"/>
    <w:rsid w:val="009E5AD7"/>
    <w:rsid w:val="00A33A8F"/>
    <w:rsid w:val="00A6106C"/>
    <w:rsid w:val="00A853F1"/>
    <w:rsid w:val="00AB141F"/>
    <w:rsid w:val="00BC1EDA"/>
    <w:rsid w:val="00BE3C8A"/>
    <w:rsid w:val="00C10871"/>
    <w:rsid w:val="00D237ED"/>
    <w:rsid w:val="00DA2D66"/>
    <w:rsid w:val="00DA5AE8"/>
    <w:rsid w:val="00DC5FCB"/>
    <w:rsid w:val="00DD674D"/>
    <w:rsid w:val="00DE0C60"/>
    <w:rsid w:val="00DF25ED"/>
    <w:rsid w:val="00E356F2"/>
    <w:rsid w:val="00E37B25"/>
    <w:rsid w:val="00E83647"/>
    <w:rsid w:val="00E90D4E"/>
    <w:rsid w:val="00EB13C3"/>
    <w:rsid w:val="00EB4B80"/>
    <w:rsid w:val="00F06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46F4"/>
  <w15:chartTrackingRefBased/>
  <w15:docId w15:val="{CA00CD9A-2327-534D-AAA7-057081F4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2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66"/>
    <w:rPr>
      <w:rFonts w:eastAsiaTheme="majorEastAsia" w:cstheme="majorBidi"/>
      <w:color w:val="272727" w:themeColor="text1" w:themeTint="D8"/>
    </w:rPr>
  </w:style>
  <w:style w:type="paragraph" w:styleId="Title">
    <w:name w:val="Title"/>
    <w:basedOn w:val="Normal"/>
    <w:next w:val="Normal"/>
    <w:link w:val="TitleChar"/>
    <w:uiPriority w:val="10"/>
    <w:qFormat/>
    <w:rsid w:val="00DA2D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66"/>
    <w:pPr>
      <w:spacing w:before="160"/>
      <w:jc w:val="center"/>
    </w:pPr>
    <w:rPr>
      <w:i/>
      <w:iCs/>
      <w:color w:val="404040" w:themeColor="text1" w:themeTint="BF"/>
    </w:rPr>
  </w:style>
  <w:style w:type="character" w:customStyle="1" w:styleId="QuoteChar">
    <w:name w:val="Quote Char"/>
    <w:basedOn w:val="DefaultParagraphFont"/>
    <w:link w:val="Quote"/>
    <w:uiPriority w:val="29"/>
    <w:rsid w:val="00DA2D66"/>
    <w:rPr>
      <w:i/>
      <w:iCs/>
      <w:color w:val="404040" w:themeColor="text1" w:themeTint="BF"/>
    </w:rPr>
  </w:style>
  <w:style w:type="paragraph" w:styleId="ListParagraph">
    <w:name w:val="List Paragraph"/>
    <w:basedOn w:val="Normal"/>
    <w:uiPriority w:val="34"/>
    <w:qFormat/>
    <w:rsid w:val="00DA2D66"/>
    <w:pPr>
      <w:ind w:left="720"/>
      <w:contextualSpacing/>
    </w:pPr>
  </w:style>
  <w:style w:type="character" w:styleId="IntenseEmphasis">
    <w:name w:val="Intense Emphasis"/>
    <w:basedOn w:val="DefaultParagraphFont"/>
    <w:uiPriority w:val="21"/>
    <w:qFormat/>
    <w:rsid w:val="00DA2D66"/>
    <w:rPr>
      <w:i/>
      <w:iCs/>
      <w:color w:val="0F4761" w:themeColor="accent1" w:themeShade="BF"/>
    </w:rPr>
  </w:style>
  <w:style w:type="paragraph" w:styleId="IntenseQuote">
    <w:name w:val="Intense Quote"/>
    <w:basedOn w:val="Normal"/>
    <w:next w:val="Normal"/>
    <w:link w:val="IntenseQuoteChar"/>
    <w:uiPriority w:val="30"/>
    <w:qFormat/>
    <w:rsid w:val="00DA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66"/>
    <w:rPr>
      <w:i/>
      <w:iCs/>
      <w:color w:val="0F4761" w:themeColor="accent1" w:themeShade="BF"/>
    </w:rPr>
  </w:style>
  <w:style w:type="character" w:styleId="IntenseReference">
    <w:name w:val="Intense Reference"/>
    <w:basedOn w:val="DefaultParagraphFont"/>
    <w:uiPriority w:val="32"/>
    <w:qFormat/>
    <w:rsid w:val="00DA2D66"/>
    <w:rPr>
      <w:b/>
      <w:bCs/>
      <w:smallCaps/>
      <w:color w:val="0F4761" w:themeColor="accent1" w:themeShade="BF"/>
      <w:spacing w:val="5"/>
    </w:rPr>
  </w:style>
  <w:style w:type="character" w:styleId="Emphasis">
    <w:name w:val="Emphasis"/>
    <w:basedOn w:val="DefaultParagraphFont"/>
    <w:uiPriority w:val="20"/>
    <w:qFormat/>
    <w:rsid w:val="005B0F26"/>
    <w:rPr>
      <w:i/>
      <w:iCs/>
    </w:rPr>
  </w:style>
  <w:style w:type="character" w:styleId="CommentReference">
    <w:name w:val="annotation reference"/>
    <w:basedOn w:val="DefaultParagraphFont"/>
    <w:uiPriority w:val="99"/>
    <w:semiHidden/>
    <w:unhideWhenUsed/>
    <w:rsid w:val="005B0F26"/>
    <w:rPr>
      <w:sz w:val="16"/>
      <w:szCs w:val="16"/>
    </w:rPr>
  </w:style>
  <w:style w:type="character" w:styleId="Strong">
    <w:name w:val="Strong"/>
    <w:basedOn w:val="DefaultParagraphFont"/>
    <w:uiPriority w:val="22"/>
    <w:qFormat/>
    <w:rsid w:val="005B0F26"/>
    <w:rPr>
      <w:b/>
      <w:bCs/>
    </w:rPr>
  </w:style>
  <w:style w:type="character" w:styleId="Hyperlink">
    <w:name w:val="Hyperlink"/>
    <w:basedOn w:val="DefaultParagraphFont"/>
    <w:uiPriority w:val="99"/>
    <w:unhideWhenUsed/>
    <w:rsid w:val="00C10871"/>
    <w:rPr>
      <w:color w:val="467886" w:themeColor="hyperlink"/>
      <w:u w:val="single"/>
    </w:rPr>
  </w:style>
  <w:style w:type="paragraph" w:styleId="CommentText">
    <w:name w:val="annotation text"/>
    <w:basedOn w:val="Normal"/>
    <w:link w:val="CommentTextChar"/>
    <w:uiPriority w:val="99"/>
    <w:semiHidden/>
    <w:unhideWhenUsed/>
    <w:rsid w:val="00E90D4E"/>
    <w:rPr>
      <w:sz w:val="20"/>
      <w:szCs w:val="20"/>
    </w:rPr>
  </w:style>
  <w:style w:type="character" w:customStyle="1" w:styleId="CommentTextChar">
    <w:name w:val="Comment Text Char"/>
    <w:basedOn w:val="DefaultParagraphFont"/>
    <w:link w:val="CommentText"/>
    <w:uiPriority w:val="99"/>
    <w:semiHidden/>
    <w:rsid w:val="00E90D4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0D4E"/>
    <w:rPr>
      <w:b/>
      <w:bCs/>
    </w:rPr>
  </w:style>
  <w:style w:type="character" w:customStyle="1" w:styleId="CommentSubjectChar">
    <w:name w:val="Comment Subject Char"/>
    <w:basedOn w:val="CommentTextChar"/>
    <w:link w:val="CommentSubject"/>
    <w:uiPriority w:val="99"/>
    <w:semiHidden/>
    <w:rsid w:val="00E90D4E"/>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E5AD7"/>
    <w:pPr>
      <w:tabs>
        <w:tab w:val="left" w:pos="620"/>
      </w:tabs>
      <w:spacing w:after="240"/>
      <w:ind w:left="624" w:hanging="624"/>
    </w:pPr>
  </w:style>
  <w:style w:type="character" w:styleId="UnresolvedMention">
    <w:name w:val="Unresolved Mention"/>
    <w:basedOn w:val="DefaultParagraphFont"/>
    <w:uiPriority w:val="99"/>
    <w:semiHidden/>
    <w:unhideWhenUsed/>
    <w:rsid w:val="005C1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1.emf"/><Relationship Id="rId5" Type="http://schemas.openxmlformats.org/officeDocument/2006/relationships/hyperlink" Target="mailto:jlucore@umich.edu" TargetMode="Externa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hyperlink" Target="http://www.earthmicrobiome.org" TargetMode="External"/><Relationship Id="rId19" Type="http://schemas.openxmlformats.org/officeDocument/2006/relationships/image" Target="media/image9.emf"/><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4.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1212</TotalTime>
  <Pages>39</Pages>
  <Words>86790</Words>
  <Characters>494703</Characters>
  <Application>Microsoft Office Word</Application>
  <DocSecurity>0</DocSecurity>
  <Lines>4122</Lines>
  <Paragraphs>1160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18</cp:revision>
  <dcterms:created xsi:type="dcterms:W3CDTF">2025-10-30T18:30:00Z</dcterms:created>
  <dcterms:modified xsi:type="dcterms:W3CDTF">2025-11-06T15:07:00Z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id="gAdsKZ2D"/&gt;&lt;style id="http://www.zotero.org/styles/science" hasBibliography="1" bibliographyStyleHasBeenSet="1"/&gt;&lt;prefs&gt;&lt;pref name="fieldType" value="Field"/&gt;&lt;/prefs&gt;&lt;/data&gt;</vt:lpwstr>
  </property>
</Properties>
</file>