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F2D4B" w14:textId="160D71FA" w:rsidR="00AC40F6" w:rsidRDefault="00AC40F6" w:rsidP="00AC40F6">
      <w:pPr>
        <w:rPr>
          <w:sz w:val="28"/>
          <w:szCs w:val="28"/>
        </w:rPr>
      </w:pPr>
      <w:r w:rsidRPr="002E2B9C">
        <w:rPr>
          <w:sz w:val="28"/>
          <w:szCs w:val="28"/>
        </w:rPr>
        <w:t xml:space="preserve">High temperatures predict </w:t>
      </w:r>
      <w:r w:rsidR="008454F4">
        <w:rPr>
          <w:sz w:val="28"/>
          <w:szCs w:val="28"/>
        </w:rPr>
        <w:t xml:space="preserve">altered </w:t>
      </w:r>
      <w:r w:rsidRPr="002E2B9C">
        <w:rPr>
          <w:sz w:val="28"/>
          <w:szCs w:val="28"/>
        </w:rPr>
        <w:t>gut microbiome</w:t>
      </w:r>
      <w:r w:rsidR="007C7C22" w:rsidRPr="002E2B9C">
        <w:rPr>
          <w:sz w:val="28"/>
          <w:szCs w:val="28"/>
        </w:rPr>
        <w:t xml:space="preserve"> composition</w:t>
      </w:r>
      <w:r w:rsidR="001A57FC" w:rsidRPr="002E2B9C">
        <w:rPr>
          <w:sz w:val="28"/>
          <w:szCs w:val="28"/>
        </w:rPr>
        <w:t>,</w:t>
      </w:r>
      <w:r w:rsidR="007C7C22" w:rsidRPr="002E2B9C">
        <w:rPr>
          <w:sz w:val="28"/>
          <w:szCs w:val="28"/>
        </w:rPr>
        <w:t xml:space="preserve"> metabolic capacity</w:t>
      </w:r>
      <w:r w:rsidR="001A57FC" w:rsidRPr="002E2B9C">
        <w:rPr>
          <w:sz w:val="28"/>
          <w:szCs w:val="28"/>
        </w:rPr>
        <w:t>,</w:t>
      </w:r>
      <w:r w:rsidR="007C7C22" w:rsidRPr="002E2B9C">
        <w:rPr>
          <w:sz w:val="28"/>
          <w:szCs w:val="28"/>
        </w:rPr>
        <w:t xml:space="preserve"> </w:t>
      </w:r>
      <w:r w:rsidR="001A57FC" w:rsidRPr="002E2B9C">
        <w:rPr>
          <w:sz w:val="28"/>
          <w:szCs w:val="28"/>
        </w:rPr>
        <w:t xml:space="preserve">and </w:t>
      </w:r>
      <w:r w:rsidR="007C7C22" w:rsidRPr="002E2B9C">
        <w:rPr>
          <w:sz w:val="28"/>
          <w:szCs w:val="28"/>
        </w:rPr>
        <w:t>immune interactions</w:t>
      </w:r>
      <w:r w:rsidRPr="002E2B9C">
        <w:rPr>
          <w:sz w:val="28"/>
          <w:szCs w:val="28"/>
        </w:rPr>
        <w:t xml:space="preserve"> in a wild primate species</w:t>
      </w:r>
    </w:p>
    <w:p w14:paraId="6CDC386F" w14:textId="77777777" w:rsidR="00771EA2" w:rsidRDefault="00771EA2" w:rsidP="00AC40F6">
      <w:pPr>
        <w:rPr>
          <w:sz w:val="28"/>
          <w:szCs w:val="28"/>
        </w:rPr>
      </w:pPr>
    </w:p>
    <w:p w14:paraId="2C99339C" w14:textId="7DB0AF73" w:rsidR="00771EA2" w:rsidRPr="00771EA2" w:rsidRDefault="00771EA2" w:rsidP="00AC40F6">
      <w:r w:rsidRPr="00771EA2">
        <w:t xml:space="preserve">Running title: </w:t>
      </w:r>
      <w:r>
        <w:t xml:space="preserve">Heat </w:t>
      </w:r>
      <w:r w:rsidR="000D29E7">
        <w:t>alters</w:t>
      </w:r>
      <w:r>
        <w:t xml:space="preserve"> primate gut microbiomes</w:t>
      </w:r>
    </w:p>
    <w:p w14:paraId="1CC97F56" w14:textId="77777777" w:rsidR="009304A2" w:rsidRDefault="009304A2" w:rsidP="00BC1EDA"/>
    <w:p w14:paraId="55ED810D" w14:textId="06C0EE06" w:rsidR="00BC1EDA" w:rsidRPr="00E410C3" w:rsidRDefault="00BC1EDA" w:rsidP="00BC1EDA">
      <w:r w:rsidRPr="00E410C3">
        <w:t>Jordan M. Lucore</w:t>
      </w:r>
      <w:r w:rsidRPr="00E410C3">
        <w:rPr>
          <w:vertAlign w:val="superscript"/>
        </w:rPr>
        <w:t>1,2</w:t>
      </w:r>
      <w:r w:rsidR="005C1673">
        <w:rPr>
          <w:vertAlign w:val="superscript"/>
        </w:rPr>
        <w:t>*</w:t>
      </w:r>
      <w:r w:rsidRPr="00E410C3">
        <w:t>, Marcela E. Benítez</w:t>
      </w:r>
      <w:r w:rsidRPr="00E410C3">
        <w:rPr>
          <w:vertAlign w:val="superscript"/>
        </w:rPr>
        <w:t xml:space="preserve">2,3, </w:t>
      </w:r>
      <w:r w:rsidRPr="00E410C3">
        <w:t>, Amy F. White</w:t>
      </w:r>
      <w:r w:rsidRPr="00E410C3">
        <w:rPr>
          <w:vertAlign w:val="superscript"/>
        </w:rPr>
        <w:t>2,4</w:t>
      </w:r>
      <w:r w:rsidRPr="00E410C3">
        <w:t>, Juan Carlos Ordoñez</w:t>
      </w:r>
      <w:r w:rsidRPr="00E410C3">
        <w:rPr>
          <w:vertAlign w:val="superscript"/>
        </w:rPr>
        <w:t>2</w:t>
      </w:r>
      <w:r w:rsidRPr="00E410C3">
        <w:t>, Jacinta C. Beehner</w:t>
      </w:r>
      <w:r w:rsidRPr="00E410C3">
        <w:rPr>
          <w:vertAlign w:val="superscript"/>
        </w:rPr>
        <w:t>1,2,5</w:t>
      </w:r>
      <w:r w:rsidRPr="00E410C3">
        <w:t>, Thore J. Bergman</w:t>
      </w:r>
      <w:r w:rsidRPr="00E410C3">
        <w:rPr>
          <w:vertAlign w:val="superscript"/>
        </w:rPr>
        <w:t>2,5,6</w:t>
      </w:r>
      <w:r w:rsidRPr="00E410C3">
        <w:t>, Maria Luisa Savo Sardaro</w:t>
      </w:r>
      <w:r w:rsidRPr="00E410C3">
        <w:rPr>
          <w:vertAlign w:val="superscript"/>
        </w:rPr>
        <w:t>7,8</w:t>
      </w:r>
      <w:r w:rsidRPr="00E410C3">
        <w:t>, Katherine R. Amato</w:t>
      </w:r>
      <w:r w:rsidRPr="00E410C3">
        <w:rPr>
          <w:vertAlign w:val="superscript"/>
        </w:rPr>
        <w:t>7</w:t>
      </w:r>
      <w:r w:rsidR="005C1673">
        <w:rPr>
          <w:vertAlign w:val="superscript"/>
        </w:rPr>
        <w:t>†</w:t>
      </w:r>
      <w:r w:rsidRPr="00E410C3">
        <w:t>, Andrew J. Marshall</w:t>
      </w:r>
      <w:r w:rsidRPr="00E410C3">
        <w:rPr>
          <w:vertAlign w:val="superscript"/>
        </w:rPr>
        <w:t>1,6,9, 10, 11</w:t>
      </w:r>
      <w:r w:rsidR="005C1673">
        <w:rPr>
          <w:vertAlign w:val="superscript"/>
        </w:rPr>
        <w:t>†</w:t>
      </w:r>
    </w:p>
    <w:p w14:paraId="137CB2DB" w14:textId="77777777" w:rsidR="00BC1EDA" w:rsidRPr="00E410C3" w:rsidRDefault="00BC1EDA" w:rsidP="00BC1EDA"/>
    <w:p w14:paraId="31E63AF3" w14:textId="77777777" w:rsidR="00BC1EDA" w:rsidRDefault="00BC1EDA" w:rsidP="00BC1EDA">
      <w:r w:rsidRPr="00E410C3">
        <w:rPr>
          <w:vertAlign w:val="superscript"/>
        </w:rPr>
        <w:t>1</w:t>
      </w:r>
      <w:r w:rsidRPr="00E410C3">
        <w:t xml:space="preserve">Department of Anthropology, University of Michigan, Ann Arbor, MI, United States, </w:t>
      </w:r>
      <w:r w:rsidRPr="00E410C3">
        <w:rPr>
          <w:vertAlign w:val="superscript"/>
        </w:rPr>
        <w:t>2</w:t>
      </w:r>
      <w:r w:rsidRPr="00E410C3">
        <w:t xml:space="preserve">Capuchinos de </w:t>
      </w:r>
      <w:proofErr w:type="spellStart"/>
      <w:r w:rsidRPr="00E410C3">
        <w:t>Taboga</w:t>
      </w:r>
      <w:proofErr w:type="spellEnd"/>
      <w:r w:rsidRPr="00E410C3">
        <w:t xml:space="preserve"> Research Project, </w:t>
      </w:r>
      <w:proofErr w:type="spellStart"/>
      <w:r w:rsidRPr="00E410C3">
        <w:t>Taboga</w:t>
      </w:r>
      <w:proofErr w:type="spellEnd"/>
      <w:r w:rsidRPr="00E410C3">
        <w:t xml:space="preserve"> Forest Reserve, Guanacaste, Costa Rica, </w:t>
      </w:r>
      <w:r>
        <w:rPr>
          <w:vertAlign w:val="superscript"/>
        </w:rPr>
        <w:t>3</w:t>
      </w:r>
      <w:r w:rsidRPr="00E410C3">
        <w:t>Department of Anthropology, Emory University, Atlanta, GA, United States,</w:t>
      </w:r>
      <w:r>
        <w:t xml:space="preserve"> </w:t>
      </w:r>
      <w:r>
        <w:rPr>
          <w:vertAlign w:val="superscript"/>
        </w:rPr>
        <w:t>4</w:t>
      </w:r>
      <w:r w:rsidRPr="00E410C3">
        <w:t>Department of Anthropology, Durham University, Durham, UK,</w:t>
      </w:r>
      <w:r>
        <w:t xml:space="preserve"> </w:t>
      </w:r>
      <w:r w:rsidRPr="00E410C3">
        <w:rPr>
          <w:vertAlign w:val="superscript"/>
        </w:rPr>
        <w:t>5</w:t>
      </w:r>
      <w:r w:rsidRPr="00E410C3">
        <w:t xml:space="preserve">Department of Psychology, University of Michigan, Ann Arbor, MI, United States, </w:t>
      </w:r>
      <w:r w:rsidRPr="00E410C3">
        <w:rPr>
          <w:vertAlign w:val="superscript"/>
        </w:rPr>
        <w:t>6</w:t>
      </w:r>
      <w:r w:rsidRPr="00E410C3">
        <w:t xml:space="preserve">Department of Ecology and Evolutionary Biology, University of Michigan, Ann Arbor, MI, United States, </w:t>
      </w:r>
      <w:r w:rsidRPr="00E410C3">
        <w:rPr>
          <w:vertAlign w:val="superscript"/>
        </w:rPr>
        <w:t>7</w:t>
      </w:r>
      <w:r w:rsidRPr="00E410C3">
        <w:t xml:space="preserve">Department of Anthropology, Northwestern University, Evanston, Illinois, </w:t>
      </w:r>
      <w:r w:rsidRPr="00E410C3">
        <w:rPr>
          <w:vertAlign w:val="superscript"/>
        </w:rPr>
        <w:t>8</w:t>
      </w:r>
      <w:r w:rsidRPr="00E410C3">
        <w:t xml:space="preserve">Department for the Promotion of Human Sciences and Quality of Life, San Raffaele University, 00166 Rome, Italy, </w:t>
      </w:r>
      <w:r w:rsidRPr="00E410C3">
        <w:rPr>
          <w:vertAlign w:val="superscript"/>
        </w:rPr>
        <w:t>9</w:t>
      </w:r>
      <w:r w:rsidRPr="00E410C3">
        <w:t xml:space="preserve">Program in the Environment, University of Michigan, Ann Arbor, MI, United States, </w:t>
      </w:r>
      <w:r w:rsidRPr="00E410C3">
        <w:rPr>
          <w:vertAlign w:val="superscript"/>
        </w:rPr>
        <w:t>10</w:t>
      </w:r>
      <w:r w:rsidRPr="00E410C3">
        <w:t xml:space="preserve">School for Environment and Sustainability, University of Michigan, Ann Arbor, MI, United States, </w:t>
      </w:r>
      <w:r w:rsidRPr="00E410C3">
        <w:rPr>
          <w:vertAlign w:val="superscript"/>
        </w:rPr>
        <w:t>11</w:t>
      </w:r>
      <w:r w:rsidRPr="00E410C3">
        <w:t xml:space="preserve">Program in Computing for the Arts and Sciences, University of Michigan, Ann Arbor, MI, United States </w:t>
      </w:r>
    </w:p>
    <w:p w14:paraId="68704960" w14:textId="77777777" w:rsidR="00BC1EDA" w:rsidRDefault="00BC1EDA" w:rsidP="00BC1EDA"/>
    <w:p w14:paraId="07F7F8A1" w14:textId="5868E933" w:rsidR="005C1673" w:rsidRDefault="005C1673" w:rsidP="00BC1EDA">
      <w:r>
        <w:t>*</w:t>
      </w:r>
      <w:r w:rsidR="00974119" w:rsidRPr="00974119">
        <w:t xml:space="preserve"> </w:t>
      </w:r>
      <w:r w:rsidR="00974119">
        <w:t xml:space="preserve">Corresponding author </w:t>
      </w:r>
      <w:r>
        <w:t xml:space="preserve"> </w:t>
      </w:r>
      <w:hyperlink r:id="rId5" w:history="1">
        <w:r w:rsidRPr="00040F15">
          <w:rPr>
            <w:rStyle w:val="Hyperlink"/>
          </w:rPr>
          <w:t>jlucore@umich.edu</w:t>
        </w:r>
      </w:hyperlink>
      <w:r>
        <w:t xml:space="preserve"> </w:t>
      </w:r>
      <w:r w:rsidR="00DD6126">
        <w:t>orchid id 0000-0002-2759-7412</w:t>
      </w:r>
    </w:p>
    <w:p w14:paraId="36BBE48E" w14:textId="6ED34968" w:rsidR="00BC1EDA" w:rsidRDefault="005C1673" w:rsidP="00BC1EDA">
      <w:r>
        <w:rPr>
          <w:vertAlign w:val="superscript"/>
        </w:rPr>
        <w:t>†</w:t>
      </w:r>
      <w:r w:rsidR="00974119">
        <w:rPr>
          <w:vertAlign w:val="superscript"/>
        </w:rPr>
        <w:t xml:space="preserve"> </w:t>
      </w:r>
      <w:r w:rsidR="00BC1EDA">
        <w:t>These authors contributed equally to this work.</w:t>
      </w:r>
    </w:p>
    <w:p w14:paraId="613BFF04" w14:textId="77777777" w:rsidR="00BC1EDA" w:rsidRDefault="00BC1EDA" w:rsidP="00BC1EDA"/>
    <w:p w14:paraId="3CE21D9B" w14:textId="1BC69EC4" w:rsidR="002C7F8C" w:rsidRDefault="002C7F8C" w:rsidP="002C7F8C">
      <w:r>
        <w:t xml:space="preserve">Abstract: Rising temperatures due to climate change are impacting the function of critical physiological processes in wild animals. Heat stress may compromise the gut microbiome’s ability to support essential host functions, highlighting an important pathway by which climate change could negatively affect numerous species. However, the relationship between the microbiome and heat stress has been studied primarily in experimental contexts and remains poorly understood in ecologically relevant environments. Here, we examine how natural thermal variation influences gut microbiome taxonomic composition and functional capacity in a wild population of white-face capuchin monkeys. </w:t>
      </w:r>
      <w:r w:rsidRPr="002E2B9C">
        <w:t xml:space="preserve">We find that high temperatures are associated </w:t>
      </w:r>
      <w:r w:rsidR="008454F4">
        <w:t xml:space="preserve">with altered </w:t>
      </w:r>
      <w:r w:rsidRPr="002E2B9C">
        <w:t xml:space="preserve">microbiome community-level diversity, taxonomic composition, and metabolic capacity consistent with physiological responses to heat stress. We also show that the microbiome’s response to high temperatures is linked to host immunity and may affect </w:t>
      </w:r>
      <w:r w:rsidR="00DD674D" w:rsidRPr="002E2B9C">
        <w:t>microbiome</w:t>
      </w:r>
      <w:r w:rsidRPr="002E2B9C">
        <w:t>-immune interactions. These results suggest that rising temperatures may compromise essential microbiome functions and highlight a potential mechanism by which climate change could negatively impact species through their microbiomes.</w:t>
      </w:r>
      <w:r>
        <w:t xml:space="preserve"> </w:t>
      </w:r>
    </w:p>
    <w:p w14:paraId="1921B324" w14:textId="77777777" w:rsidR="002C7F8C" w:rsidRDefault="002C7F8C" w:rsidP="00BC1EDA"/>
    <w:p w14:paraId="728EBD03" w14:textId="5EC2B334" w:rsidR="00BC1EDA" w:rsidRDefault="00BC1EDA" w:rsidP="005B0F26">
      <w:r>
        <w:t>Keywords: gut microbiome, neopterin, heat stress, endotherm</w:t>
      </w:r>
      <w:r w:rsidR="009304A2">
        <w:t xml:space="preserve">, climate change, </w:t>
      </w:r>
      <w:r w:rsidR="005C1673">
        <w:t xml:space="preserve">wild </w:t>
      </w:r>
      <w:r w:rsidR="009304A2">
        <w:t>primate</w:t>
      </w:r>
    </w:p>
    <w:p w14:paraId="42FBEE30" w14:textId="77777777" w:rsidR="00BC1EDA" w:rsidRDefault="00BC1EDA" w:rsidP="005B0F26"/>
    <w:p w14:paraId="7D2973ED" w14:textId="68F61120" w:rsidR="005B0F26" w:rsidRDefault="005B0F26" w:rsidP="005B0F26">
      <w:r>
        <w:t xml:space="preserve">Introduction: </w:t>
      </w:r>
    </w:p>
    <w:p w14:paraId="3A5150B2" w14:textId="77777777" w:rsidR="005B0F26" w:rsidRDefault="005B0F26" w:rsidP="005B0F26">
      <w:r>
        <w:t xml:space="preserve">Rising temperatures due to climate change are predicted to push species beyond their evolved thermal tolerances and challenge them to adapt to hotter climates </w:t>
      </w:r>
      <w:r>
        <w:fldChar w:fldCharType="begin"/>
      </w:r>
      <w:r>
        <w:instrText xml:space="preserve"> ADDIN ZOTERO_ITEM CSL_CITATION {"citationID":"8xiH9gLt","properties":{"formattedCitation":"({\\i{}1}, {\\i{}2})","plainCitation":"(1, 2)","noteIndex":0},"citationItems":[{"id":491,"uris":["http://zotero.org/users/13901503/items/YSCHU94H"],"itemData":{"id":491,"type":"article-journal","abstract":"Ecology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id":498,"uris":["http://zotero.org/users/13901503/items/S7CPPLIV"],"itemData":{"id":498,"type":"article-journal","abstract":"Understanding how species’ thermal limits have evolved across the tree of life is central to predicting species’ responses to climate change. Here, using experimentally-derived estimates of thermal tolerance limits for over 2000 terrestrial and aquatic species, we show that most of the variation in thermal tolerance can be attributed to a combination of adaptation to current climatic extremes, and the existence of evolutionary ‘attractors’ that reflect either boundaries or optima in thermal tolerance limits. Our results also reveal deep-time climate legacies in ectotherms, whereby orders that originated in cold paleoclimates have presently lower cold tolerance limits than those with warm thermal ancestry. Conversely, heat tolerance appears unrelated to climate ancestry. Cold tolerance has evolved more quickly than heat tolerance in endotherms and ectotherms. If the past tempo of evolution for upper thermal limits continues, adaptive responses in thermal limits will have limited potential to rescue the large majority of species given the unprecedented rate of contemporary climate change.","container-title":"Nature Communications","DOI":"10.1038/s41467-021-21263-8","ISSN":"2041-1723","issue":"1","journalAbbreviation":"Nat Commun","language":"en","license":"2021 The Author(s)","note":"publisher: Nature Publishing Group","page":"1198","source":"www-nature-com.proxy.lib.umich.edu","title":"The evolution of critical thermal limits of life on Earth","volume":"12","author":[{"family":"Bennett","given":"Joanne M."},{"family":"Sunday","given":"Jennifer"},{"family":"Calosi","given":"Piero"},{"family":"Villalobos","given":"Fabricio"},{"family":"Martínez","given":"Brezo"},{"family":"Molina-Venegas","given":"Rafael"},{"family":"Araújo","given":"Miguel B."},{"family":"Algar","given":"Adam C."},{"family":"Clusella-Trullas","given":"Susana"},{"family":"Hawkins","given":"Bradford A."},{"family":"Keith","given":"Sally A."},{"family":"Kühn","given":"Ingolf"},{"family":"Rahbek","given":"Carsten"},{"family":"Rodríguez","given":"Laura"},{"family":"Singer","given":"Alexander"},{"family":"Morales-Castilla","given":"Ignacio"},{"family":"Olalla-Tárraga","given":"Miguel Ángel"}],"issued":{"date-parts":[["2021",2,19]]}}}],"schema":"https://github.com/citation-style-language/schema/raw/master/csl-citation.json"} </w:instrText>
      </w:r>
      <w:r>
        <w:fldChar w:fldCharType="separate"/>
      </w:r>
      <w:r w:rsidRPr="00DD12D1">
        <w:t>(</w:t>
      </w:r>
      <w:r w:rsidRPr="00DD12D1">
        <w:rPr>
          <w:i/>
          <w:iCs/>
        </w:rPr>
        <w:t>1</w:t>
      </w:r>
      <w:r w:rsidRPr="00DD12D1">
        <w:t xml:space="preserve">, </w:t>
      </w:r>
      <w:r w:rsidRPr="00DD12D1">
        <w:rPr>
          <w:i/>
          <w:iCs/>
        </w:rPr>
        <w:t>2</w:t>
      </w:r>
      <w:r w:rsidRPr="00DD12D1">
        <w:t>)</w:t>
      </w:r>
      <w:r>
        <w:fldChar w:fldCharType="end"/>
      </w:r>
      <w:r>
        <w:t xml:space="preserve">. Efforts to evaluate the physiological consequences of heat stress in wild animals have shown that high temperatures can impair aerobic capacity, reducing oxygen availability to essential systems and compromising </w:t>
      </w:r>
      <w:r>
        <w:lastRenderedPageBreak/>
        <w:t xml:space="preserve">function </w:t>
      </w:r>
      <w:r>
        <w:fldChar w:fldCharType="begin"/>
      </w:r>
      <w:r>
        <w:instrText xml:space="preserve"> ADDIN ZOTERO_ITEM CSL_CITATION {"citationID":"hL1Q4y4w","properties":{"formattedCitation":"({\\i{}3}, {\\i{}4})","plainCitation":"(3, 4)","noteIndex":0},"citationItems":[{"id":253,"uris":["http://zotero.org/users/13901503/items/KVJPEW2S"],"itemData":{"id":253,"type":"article-journal","abstract":"In this review we consider how small-scale temporal and spatial variation in body temperature, and biochemical/physiological variation among individuals, affect the prediction of organisms’ performance in nature. For ‘normal’ body temperatures – benign temperatures near the species’ mean – thermal biology traditionally uses performance curves to describe how physiological capabilities vary with temperature. However, these curves, which are typically measured under static laboratory conditions, can yield incomplete or inaccurate predictions of how organisms respond to natural patterns of temperature variation. For example, scale transition theory predicts that, in a variable environment, peak average performance is lower and occurs at a lower mean temperature than the peak of statically measured performance. We also demonstrate that temporal variation in performance is minimized near this new ‘optimal’ temperature. These factors add complexity to predictions of the consequences of climate change. We then move beyond the performance curve approach to consider the effects of rare, extreme temperatures. A statistical procedure (the environmental bootstrap) allows for longterm simulations that capture the temporal pattern of extremes (a Poisson interval distribution), which is characterized by clusters of events interspersed with long intervals of benign conditions. The bootstrap can be combined with biophysical models to incorporate temporal, spatial and physiological variation into evolutionary models of thermal tolerance. We conclude with several challenges that must be overcome to more fully develop our understanding of thermal performance in the context of a changing climate by explicitly considering different forms of small-scale variation. These challenges highlight the need to empirically and rigorously test existing theories.","container-title":"Journal of Experimental Biology","DOI":"10.1242/jeb.114926","ISSN":"1477-9145, 0022-0949","issue":"12","language":"en","page":"1956-1967","source":"DOI.org (Crossref)","title":"Thermal variation, thermal extremes and the physiological performance of individuals","volume":"218","author":[{"family":"Dowd","given":"W. Wesley"},{"family":"King","given":"Felicia A."},{"family":"Denny","given":"Mark W."}],"editor":[{"family":"Podrabsky","given":"Jason E."},{"family":"Stillman","given":"Jonathon H."},{"family":"Tomanek","given":"Lars"}],"issued":{"date-parts":[["2015",6,1]]}}},{"id":496,"uris":["http://zotero.org/users/13901503/items/GUZQMB3I"],"itemData":{"id":496,"type":"article-journal","abstract":"A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O."},{"family":"Knust","given":"Rainer"}],"issued":{"date-parts":[["2007",1,5]]}}}],"schema":"https://github.com/citation-style-language/schema/raw/master/csl-citation.json"} </w:instrText>
      </w:r>
      <w:r>
        <w:fldChar w:fldCharType="separate"/>
      </w:r>
      <w:r w:rsidRPr="00DD12D1">
        <w:t>(</w:t>
      </w:r>
      <w:r w:rsidRPr="00DD12D1">
        <w:rPr>
          <w:i/>
          <w:iCs/>
        </w:rPr>
        <w:t>3</w:t>
      </w:r>
      <w:r w:rsidRPr="00DD12D1">
        <w:t xml:space="preserve">, </w:t>
      </w:r>
      <w:r w:rsidRPr="00DD12D1">
        <w:rPr>
          <w:i/>
          <w:iCs/>
        </w:rPr>
        <w:t>4</w:t>
      </w:r>
      <w:r w:rsidRPr="00DD12D1">
        <w:t>)</w:t>
      </w:r>
      <w:r>
        <w:fldChar w:fldCharType="end"/>
      </w:r>
      <w:r>
        <w:t xml:space="preserve">. Much of this research has focused on ectotherms, whose lack of physiological thermoregulation makes them particularly vulnerable to high temperatures </w:t>
      </w:r>
      <w:r>
        <w:fldChar w:fldCharType="begin"/>
      </w:r>
      <w:r>
        <w:instrText xml:space="preserve"> ADDIN ZOTERO_ITEM CSL_CITATION {"citationID":"FBJsjR0g","properties":{"formattedCitation":"({\\i{}4}\\uc0\\u8211{}{\\i{}6})","plainCitation":"(4–6)","noteIndex":0},"citationItems":[{"id":496,"uris":["http://zotero.org/users/13901503/items/GUZQMB3I"],"itemData":{"id":496,"type":"article-journal","abstract":"A cause-and-effect understanding of climate influences on ecosystems requires evaluation of thermal limits of member species and of their ability to cope with changing temperatures. Laboratory data available for marine fish and invertebrates from various climatic regions led to the hypothesis that, as a unifying principle, a mismatch between the demand for oxygen and the capacity of oxygen supply to tissues is the first mechanism to restrict whole-animal tolerance to thermal extremes. We show in the eelpout, Zoarces viviparus, a bioindicator fish species for environmental monitoring from North and Baltic Seas (Helcom), that thermally limited oxygen delivery closely matches environmental temperatures beyond which growth performance and abundance decrease. Decrements in aerobic performance in warming seas will thus be the first process to cause extinction or relocation to cooler waters.","container-title":"Science","DOI":"10.1126/science.1135471","issue":"5808","note":"publisher: American Association for the Advancement of Science","page":"95-97","source":"www-science-org.proxy.lib.umich.edu (Atypon)","title":"Climate Change Affects Marine Fishes Through the Oxygen Limitation of Thermal Tolerance","volume":"315","author":[{"family":"Pörtner","given":"Hans O."},{"family":"Knust","given":"Rainer"}],"issued":{"date-parts":[["2007",1,5]]}}},{"id":905,"uris":["http://zotero.org/users/13901503/items/3AZ25ELL"],"itemData":{"id":905,"type":"article-journal","abstract":"Thermal performance curves (TPCs), which quantify how an ectotherm's body temperature (Tb) affects its performance or fitness, are often used in an attempt to predict organismal responses to climate change. Here, we examine the key – but often biologically unreasonable – assumptions underlying this approach; for example, that physiology and thermal regimes are invariant over ontogeny, space and time, and also that TPCs are independent of previously experienced Tb. We show how a critical consideration of these assumptions can lead to biologically useful hypotheses and experimental designs. For example, rather than assuming that TPCs are fixed during ontogeny, one can measure TPCs for each major life stage and incorporate these into stage-specific ecological models to reveal the life stage most likely to be vulnerable to climate change. Our overall goal is to explicitly examine the assumptions underlying the integration of TPCs with Tb, to develop a framework within which empiricists can place their work within these limitations, and to facilitate the application of thermal physiology to understanding the biological implications of climate change.","container-title":"Ecology Letters","DOI":"10.1111/ele.12686","ISSN":"1461-0248","issue":"11","language":"en","license":"© 2016 John Wiley &amp; Sons Ltd/CNRS","note":"_eprint: https://onlinelibrary.wiley.com/doi/pdf/10.1111/ele.12686","page":"1372-1385","source":"Wiley Online Library","title":"Can we predict ectotherm responses to climate change using thermal performance curves and body temperatures?","volume":"19","author":[{"family":"Sinclair","given":"Brent J."},{"family":"Marshall","given":"Katie E."},{"family":"Sewell","given":"Mary A."},{"family":"Levesque","given":"Danielle L."},{"family":"Willett","given":"Christopher S."},{"family":"Slotsbo","given":"Stine"},{"family":"Dong","given":"Yunwei"},{"family":"Harley","given":"Christopher D. G."},{"family":"Marshall","given":"David J."},{"family":"Helmuth","given":"Brian S."},{"family":"Huey","given":"Raymond B."}],"issued":{"date-parts":[["2016"]]}}},{"id":458,"uris":["http://zotero.org/users/13901503/items/LZ3ZUX3G"],"itemData":{"id":458,"type":"article-journal","abstract":"Species in which ambient temperatures directly determine offspring sex may be at particular risk as global climates change. Whether or not climate change affects sex ratio depends upon the effectiveness of buffering mechanisms that link ambient regimes to actual nest temperatures. For example, females may simply lay nests earlier in the season, or in more shaded areas, such that incubation thermal regimes are unchanged despite massive ambient fluctuation. Based on eight years of monitoring nests over a 10-year period in the field at an alpine site in southeastern Australia, we show that, even though lizards (Bassiana duperreyi, Scincidae) have adjusted both nest depth and seasonal timing of oviposition in response to rising ambient temperatures, they have been unable to compensate entirely for climate change. That inability stems from the fact that the seasonal progression of soil temperatures, and thus, the degree to which thermal regimes at the time of laying predict subsequent conditions during incubation, also has shifted with climate change. As a result, mean incubation temperatures in natural nests now have crossed the thermal threshold at which incubation temperature directly affects offspring sex in this population.","container-title":"Ecology","DOI":"10.1890/08-1452.1","ISSN":"1939-9170","issue":"1","language":"en","note":"_eprint: https://esajournals.onlinelibrary.wiley.com/doi/pdf/10.1890/08-1452.1","page":"17-22","source":"Wiley Online Library","title":"Nesting lizards (Bassiana duperreyi) compensate partly, but not completely, for climate change","volume":"90","author":[{"family":"Telemeco","given":"Rory S."},{"family":"Elphick","given":"Melanie J."},{"family":"Shine","given":"Richard"}],"issued":{"date-parts":[["2009"]]}}}],"schema":"https://github.com/citation-style-language/schema/raw/master/csl-citation.json"} </w:instrText>
      </w:r>
      <w:r>
        <w:fldChar w:fldCharType="separate"/>
      </w:r>
      <w:r w:rsidRPr="00DD12D1">
        <w:t>(</w:t>
      </w:r>
      <w:r w:rsidRPr="00DD12D1">
        <w:rPr>
          <w:i/>
          <w:iCs/>
        </w:rPr>
        <w:t>4</w:t>
      </w:r>
      <w:r w:rsidRPr="00DD12D1">
        <w:t>–</w:t>
      </w:r>
      <w:r w:rsidRPr="00DD12D1">
        <w:rPr>
          <w:i/>
          <w:iCs/>
        </w:rPr>
        <w:t>6</w:t>
      </w:r>
      <w:r w:rsidRPr="00DD12D1">
        <w:t>)</w:t>
      </w:r>
      <w:r>
        <w:fldChar w:fldCharType="end"/>
      </w:r>
      <w:r>
        <w:t xml:space="preserve">. However, mounting evidence suggests that endotherms are also physiologically susceptible to heat </w:t>
      </w:r>
      <w:r>
        <w:fldChar w:fldCharType="begin"/>
      </w:r>
      <w:r>
        <w:instrText xml:space="preserve"> ADDIN ZOTERO_ITEM CSL_CITATION {"citationID":"vuu0n6TK","properties":{"formattedCitation":"({\\i{}7}, {\\i{}8})","plainCitation":"(7, 8)","noteIndex":0},"citationItems":[{"id":328,"uris":["http://zotero.org/users/13901503/items/NPXPNXIZ"],"itemData":{"id":328,"type":"article-journal","container-title":"Physiological and Biochemical Zoology","DOI":"10.1086/673313","ISSN":"1522-2152, 1537-5293","issue":"1","journalAbbreviation":"Physiological and Biochemical Zoology","language":"en","page":"30-45","source":"DOI.org (Crossref)","title":"Are Tropical Small Mammals Physiologically Vulnerable to Arrhenius Effects and Climate Change?","volume":"87","author":[{"family":"Lovegrove","given":"Barry G."},{"family":"Canale","given":"Cindy"},{"family":"Levesque","given":"Danielle"},{"family":"Fluch","given":"Gerhard"},{"family":"Řeháková-Petrů","given":"Milada"},{"family":"Ruf","given":"Thomas"}],"issued":{"date-parts":[["2014",1]]}}},{"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7</w:t>
      </w:r>
      <w:r w:rsidRPr="00DD12D1">
        <w:t xml:space="preserve">, </w:t>
      </w:r>
      <w:r w:rsidRPr="00DD12D1">
        <w:rPr>
          <w:i/>
          <w:iCs/>
        </w:rPr>
        <w:t>8</w:t>
      </w:r>
      <w:r w:rsidRPr="00DD12D1">
        <w:t>)</w:t>
      </w:r>
      <w:r>
        <w:fldChar w:fldCharType="end"/>
      </w:r>
      <w:r>
        <w:t xml:space="preserve">, and evolved thermoregulatory mechanisms may be increasingly insufficient to cope with prolonged periods of extreme heat. Recently, research has turned to assessing the role of host-associated microbiomes in shaping how species respond to heat stress. Animals have evolved complex relationships with the microbial communities (i.e., microbiomes) that live on and inside them to the extent that hosts rely on their microbiomes to support diverse aspects of their physiology. Accordingly, microbiomes may play a key role in determining the thermal tolerances of their host species </w:t>
      </w:r>
      <w:r>
        <w:fldChar w:fldCharType="begin"/>
      </w:r>
      <w:r>
        <w:instrText xml:space="preserve"> ADDIN ZOTERO_ITEM CSL_CITATION {"citationID":"3scd5kaI","properties":{"formattedCitation":"({\\i{}9}\\uc0\\u8211{}{\\i{}12})","plainCitation":"(9–12)","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D."}],"issued":{"date-parts":[["2023",6,14]]}}}],"schema":"https://github.com/citation-style-language/schema/raw/master/csl-citation.json"} </w:instrText>
      </w:r>
      <w:r>
        <w:fldChar w:fldCharType="separate"/>
      </w:r>
      <w:r w:rsidRPr="00B52801">
        <w:t>(</w:t>
      </w:r>
      <w:r w:rsidRPr="00B52801">
        <w:rPr>
          <w:i/>
          <w:iCs/>
        </w:rPr>
        <w:t>9</w:t>
      </w:r>
      <w:r w:rsidRPr="00B52801">
        <w:t>–</w:t>
      </w:r>
      <w:r w:rsidRPr="00B52801">
        <w:rPr>
          <w:i/>
          <w:iCs/>
        </w:rPr>
        <w:t>12</w:t>
      </w:r>
      <w:r w:rsidRPr="00B52801">
        <w:t>)</w:t>
      </w:r>
      <w:r>
        <w:fldChar w:fldCharType="end"/>
      </w:r>
      <w:r>
        <w:t xml:space="preserve"> because heat stress can deplete microbiome communities, and is associated with negative phenotypic, survivorship, and fitness outcomes </w:t>
      </w:r>
      <w:r>
        <w:fldChar w:fldCharType="begin"/>
      </w:r>
      <w:r>
        <w:instrText xml:space="preserve"> ADDIN ZOTERO_ITEM CSL_CITATION {"citationID":"3qkYmcJh","properties":{"formattedCitation":"({\\i{}13}, {\\i{}14})","plainCitation":"(13, 14)","noteIndex":0},"citationItems":[{"id":1939,"uris":["http://zotero.org/users/13901503/items/SAKGV5WG"],"itemData":{"id":1939,"type":"article-journal","abstract":"&lt;p&gt;The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sidRPr="00B52801">
        <w:t>(</w:t>
      </w:r>
      <w:r w:rsidRPr="00B52801">
        <w:rPr>
          <w:i/>
          <w:iCs/>
        </w:rPr>
        <w:t>13</w:t>
      </w:r>
      <w:r w:rsidRPr="00B52801">
        <w:t xml:space="preserve">, </w:t>
      </w:r>
      <w:r w:rsidRPr="00B52801">
        <w:rPr>
          <w:i/>
          <w:iCs/>
        </w:rPr>
        <w:t>14</w:t>
      </w:r>
      <w:r w:rsidRPr="00B52801">
        <w:t>)</w:t>
      </w:r>
      <w:r>
        <w:fldChar w:fldCharType="end"/>
      </w:r>
      <w:r>
        <w:t>. While this research highlights that heat is an important determinant of host-microbiome relationships, it has largely been conducted in laboratory settings and offers limited insight into how these dynamics function in ecologically relevant contexts.</w:t>
      </w:r>
    </w:p>
    <w:p w14:paraId="5C919168" w14:textId="77777777" w:rsidR="005B0F26" w:rsidRDefault="005B0F26" w:rsidP="005B0F26">
      <w:pPr>
        <w:ind w:firstLine="720"/>
      </w:pPr>
      <w:r>
        <w:t xml:space="preserve">The gastrointestinal tract is home to a particularly dense microbial community, the gut microbiome, that plays a crucial role in regulating host responses to environmental change </w:t>
      </w:r>
      <w:r>
        <w:fldChar w:fldCharType="begin"/>
      </w:r>
      <w:r>
        <w:instrText xml:space="preserve"> ADDIN ZOTERO_ITEM CSL_CITATION {"citationID":"kSWF8uoc","properties":{"formattedCitation":"({\\i{}15})","plainCitation":"(15)","noteIndex":0},"citationItems":[{"id":79,"uris":["http://zotero.org/users/13901503/items/C8P3HJIC"],"itemData":{"id":79,"type":"article-journal","abstract":"The mammalian gut is home to a diverse community of microbes. Advances in technology over the past two decades have allowed us to examine this community, the gut microbiota, in more detail, revealing a wide range of influences on host nutrition, health, and behavior. These host-gut microbe interactions appear to shape host plasticity and fitness in a variety of contexts, and therefore represent a key factor missing from existing models of human and non-human primate ecology and evolution. However, current studies of the gut microbiota tend to include limited contextual data or are clinical, making it difficult to directly test broad anthropological hypotheses. Here, I review what is known about the animal gut microbiota and provide examples of how gut microbiota research can be integrated into the study of human and non-human primate ecology and evolution with targeted data collection. Specifically, I examine how the gut microbiota may impact primate diet, energetics, disease resistance, and cognition. While gut microbiota research is proliferating rapidly, especially in the context of humans, there remain important gaps in our understanding of host-gut microbe interactions that will require an anthropological perspective to fill. Likewise, gut microbiota research will be an important tool for filling remaining gaps in anthropological research. Am J Phys Anthropol 159:S196–S215, 2016. © 2016 American Association of Physical Anthropologists","container-title":"American Journal of Physical Anthropology","DOI":"10.1002/ajpa.22908","ISSN":"1096-8644","issue":"S61","language":"en","license":"© 2016 American Association of Physical Anthropologists","note":"_eprint: https://onlinelibrary.wiley.com/doi/pdf/10.1002/ajpa.22908","page":"196-215","source":"Wiley Online Library","title":"Incorporating the gut microbiota into models of human and non-human primate ecology and evolution","volume":"159","author":[{"family":"Amato","given":"Katherine R."}],"issued":{"date-parts":[["2016"]]}}}],"schema":"https://github.com/citation-style-language/schema/raw/master/csl-citation.json"} </w:instrText>
      </w:r>
      <w:r>
        <w:fldChar w:fldCharType="separate"/>
      </w:r>
      <w:r w:rsidRPr="00B52801">
        <w:t>(</w:t>
      </w:r>
      <w:r w:rsidRPr="00B52801">
        <w:rPr>
          <w:i/>
          <w:iCs/>
        </w:rPr>
        <w:t>15</w:t>
      </w:r>
      <w:r w:rsidRPr="00B52801">
        <w:t>)</w:t>
      </w:r>
      <w:r>
        <w:fldChar w:fldCharType="end"/>
      </w:r>
      <w:r>
        <w:t>, making it an ideal system to explore how species may respond to rising temperatures.</w:t>
      </w:r>
      <w:r w:rsidRPr="00EB3A97">
        <w:t xml:space="preserve"> </w:t>
      </w:r>
      <w:r>
        <w:t xml:space="preserve">High temperatures have been shown to alter community composition </w:t>
      </w:r>
      <w:r>
        <w:fldChar w:fldCharType="begin"/>
      </w:r>
      <w:r>
        <w:instrText xml:space="preserve"> ADDIN ZOTERO_ITEM CSL_CITATION {"citationID":"CW8A05XN","properties":{"formattedCitation":"({\\i{}16})","plainCitation":"(16)","noteIndex":0},"citationItems":[{"id":960,"uris":["http://zotero.org/users/13901503/items/KQS25QFF"],"itemData":{"id":960,"type":"article-journal","abstract":"Temperature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Pr="00B52801">
        <w:t>(</w:t>
      </w:r>
      <w:r w:rsidRPr="00B52801">
        <w:rPr>
          <w:i/>
          <w:iCs/>
        </w:rPr>
        <w:t>16</w:t>
      </w:r>
      <w:r w:rsidRPr="00B52801">
        <w:t>)</w:t>
      </w:r>
      <w:r>
        <w:fldChar w:fldCharType="end"/>
      </w:r>
      <w:r w:rsidRPr="00EB3A97">
        <w:t xml:space="preserve"> </w:t>
      </w:r>
      <w:r>
        <w:t xml:space="preserve">and are linked to changes in host digestion, metabolism, and immune function </w:t>
      </w:r>
      <w:r>
        <w:fldChar w:fldCharType="begin"/>
      </w:r>
      <w:r>
        <w:instrText xml:space="preserve"> ADDIN ZOTERO_ITEM CSL_CITATION {"citationID":"AhT7VoQB","properties":{"formattedCitation":"({\\i{}17}\\uc0\\u8211{}{\\i{}20})","plainCitation":"(17–20)","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Pr="00B52801">
        <w:t>(</w:t>
      </w:r>
      <w:r w:rsidRPr="00B52801">
        <w:rPr>
          <w:i/>
          <w:iCs/>
        </w:rPr>
        <w:t>17</w:t>
      </w:r>
      <w:r w:rsidRPr="00B52801">
        <w:t>–</w:t>
      </w:r>
      <w:r w:rsidRPr="00B52801">
        <w:rPr>
          <w:i/>
          <w:iCs/>
        </w:rPr>
        <w:t>20</w:t>
      </w:r>
      <w:r w:rsidRPr="00B52801">
        <w:t>)</w:t>
      </w:r>
      <w:r>
        <w:fldChar w:fldCharType="end"/>
      </w:r>
      <w:r>
        <w:t xml:space="preserve">, but these relationships have yet to be demonstrated in wild populations. A common consequence of heat stress is redox imbalance— the accumulation of reactive oxygen species (ROS) that can damage cells </w:t>
      </w:r>
      <w:r>
        <w:fldChar w:fldCharType="begin"/>
      </w:r>
      <w:r>
        <w:instrText xml:space="preserve"> ADDIN ZOTERO_ITEM CSL_CITATION {"citationID":"BO0hXDLn","properties":{"formattedCitation":"({\\i{}21}, {\\i{}22})","plainCitation":"(21, 22)","noteIndex":0},"citationItems":[{"id":3717,"uris":["http://zotero.org/users/13901503/items/UEK27R7E"],"itemData":{"id":3717,"type":"article-journal","abstract":"In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Mrad"},{"family":"Manef","given":"Abdrabbah"}],"issued":{"date-parts":[["2014",11,1]]}}},{"id":3578,"uris":["http://zotero.org/users/13901503/items/P49Z4HNB"],"itemData":{"id":3578,"type":"article-journal","abstract":"The transcription factor nuclear factor erythroid 2-related factor 2 (NRF2) is a key regulator of the cellular antioxidant response, controlling the expression of genes that counteract oxidative and electrophilic stresses. Many pathological conditions are linked to imbalances in redox homeostasis, illustrating the important role of antioxidant defense systems in preventing the pathogenic effects associated with the accumulation of reactive species. In particular, it is becoming increasingly apparent that the accumulation of lipid peroxides has an important role in driving the pathogenesis of multiple disease states. A key example of this is the recent discovery of a novel form of cell death termed ferroptosis. Ferroptosis is an iron-dependent, lipid peroxidation-driven cell death cascade that has become a key target in the development of anti-cancer therapies, as well as the prevention of neurodegenerative and cardiovascular diseases. In this review, we will provide a brief overview of lipid peroxidation, as well as key components involved in the ferroptotic cascade. We will also highlight the role of the NRF2 signaling pathway in mediating lipid peroxidation and ferroptosis, focusing on established NRF2 target genes that mitigate these pathways, as well as the relevance of the NRF2-lipid peroxidation-ferroptosis axis in disease.","collection-title":"Lipoxidation targets: from basic mechanisms to pathophysiology","container-title":"Redox Biology","DOI":"10.1016/j.redox.2019.101107","ISSN":"2213-2317","journalAbbreviation":"Redox Biology","page":"101107","source":"ScienceDirect","title":"NRF2 plays a critical role in mitigating lipid peroxidation and ferroptosis","volume":"23","author":[{"family":"Dodson","given":"Matthew"},{"family":"Castro-Portuguez","given":"Raul"},{"family":"Zhang","given":"Donna D."}],"issued":{"date-parts":[["2019",5,1]]}}}],"schema":"https://github.com/citation-style-language/schema/raw/master/csl-citation.json"} </w:instrText>
      </w:r>
      <w:r>
        <w:fldChar w:fldCharType="separate"/>
      </w:r>
      <w:r w:rsidRPr="00B52801">
        <w:t>(</w:t>
      </w:r>
      <w:r w:rsidRPr="00B52801">
        <w:rPr>
          <w:i/>
          <w:iCs/>
        </w:rPr>
        <w:t>21</w:t>
      </w:r>
      <w:r w:rsidRPr="00B52801">
        <w:t xml:space="preserve">, </w:t>
      </w:r>
      <w:r w:rsidRPr="00B52801">
        <w:rPr>
          <w:i/>
          <w:iCs/>
        </w:rPr>
        <w:t>22</w:t>
      </w:r>
      <w:r w:rsidRPr="00B52801">
        <w:t>)</w:t>
      </w:r>
      <w:r>
        <w:fldChar w:fldCharType="end"/>
      </w:r>
      <w:r>
        <w:t xml:space="preserve">, compromise the epithelial barrier </w:t>
      </w:r>
      <w:r>
        <w:fldChar w:fldCharType="begin"/>
      </w:r>
      <w:r>
        <w:instrText xml:space="preserve"> ADDIN ZOTERO_ITEM CSL_CITATION {"citationID":"p6SP8MSV","properties":{"formattedCitation":"({\\i{}23})","plainCitation":"(23)","noteIndex":0},"citationItems":[{"id":3191,"uris":["http://zotero.org/users/13901503/items/EJNDQDMH"],"itemData":{"id":3191,"type":"article-journal","abstract":"The purpose of this study was to characterize intestinal permeability changes over a range of physiologically relevant body temperatures in vivo and in vitro. Initially, FITC-dextran (4,000 Da), a large fluorescent molecule, was loaded into the small intestine of anesthetized rats. The rats were then maintained at </w:instrText>
      </w:r>
      <w:r>
        <w:rPr>
          <w:rFonts w:ascii="Cambria Math" w:hAnsi="Cambria Math" w:cs="Cambria Math"/>
        </w:rPr>
        <w:instrText>∼</w:instrText>
      </w:r>
      <w:r>
        <w:instrText xml:space="preserve">37°C or heated over 90 min to a core body temperature of </w:instrText>
      </w:r>
      <w:r>
        <w:rPr>
          <w:rFonts w:ascii="Cambria Math" w:hAnsi="Cambria Math" w:cs="Cambria Math"/>
        </w:rPr>
        <w:instrText>∼</w:instrText>
      </w:r>
      <w:r>
        <w:instrText xml:space="preserve">41, </w:instrText>
      </w:r>
      <w:r>
        <w:rPr>
          <w:rFonts w:ascii="Cambria Math" w:hAnsi="Cambria Math" w:cs="Cambria Math"/>
        </w:rPr>
        <w:instrText>∼</w:instrText>
      </w:r>
      <w:r>
        <w:instrText xml:space="preserve">41.5, or </w:instrText>
      </w:r>
      <w:r>
        <w:rPr>
          <w:rFonts w:ascii="Cambria Math" w:hAnsi="Cambria Math" w:cs="Cambria Math"/>
        </w:rPr>
        <w:instrText>∼</w:instrText>
      </w:r>
      <w:r>
        <w:instrText xml:space="preserve">42.5°C. Permeability was greater in the 42.5°C group compared with the 37, 41, or 41.5°C groups. Histological analysis revealed intestinal epithelial damage in heated groups. Everted intestinal sacs were then used to further characterize hyperthermia-induced intestinal permeability and to study the potential role of oxidative and nitrosative stress. Increased permeability to 4,000-Da FITC-dextran in both small intestinal and colonic sacs was observed at a temperature of 41.5–42°C compared with 37°C, along with widespread intestinal epithelial damage. Administration of antioxidant enzyme mimics or a nitric oxide synthase inhibitor did not reduce permeability due to heat stress, and tissue concentrations of a lipid peroxidation product were not altered by heat stress, suggesting that oxidative and nitrosative stress were not likely mediators of this phenomenon in vitro. In conclusion, hyperthermia produced increased permeability and marked intestinal epithelial damage both in vivo and in vitro, suggesting that thermal disruption of epithelial membranes contributes to the intestinal barrier dysfunction manifested with heat stress.","container-title":"Journal of Applied Physiology","DOI":"10.1152/japplphysiol.00787.2001","ISSN":"8750-7587","issue":"4","note":"publisher: American Physiological Society","page":"1750-1761","source":"journals.physiology.org (Atypon)","title":"Selected Contribution: Hyperthermia-induced intestinal  permeability and the role of oxidative  and nitrosative stress","title-short":"Selected Contribution","volume":"92","author":[{"family":"Lambert","given":"G. P."},{"family":"Gisolfi","given":"C. V."},{"family":"Berg","given":"D. J."},{"family":"Moseley","given":"P. L."},{"family":"Oberley","given":"L. W."},{"family":"Kregel","given":"K. C."}],"issued":{"date-parts":[["2002",4]]}}}],"schema":"https://github.com/citation-style-language/schema/raw/master/csl-citation.json"} </w:instrText>
      </w:r>
      <w:r>
        <w:fldChar w:fldCharType="separate"/>
      </w:r>
      <w:r w:rsidRPr="00B52801">
        <w:t>(</w:t>
      </w:r>
      <w:r w:rsidRPr="00B52801">
        <w:rPr>
          <w:i/>
          <w:iCs/>
        </w:rPr>
        <w:t>23</w:t>
      </w:r>
      <w:r w:rsidRPr="00B52801">
        <w:t>)</w:t>
      </w:r>
      <w:r>
        <w:fldChar w:fldCharType="end"/>
      </w:r>
      <w:r>
        <w:t xml:space="preserve">, and trigger immune activation </w:t>
      </w:r>
      <w:r>
        <w:fldChar w:fldCharType="begin"/>
      </w:r>
      <w:r>
        <w:instrText xml:space="preserve"> ADDIN ZOTERO_ITEM CSL_CITATION {"citationID":"XmY2intM","properties":{"formattedCitation":"({\\i{}24})","plainCitation":"(24)","noteIndex":0},"citationItems":[{"id":430,"uris":["http://zotero.org/users/13901503/items/SNI7JEF9"],"itemData":{"id":430,"type":"article-journal","abstract":"High ambient temperature has multiple potential effects on the organism such as hyperthermia, endotoxemia, and/or systemic inflammation. However, it is often difficult to discriminate between cause and consequence of phenotypic effects, such as the indirect influence of heat stress via reduced food intake. Lactating dairy cows are a particularly sensitive model to examine the effects of heat stress due to their intensive metabolic heat production and small surface:volume ratio. Results from this model show heat stress directly induced a so-far unknown infiltration of yet uncategorized cells into the mucosa and submucosa of the jejunum. Due to a pair-feeding design, we can exclude this effect being a consequence of the concurrent heat-induced reduction in feed intake. Isolation and characterization of the infiltrating cells using laser capture microdissection and RNA sequencing indicated a myeloic origin and macrophage-like phenotype. Furthermore, targeted transcriptome analyses provided evidence of activated immune- and phagocytosis-related pathways with LPS and cytokines as upstream regulators directly associated with heat stress. Finally, we obtained indication that heat stress may directly alter jejunal tight junction proteins suggesting an impaired intestinal barrier. The penetration of toxic and bacterial compounds during heat stress may have triggered a modulated immune repertoire and induced an antioxidative defense mechanism to maintain homeostasis between commensal bacteria and the jejunal immune system. Our bovine model indicates direct effects of heat stress on the jejunum of mammals already at moderately elevated ambient temperature. These results need to be considered when developing concepts to combat the negative consequences of heat stress.","container-title":"Proceedings of the National Academy of Sciences","DOI":"10.1073/pnas.1820130116","issue":"21","note":"publisher: Proceedings of the National Academy of Sciences","page":"10333-10338","source":"www-pnas-org.proxy.lib.umich.edu (Atypon)","title":"Heat stress directly impairs gut integrity and recruits distinct immune cell populations into the bovine intestine","volume":"116","author":[{"family":"Koch","given":"Franziska"},{"family":"Thom","given":"Ulrike"},{"family":"Albrecht","given":"Elke"},{"family":"Weikard","given":"Rosemarie"},{"family":"Nolte","given":"Wietje"},{"family":"Kuhla","given":"Björn"},{"family":"Kuehn","given":"Christa"}],"issued":{"date-parts":[["2019",5,21]]}}}],"schema":"https://github.com/citation-style-language/schema/raw/master/csl-citation.json"} </w:instrText>
      </w:r>
      <w:r>
        <w:fldChar w:fldCharType="separate"/>
      </w:r>
      <w:r w:rsidRPr="00B52801">
        <w:t>(</w:t>
      </w:r>
      <w:r w:rsidRPr="00B52801">
        <w:rPr>
          <w:i/>
          <w:iCs/>
        </w:rPr>
        <w:t>24</w:t>
      </w:r>
      <w:r w:rsidRPr="00B52801">
        <w:t>)</w:t>
      </w:r>
      <w:r>
        <w:fldChar w:fldCharType="end"/>
      </w:r>
      <w:r>
        <w:t xml:space="preserve">. Gut microbes typically help maintain redox balance </w:t>
      </w:r>
      <w:r>
        <w:fldChar w:fldCharType="begin"/>
      </w:r>
      <w:r>
        <w:instrText xml:space="preserve"> ADDIN ZOTERO_ITEM CSL_CITATION {"citationID":"yxSWjnfP","properties":{"formattedCitation":"({\\i{}25}\\uc0\\u8211{}{\\i{}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Pr="00B52801">
        <w:t>(</w:t>
      </w:r>
      <w:r w:rsidRPr="00B52801">
        <w:rPr>
          <w:i/>
          <w:iCs/>
        </w:rPr>
        <w:t>25</w:t>
      </w:r>
      <w:r w:rsidRPr="00B52801">
        <w:t>–</w:t>
      </w:r>
      <w:r w:rsidRPr="00B52801">
        <w:rPr>
          <w:i/>
          <w:iCs/>
        </w:rPr>
        <w:t>27</w:t>
      </w:r>
      <w:r w:rsidRPr="00B52801">
        <w:t>)</w:t>
      </w:r>
      <w:r>
        <w:fldChar w:fldCharType="end"/>
      </w:r>
      <w:r>
        <w:t>, but heat-induced changes in community composition have been linked to</w:t>
      </w:r>
      <w:r w:rsidRPr="00517B83">
        <w:t xml:space="preserve"> </w:t>
      </w:r>
      <w:r>
        <w:t xml:space="preserve">reduced antioxidant metabolism </w:t>
      </w:r>
      <w:r>
        <w:fldChar w:fldCharType="begin"/>
      </w:r>
      <w:r>
        <w:instrText xml:space="preserve"> ADDIN ZOTERO_ITEM CSL_CITATION {"citationID":"AZa8n4Us","properties":{"formattedCitation":"({\\i{}28}, {\\i{}29})","plainCitation":"(28, 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fldChar w:fldCharType="separate"/>
      </w:r>
      <w:r w:rsidRPr="00B52801">
        <w:t>(</w:t>
      </w:r>
      <w:r w:rsidRPr="00B52801">
        <w:rPr>
          <w:i/>
          <w:iCs/>
        </w:rPr>
        <w:t>28</w:t>
      </w:r>
      <w:r w:rsidRPr="00B52801">
        <w:t xml:space="preserve">, </w:t>
      </w:r>
      <w:r w:rsidRPr="00B52801">
        <w:rPr>
          <w:i/>
          <w:iCs/>
        </w:rPr>
        <w:t>29</w:t>
      </w:r>
      <w:r w:rsidRPr="00B52801">
        <w:t>)</w:t>
      </w:r>
      <w:r>
        <w:fldChar w:fldCharType="end"/>
      </w:r>
      <w:r>
        <w:t xml:space="preserve"> and increased epithelial damage </w:t>
      </w:r>
      <w:r>
        <w:fldChar w:fldCharType="begin"/>
      </w:r>
      <w:r>
        <w:instrText xml:space="preserve"> ADDIN ZOTERO_ITEM CSL_CITATION {"citationID":"8vD9oF4J","properties":{"formattedCitation":"({\\i{}30})","plainCitation":"(30)","noteIndex":0},"citationItems":[{"id":3294,"uris":["http://zotero.org/users/13901503/items/K5DSCTE2"],"itemData":{"id":3294,"type":"article-journal","abstract":"Heat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Pr="00B52801">
        <w:t>(</w:t>
      </w:r>
      <w:r w:rsidRPr="00B52801">
        <w:rPr>
          <w:i/>
          <w:iCs/>
        </w:rPr>
        <w:t>30</w:t>
      </w:r>
      <w:r w:rsidRPr="00B52801">
        <w:t>)</w:t>
      </w:r>
      <w:r>
        <w:fldChar w:fldCharType="end"/>
      </w:r>
      <w:r>
        <w:t xml:space="preserve">. These redox shifts may disrupt oxygen gradients, favoring facultative anaerobes over obligate anaerobes. This is supported across a variety of vertebrate species where high temperatures are consistently associated with declines in Firmicutes and </w:t>
      </w:r>
      <w:proofErr w:type="spellStart"/>
      <w:r>
        <w:t>Bacteroidota</w:t>
      </w:r>
      <w:proofErr w:type="spellEnd"/>
      <w:r>
        <w:t xml:space="preserve"> </w:t>
      </w:r>
      <w:r>
        <w:fldChar w:fldCharType="begin"/>
      </w:r>
      <w:r>
        <w:instrText xml:space="preserve"> ADDIN ZOTERO_ITEM CSL_CITATION {"citationID":"FwhvEzZp","properties":{"formattedCitation":"({\\i{}20}, {\\i{}31}, {\\i{}32})","plainCitation":"(20, 31, 32)","noteIndex":0},"citationItems":[{"id":3042,"uris":["http://zotero.org/users/13901503/items/AZMFVA5Z"],"itemData":{"id":3042,"type":"article-journal","abstract":"Heat stress can impair the rabbit immune system, induce oxidative stress, and cause many complications. These diseases are characterized by metabolic disorders, but the underlying mechanism is unknown. As a result, the current research determines the effects of HS on intestinal microorganisms in rabbits and the metabolic pathway disorders caused by HS. Twelve rabbits were randomly assigned to one of two groups: CON (22–24°C) and HS (30°C–32°C). Both the groups were treated for 15 days. Blood and fecal samples were collected on day 15. Serum immune oxidation indices were determined using a commercial ELISA kit, and the microbiome of rabbit feces was studied using 16S rRNA gene sequencing. Non-targeted metabolomics was analyzed using ultra-high-performance liquid chromatography-mass spectrometry (UHPC MS/MS). The findings revealed that HS significantly increased IgG and T-AOC levels in serum, whereas it decreased TNF-α and IL-10. NMDS analysis revealed a substantial difference in bacterial community composition between HS and CON groups. At the phylum level, the abundance of Firmicutes, Protobacteria, and Verrucomicrobiota was significantly higher in the HS group, whereas the abundance of Bacteriodota was reduced in the CON group. V9D2013 group, Haloplasma, Comamonas, Clostridium sensu stricto 1, Ruminiclostridium, Syntrophus Lutispora, at the genus level Syntrophorhabdus, Paeniclostridium, Clostridium sensu stricto 6, Candidatus Caldatribacterium, Spirochaeta Synergistaceae, Syner-01, [Eubacterium] xylanophilum group, Cellulosilyticum, ADurb.Bin120, and Devosia were significantly upregulated in the HS group. The metabolism of the HS group was considerably upregulated compared with the metabolism of the CON group, according to principal component analysis (PCA) and least-squares discriminant analysis (PLS-DA). HS increased the concentrations of 4-pyridoxic acid, kynurenine, 20-OH-leukotriene B4, and dopamine and decreased the concentration of pyridoxal. In the rabbit gut, these compounds primarily impact the metabolic pathways of vitamin B6, tryptophan, neutrophil activation, and prolactin. 4-Pyridoxic acid, pyridoxal, kynurenine, 20-OH-leukotriene B4, and dopamine are essential inflammatory response markers and oxidative stress.","container-title":"Frontiers in Microbiology","DOI":"10.3389/fmicb.2021.817615","ISSN":"1664-302X","journalAbbreviation":"Front. Microbiol.","language":"English","note":"publisher: Frontiers","source":"Frontiers","title":"Heat Stress Affects Faecal Microbial and Metabolic Alterations of Rabbits","URL":"https://www.frontiersin.orghttps//www.frontiersin.org/journals/microbiology/articles/10.3389/fmicb.2021.817615/full","volume":"12","author":[{"family":"Bai","given":"Xue"},{"family":"Shi","given":"Yu"},{"family":"Tang","given":"Lipeng"},{"family":"Chen","given":"Li"},{"family":"Fan","given":"Huimei"},{"family":"Wang","given":"Haoding"},{"family":"Wang","given":"Jie"},{"family":"Jia","given":"Xianbo"},{"family":"Chen","given":"Shiyi"},{"family":"Lai","given":"Songjia"}],"accessed":{"date-parts":[["2025",5,1]]},"issued":{"date-parts":[["2022",2,28]]}}},{"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Pr="00B52801">
        <w:t>(</w:t>
      </w:r>
      <w:r w:rsidRPr="00B52801">
        <w:rPr>
          <w:i/>
          <w:iCs/>
        </w:rPr>
        <w:t>20</w:t>
      </w:r>
      <w:r w:rsidRPr="00B52801">
        <w:t xml:space="preserve">, </w:t>
      </w:r>
      <w:r w:rsidRPr="00B52801">
        <w:rPr>
          <w:i/>
          <w:iCs/>
        </w:rPr>
        <w:t>31</w:t>
      </w:r>
      <w:r w:rsidRPr="00B52801">
        <w:t xml:space="preserve">, </w:t>
      </w:r>
      <w:r w:rsidRPr="00B52801">
        <w:rPr>
          <w:i/>
          <w:iCs/>
        </w:rPr>
        <w:t>32</w:t>
      </w:r>
      <w:r w:rsidRPr="00B52801">
        <w:t>)</w:t>
      </w:r>
      <w:r>
        <w:fldChar w:fldCharType="end"/>
      </w:r>
      <w:r>
        <w:t xml:space="preserve">, phyla composed primarily of obligate anaerobes lacking robust ROS defenses </w:t>
      </w:r>
      <w:r>
        <w:fldChar w:fldCharType="begin"/>
      </w:r>
      <w:r>
        <w:instrText xml:space="preserve"> ADDIN ZOTERO_ITEM CSL_CITATION {"citationID":"li75gYnN","properties":{"formattedCitation":"({\\i{}33}, {\\i{}34})","plainCitation":"(33, 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Pr="00B52801">
        <w:t>(</w:t>
      </w:r>
      <w:r w:rsidRPr="00B52801">
        <w:rPr>
          <w:i/>
          <w:iCs/>
        </w:rPr>
        <w:t>33</w:t>
      </w:r>
      <w:r w:rsidRPr="00B52801">
        <w:t xml:space="preserve">, </w:t>
      </w:r>
      <w:r w:rsidRPr="00B52801">
        <w:rPr>
          <w:i/>
          <w:iCs/>
        </w:rPr>
        <w:t>34</w:t>
      </w:r>
      <w:r w:rsidRPr="00B52801">
        <w:t>)</w:t>
      </w:r>
      <w:r>
        <w:fldChar w:fldCharType="end"/>
      </w:r>
      <w:r>
        <w:t xml:space="preserve">, and increases in Proteobacteria </w:t>
      </w:r>
      <w:r>
        <w:fldChar w:fldCharType="begin"/>
      </w:r>
      <w:r>
        <w:instrText xml:space="preserve"> ADDIN ZOTERO_ITEM CSL_CITATION {"citationID":"SGLa3gqs","properties":{"formattedCitation":"({\\i{}16})","plainCitation":"(16)","noteIndex":0},"citationItems":[{"id":960,"uris":["http://zotero.org/users/13901503/items/KQS25QFF"],"itemData":{"id":960,"type":"article-journal","abstract":"Temperature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sidRPr="00B52801">
        <w:t>(</w:t>
      </w:r>
      <w:r w:rsidRPr="00B52801">
        <w:rPr>
          <w:i/>
          <w:iCs/>
        </w:rPr>
        <w:t>16</w:t>
      </w:r>
      <w:r w:rsidRPr="00B52801">
        <w:t>)</w:t>
      </w:r>
      <w:r>
        <w:fldChar w:fldCharType="end"/>
      </w:r>
      <w:r>
        <w:t xml:space="preserve">, a phylum dominated by facultative anaerobes that thrive in higher-oxygen conditions </w:t>
      </w:r>
      <w:r>
        <w:fldChar w:fldCharType="begin"/>
      </w:r>
      <w:r>
        <w:instrText xml:space="preserve"> ADDIN ZOTERO_ITEM CSL_CITATION {"citationID":"hywOAMMP","properties":{"formattedCitation":"({\\i{}35}, {\\i{}36})","plainCitation":"(35, 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Pr="00B52801">
        <w:t>(</w:t>
      </w:r>
      <w:r w:rsidRPr="00B52801">
        <w:rPr>
          <w:i/>
          <w:iCs/>
        </w:rPr>
        <w:t>35</w:t>
      </w:r>
      <w:r w:rsidRPr="00B52801">
        <w:t xml:space="preserve">, </w:t>
      </w:r>
      <w:r w:rsidRPr="00B52801">
        <w:rPr>
          <w:i/>
          <w:iCs/>
        </w:rPr>
        <w:t>36</w:t>
      </w:r>
      <w:r w:rsidRPr="00B52801">
        <w:t>)</w:t>
      </w:r>
      <w:r>
        <w:fldChar w:fldCharType="end"/>
      </w:r>
      <w:r>
        <w:t>.</w:t>
      </w:r>
    </w:p>
    <w:p w14:paraId="57842D54" w14:textId="13FF7063" w:rsidR="005B0F26" w:rsidRDefault="005B0F26" w:rsidP="005B0F26">
      <w:pPr>
        <w:ind w:firstLine="720"/>
      </w:pPr>
      <w:r>
        <w:t>The loss of obligate anaerobes during heat stress could affect the relationship between the gut microbiome and the immune system. Many obligate anaerobes ferment dietary fiber and produce short-chain fatty acids (SCFAs)</w:t>
      </w:r>
      <w:r>
        <w:fldChar w:fldCharType="begin"/>
      </w:r>
      <w:r>
        <w:instrText xml:space="preserve"> ADDIN ZOTERO_ITEM CSL_CITATION {"citationID":"4EOAwxYn","properties":{"formattedCitation":"({\\i{}37}\\uc0\\u8211{}{\\i{}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C."}],"issued":{"date-parts":[["2014",12,24]]}}}],"schema":"https://github.com/citation-style-language/schema/raw/master/csl-citation.json"} </w:instrText>
      </w:r>
      <w:r>
        <w:fldChar w:fldCharType="separate"/>
      </w:r>
      <w:r w:rsidRPr="00B52801">
        <w:t>(</w:t>
      </w:r>
      <w:r w:rsidRPr="00B52801">
        <w:rPr>
          <w:i/>
          <w:iCs/>
        </w:rPr>
        <w:t>37</w:t>
      </w:r>
      <w:r w:rsidRPr="00B52801">
        <w:t>–</w:t>
      </w:r>
      <w:r w:rsidRPr="00B52801">
        <w:rPr>
          <w:i/>
          <w:iCs/>
        </w:rPr>
        <w:t>39</w:t>
      </w:r>
      <w:r w:rsidRPr="00B52801">
        <w:t>)</w:t>
      </w:r>
      <w:r>
        <w:fldChar w:fldCharType="end"/>
      </w:r>
      <w:r>
        <w:t xml:space="preserve">, which support anti-inflammatory mechanisms that promote immune tolerance of the microbiome </w:t>
      </w:r>
      <w:r>
        <w:fldChar w:fldCharType="begin"/>
      </w:r>
      <w:r>
        <w:instrText xml:space="preserve"> ADDIN ZOTERO_ITEM CSL_CITATION {"citationID":"KBg1IspQ","properties":{"formattedCitation":"({\\i{}40}\\uc0\\u8211{}{\\i{}43})","plainCitation":"(40–43)","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id":3170,"uris":["http://zotero.org/users/13901503/items/NFAARTHA"],"itemData":{"id":3170,"type":"article-journal","abstract":"A growing body of research suggests that short-chain fatty acids (SCFAs), metabolites produced by intestinal symbiotic bacteria that ferment dietary fibers (DFs), play a crucial role in the health status of symbiotes. SCFAs act on a variety of cell types to regulate important biological processes, including host metabolism, intestinal function, and immune function. SCFAs also affect the function and fate of immune cells. This finding provides a new concept in immune metabolism and a better understanding of the regulatory role of SCFAs in the immune system, which impacts the prevention and treatment of disease. The mechanism by which SCFAs induce or regulate the immune response is becoming increasingly clear. This review summarizes the different mechanisms through which SCFAs act in cells. According to the latest research, the regulatory role of SCFAs in the innate immune system, including in NLRP3 inflammasomes, receptors of TLR family members, neutrophils, macrophages, natural killer cells, eosinophils, basophils and innate lymphocyte subsets, is emphasized. The regulatory role of SCFAs in the adaptive immune system, including in T-cell subsets, B cells, and plasma cells, is also highlighted. In addition, we discuss the role that SCFAs play in regulating allergic airway inflammation, colitis, and osteoporosis by influencing the immune system. These findings provide evidence for determining treatment options based on metabolic regulation.","container-title":"Frontiers in Immunology","DOI":"10.3389/fimmu.2023.1186892","ISSN":"1664-3224","journalAbbreviation":"Front Immunol","note":"PMID: 37215145\nPMCID: PMC10196242","page":"1186892","source":"PubMed Central","title":"Regulation of short-chain fatty acids in the immune system","volume":"14","author":[{"family":"Liu","given":"Xiao-feng"},{"family":"Shao","given":"Jia-hao"},{"family":"Liao","given":"Yi-Tao"},{"family":"Wang","given":"Li-Ning"},{"family":"Jia","given":"Yuan"},{"family":"Dong","given":"Peng-jun"},{"family":"Liu","given":"Zhi-zhong"},{"family":"He","given":"Dan-dan"},{"family":"Li","given":"Chao"},{"family":"Zhang","given":"Xian"}],"issued":{"date-parts":[["2023",5,5]]}}}],"schema":"https://github.com/citation-style-language/schema/raw/master/csl-citation.json"} </w:instrText>
      </w:r>
      <w:r>
        <w:fldChar w:fldCharType="separate"/>
      </w:r>
      <w:r w:rsidRPr="00B52801">
        <w:t>(</w:t>
      </w:r>
      <w:r w:rsidRPr="00B52801">
        <w:rPr>
          <w:i/>
          <w:iCs/>
        </w:rPr>
        <w:t>40</w:t>
      </w:r>
      <w:r w:rsidRPr="00B52801">
        <w:t>–</w:t>
      </w:r>
      <w:r w:rsidRPr="00B52801">
        <w:rPr>
          <w:i/>
          <w:iCs/>
        </w:rPr>
        <w:t>43</w:t>
      </w:r>
      <w:r w:rsidRPr="00B52801">
        <w:t>)</w:t>
      </w:r>
      <w:r>
        <w:fldChar w:fldCharType="end"/>
      </w:r>
      <w:r>
        <w:t xml:space="preserve">. A loss of these obligate anaerobes could result in reduced SCFAs and impact the immune system. Experimental studies evaluating the effects of acute heat stress in livestock show that exposure to high temperatures is associated with reduced SCFA concentrations </w:t>
      </w:r>
      <w:r>
        <w:fldChar w:fldCharType="begin"/>
      </w:r>
      <w:r>
        <w:instrText xml:space="preserve"> ADDIN ZOTERO_ITEM CSL_CITATION {"citationID":"96RB1402","properties":{"formattedCitation":"({\\i{}19})","plainCitation":"(19)","noteIndex":0},"citationItems":[{"id":1974,"uris":["http://zotero.org/users/13901503/items/TEZ5HVYB"],"itemData":{"id":1974,"type":"article-journal","abstract":"The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sidRPr="00B52801">
        <w:t>(</w:t>
      </w:r>
      <w:r w:rsidRPr="00B52801">
        <w:rPr>
          <w:i/>
          <w:iCs/>
        </w:rPr>
        <w:t>19</w:t>
      </w:r>
      <w:r w:rsidRPr="00B52801">
        <w:t>)</w:t>
      </w:r>
      <w:r>
        <w:fldChar w:fldCharType="end"/>
      </w:r>
      <w:r w:rsidR="00D82666">
        <w:t>,</w:t>
      </w:r>
      <w:r>
        <w:t xml:space="preserve"> changes in the levels of circulating cytokines, and altered gut microbiome composition </w:t>
      </w:r>
      <w:r>
        <w:fldChar w:fldCharType="begin"/>
      </w:r>
      <w:r>
        <w:instrText xml:space="preserve"> ADDIN ZOTERO_ITEM CSL_CITATION {"citationID":"pLZZrluM","properties":{"formattedCitation":"({\\i{}17}, {\\i{}44})","plainCitation":"(17,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Pr="00B52801">
        <w:t>(</w:t>
      </w:r>
      <w:r w:rsidRPr="00B52801">
        <w:rPr>
          <w:i/>
          <w:iCs/>
        </w:rPr>
        <w:t>17</w:t>
      </w:r>
      <w:r w:rsidRPr="00B52801">
        <w:t xml:space="preserve">, </w:t>
      </w:r>
      <w:r w:rsidRPr="00B52801">
        <w:rPr>
          <w:i/>
          <w:iCs/>
        </w:rPr>
        <w:t>44</w:t>
      </w:r>
      <w:r w:rsidRPr="00B52801">
        <w:t>)</w:t>
      </w:r>
      <w:r>
        <w:fldChar w:fldCharType="end"/>
      </w:r>
      <w:r>
        <w:t>, suggesting that heat-driven compositional shifts may disrupt microbiome-immune interactions and increase the risk of gut inflammation. These dynamics are likely to play an essential role in shaping animal responses to changing climates.</w:t>
      </w:r>
      <w:r w:rsidRPr="009846FE">
        <w:t xml:space="preserve"> </w:t>
      </w:r>
      <w:r>
        <w:t>However, interactions between heat stress and the microbiome have been studied almost exclusively in experimental contexts that examine the effect of acute periods of moderate heat stress [e.g., ~8-10 hours of exposure to temperatures ~32-34 °</w:t>
      </w:r>
      <w:r w:rsidRPr="000F74F2">
        <w:t>C</w:t>
      </w:r>
      <w:r>
        <w:t xml:space="preserve">, </w:t>
      </w:r>
      <w:r>
        <w:fldChar w:fldCharType="begin"/>
      </w:r>
      <w:r>
        <w:instrText xml:space="preserve"> ADDIN ZOTERO_ITEM CSL_CITATION {"citationID":"BINQ65EW","properties":{"formattedCitation":"({\\i{}45}, {\\i{}46})","plainCitation":"(45, 46)","noteIndex":0},"citationItems":[{"id":3082,"uris":["http://zotero.org/users/13901503/items/XLXTRNWV"],"itemData":{"id":3082,"type":"article-journal","abstract":"Accumulating evidence has revealed the dysbiosis of gut/fecal microbiota induced by heat stress (HS) in mammals and poultry. However, the effects of HS on microbiota communities in different intestinal segments of Cherry-Valley ducks (a widely used meat-type breed) and their potential associations with growth performances, fat deposition, intestinal morphology, and antioxidant capacity have not been well evaluated yet. In this study, room temperature (RT) of 25°C was considered as control, and RT at 32°C for 8 h per day was set as the HS treatment. After 3 weeks, the intestinal contents of jejunum, ileum, and cecum were harvested to investigate the microbiota composition variations by 16S ribosomal RNA amplicon sequencing. And the weight gain, adipose indices, intestinal morphology, and a certain number of serum biochemical parameters were also measured and analyzed. The results showed the microbial species at different levels differentially enriched in duck jejunum and cecum under HS, while no significant data were observed in ileum. HS also caused the intestinal morphological changes (villus height and the ratio of villus height to crypt depth) and the reductions of growth speed (daily gain), levels of serum triglyceride (TG) and total cholesterol, and antioxidant activity (higher malondialdehyde (MDA) content and lower total antioxidant). The higher abdominal fat content and serum glucose level were also observed in HS ducks. The Spearman correlation analysis indicated that in jejunum the phyla Firmicutes and Proteobacteria were associated with average daily gain, feed/gain, serum TG and MDA levels, and villus height/crypt depth (P &amp;lt; 0.05). The phylum Firmicutes and genus Acinetobacter were significantly associated with fat deposition and serum glucose level (P &amp;lt; 0.05). The genus Lactobacillus was positively associated with serum total antioxidant (P &amp;lt; 0.05), while some other microbial species were found negatively associated, including order Pseudomonadales, genera Acinetobacter, and unidentified_Mitochondria. However, no significant correlations were observed in cecum. These findings imply the potential roles of duck gut microbiota in the intestinal injuries, fat deposition, and reductions of growth speed and antioxidant capacity caused by HS, although the molecular mechanisms requires further investigation.","container-title":"Frontiers in Microbiology","DOI":"10.3389/fmicb.2019.00903","ISSN":"1664-302X","journalAbbreviation":"Front. Microbiol.","language":"English","note":"publisher: Frontiers","source":"Frontiers","title":"Associations of Gut Microbiota With Heat Stress-Induced Changes of Growth, Fat Deposition, Intestinal Morphology, and Antioxidant Capacity in Ducks","URL":"https://www.frontiersin.orghttps//www.frontiersin.org/journals/microbiology/articles/10.3389/fmicb.2019.00903/full","volume":"10","author":[{"family":"He","given":"Jun"},{"family":"He","given":"Yuxin"},{"family":"Pan","given":"Daodong"},{"family":"Cao","given":"Jinxuan"},{"family":"Sun","given":"Yangying"},{"family":"Zeng","given":"Xiaoqun"}],"accessed":{"date-parts":[["2025",5,2]]},"issued":{"date-parts":[["2019",4,26]]}}},{"id":3047,"uris":["http://zotero.org/users/13901503/items/VUYXAMP6"],"itemData":{"id":3047,"type":"article-journal","abstract":"Despite the significant threat of heat stress to livestock animals, only a few studies have considered the potential relationship between broiler chickens and their microbiota. Therefore, this study examined microbial modifications, transcriptional changes and host–microbiome interactions using a predicted metabolome data-based approach to understand the impact of heat stress on poultry. After the analysis, the host functional enrichment analysis revealed that pathways related to lipid and protein metabolism were elevated under heat stress conditions. In contrast, pathways related to the cell cycle were suppressed under normal environmental temperatures. In line with the transcriptome analysis, the microbial analysis results indicate that taxonomic changes affect lipid degradation. Heat stress engendered statistically significant difference in the abundance of 11 microorganisms, including Bacteroides and Peptostreptococcacea. Together, integrative approach analysis suggests that microbiota-induced metabolites affect host fatty acid peroxidation metabolism, which is correlated with the gene families of Acyl-CoA dehydrogenase long chain (ACADL), Acyl-CoA Oxidase (ACOX) and Acetyl-CoA Acyltransferase (ACAA). This integrated approach provides novel insights into heat stress problems and identifies potential biomarkers associated with heat stress.","container-title":"Animal Biotechnology","DOI":"10.1080/10495398.2024.2331179","ISSN":"1049-5398","issue":"1","note":"publisher: Taylor &amp; Francis\n_eprint: https://doi.org/10.1080/10495398.2024.2331179\nPMID: 38519440","page":"2331179","source":"Taylor and Francis+NEJM","title":"Microbial-transcriptome integrative analysis of heat stress effects on amino acid metabolism and lipid peroxidation in poultry jejunum","volume":"35","author":[{"family":"Seo","given":"Young-Jun"},{"family":"Chiwoong","given":"Lim"},{"family":"Byeonghwi","given":"Lim"},{"family":"Jun-Mo","given":"Kim"}],"issued":{"date-parts":[["2024",10,31]]}}}],"schema":"https://github.com/citation-style-language/schema/raw/master/csl-citation.json"} </w:instrText>
      </w:r>
      <w:r>
        <w:fldChar w:fldCharType="separate"/>
      </w:r>
      <w:r w:rsidRPr="00B52801">
        <w:t>(</w:t>
      </w:r>
      <w:r w:rsidRPr="00B52801">
        <w:rPr>
          <w:i/>
          <w:iCs/>
        </w:rPr>
        <w:t>45</w:t>
      </w:r>
      <w:r w:rsidRPr="00B52801">
        <w:t xml:space="preserve">, </w:t>
      </w:r>
      <w:r w:rsidRPr="00B52801">
        <w:rPr>
          <w:i/>
          <w:iCs/>
        </w:rPr>
        <w:t>46</w:t>
      </w:r>
      <w:r w:rsidRPr="00B52801">
        <w:t>)</w:t>
      </w:r>
      <w:r>
        <w:fldChar w:fldCharType="end"/>
      </w:r>
      <w:r>
        <w:t xml:space="preserve">] and have focused either on ectotherms [e.g., amphibians </w:t>
      </w:r>
      <w:r>
        <w:fldChar w:fldCharType="begin"/>
      </w:r>
      <w:r>
        <w:instrText xml:space="preserve"> ADDIN ZOTERO_ITEM CSL_CITATION {"citationID":"hjmuj1RR","properties":{"formattedCitation":"({\\i{}18}, {\\i{}47})","plainCitation":"(18, 47)","noteIndex":0},"citationItems":[{"id":1987,"uris":["http://zotero.org/users/13901503/items/VRKTJEKQ"],"itemData":{"id":1987,"type":"article-journal","abstract":"Understanding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sidRPr="00B52801">
        <w:t>(</w:t>
      </w:r>
      <w:r w:rsidRPr="00B52801">
        <w:rPr>
          <w:i/>
          <w:iCs/>
        </w:rPr>
        <w:t>18</w:t>
      </w:r>
      <w:r w:rsidRPr="00B52801">
        <w:t xml:space="preserve">, </w:t>
      </w:r>
      <w:r w:rsidRPr="00B52801">
        <w:rPr>
          <w:i/>
          <w:iCs/>
        </w:rPr>
        <w:t>47</w:t>
      </w:r>
      <w:r w:rsidRPr="00B52801">
        <w:t>)</w:t>
      </w:r>
      <w:r>
        <w:fldChar w:fldCharType="end"/>
      </w:r>
      <w:r>
        <w:t xml:space="preserve">, fish </w:t>
      </w:r>
      <w:r>
        <w:fldChar w:fldCharType="begin"/>
      </w:r>
      <w:r>
        <w:instrText xml:space="preserve"> ADDIN ZOTERO_ITEM CSL_CITATION {"citationID":"H4zHWU6r","properties":{"formattedCitation":"({\\i{}28})","plainCitation":"(28)","noteIndex":0},"citationItems":[{"id":3187,"uris":["http://zotero.org/users/13901503/items/DHD4XMP5"],"itemData":{"id":3187,"type":"article-journal","abstract":"Tsinling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schema":"https://github.com/citation-style-language/schema/raw/master/csl-citation.json"} </w:instrText>
      </w:r>
      <w:r>
        <w:fldChar w:fldCharType="separate"/>
      </w:r>
      <w:r w:rsidRPr="00B52801">
        <w:t>(</w:t>
      </w:r>
      <w:r w:rsidRPr="00B52801">
        <w:rPr>
          <w:i/>
          <w:iCs/>
        </w:rPr>
        <w:t>28</w:t>
      </w:r>
      <w:r w:rsidRPr="00B52801">
        <w:t>)</w:t>
      </w:r>
      <w:r>
        <w:fldChar w:fldCharType="end"/>
      </w:r>
      <w:r>
        <w:t xml:space="preserve">, reptiles </w:t>
      </w:r>
      <w:r>
        <w:fldChar w:fldCharType="begin"/>
      </w:r>
      <w:r>
        <w:instrText xml:space="preserve"> ADDIN ZOTERO_ITEM CSL_CITATION {"citationID":"BUJr21f7","properties":{"formattedCitation":"({\\i{}32}, {\\i{}48})","plainCitation":"(32, 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Pr="00B52801">
        <w:t>(</w:t>
      </w:r>
      <w:r w:rsidRPr="00B52801">
        <w:rPr>
          <w:i/>
          <w:iCs/>
        </w:rPr>
        <w:t>32</w:t>
      </w:r>
      <w:r w:rsidRPr="00B52801">
        <w:t xml:space="preserve">, </w:t>
      </w:r>
      <w:r w:rsidRPr="00B52801">
        <w:rPr>
          <w:i/>
          <w:iCs/>
        </w:rPr>
        <w:t>48</w:t>
      </w:r>
      <w:r w:rsidRPr="00B52801">
        <w:t>)</w:t>
      </w:r>
      <w:r>
        <w:fldChar w:fldCharType="end"/>
      </w:r>
      <w:r>
        <w:t xml:space="preserve">] or on domestic livestock [e.g., pigs </w:t>
      </w:r>
      <w:r>
        <w:fldChar w:fldCharType="begin"/>
      </w:r>
      <w:r>
        <w:instrText xml:space="preserve"> ADDIN ZOTERO_ITEM CSL_CITATION {"citationID":"sR4AjVW0","properties":{"formattedCitation":"({\\i{}30})","plainCitation":"(30)","noteIndex":0},"citationItems":[{"id":3294,"uris":["http://zotero.org/users/13901503/items/K5DSCTE2"],"itemData":{"id":3294,"type":"article-journal","abstract":"Heat stress (HS) can be detrimental to the gut health of swine. Many negative outcomes induced by HS are increasingly recognized as including modulation of intestinal microbiota. In turn, the intestinal microbiota is a unique ecosystem playing a critical role in mediating the host stress response. Therefore, we aimed to characterize gut microbiota of pigs’ exposure to short-term HS, to explore a possible link between the intestinal microbiota and HS-related changes, including serum cytokines, oxidation status, and intestinal epithelial barrier function. Our findings showed that HS led to intestinal morphological and integrity changes (villus height, serum diamine oxidase [DAO], serum D-lactate and the relative expressions of tight junction proteins), reduction of serum cytokines (interleukin [IL]-8, IL-12, interferon-gamma [IFN-γ]), and antioxidant activity (higher glutathione [GSH] and malondialdehyde [MDA] content, and lower superoxide dismutase [SOD]). Also, 16S rRNA sequencing analysis revealed that although there was no difference in microbial α-diversity, some HS-associated composition differences were revealed in the ileum and cecum, which partly led to an imbalance in the production of short-chain fatty acids including propionate acid and valerate acid. Relevance networks revealed that HS-derived changes in bacterial genera and microbial metabolites, such as Chlamydia, Lactobacillus, Succinivibrio, Bifidobacterium, Lachnoclostridium, and propionic acid, were correlated with oxidative stress, intestinal barrier dysfunction, and inflammation in pigs. Collectively, our observations suggest that intestinal damage induced by HS is probably partly related to the gut microbiota dysbiosis, though the underlying mechanism remains to be fully elucidated.","container-title":"Animal Nutrition","DOI":"10.1016/j.aninu.2021.05.012","ISSN":"2405-6545","journalAbbreviation":"Animal Nutrition","page":"289-299","source":"ScienceDirect","title":"Heat stress-induced mucosal barrier dysfunction is potentially associated with gut microbiota dysbiosis in pigs","volume":"8","author":[{"family":"Xia","given":"Bing"},{"family":"Wu","given":"Weida"},{"family":"Fang","given":"Wei"},{"family":"Wen","given":"Xiaobin"},{"family":"Xie","given":"Jingjing"},{"family":"Zhang","given":"Hongfu"}],"issued":{"date-parts":[["2022",3,1]]}}}],"schema":"https://github.com/citation-style-language/schema/raw/master/csl-citation.json"} </w:instrText>
      </w:r>
      <w:r>
        <w:fldChar w:fldCharType="separate"/>
      </w:r>
      <w:r w:rsidRPr="00B52801">
        <w:t>(</w:t>
      </w:r>
      <w:r w:rsidRPr="00B52801">
        <w:rPr>
          <w:i/>
          <w:iCs/>
        </w:rPr>
        <w:t>30</w:t>
      </w:r>
      <w:r w:rsidRPr="00B52801">
        <w:t>)</w:t>
      </w:r>
      <w:r>
        <w:fldChar w:fldCharType="end"/>
      </w:r>
      <w:r>
        <w:t xml:space="preserve">, cows </w:t>
      </w:r>
      <w:r>
        <w:fldChar w:fldCharType="begin"/>
      </w:r>
      <w:r>
        <w:instrText xml:space="preserve"> ADDIN ZOTERO_ITEM CSL_CITATION {"citationID":"nvkrFcWR","properties":{"formattedCitation":"({\\i{}17}, {\\i{}19}, {\\i{}44})","plainCitation":"(17, 19,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fldChar w:fldCharType="separate"/>
      </w:r>
      <w:r w:rsidRPr="00B52801">
        <w:t>(</w:t>
      </w:r>
      <w:r w:rsidRPr="00B52801">
        <w:rPr>
          <w:i/>
          <w:iCs/>
        </w:rPr>
        <w:t>17</w:t>
      </w:r>
      <w:r w:rsidRPr="00B52801">
        <w:t xml:space="preserve">, </w:t>
      </w:r>
      <w:r w:rsidRPr="00B52801">
        <w:rPr>
          <w:i/>
          <w:iCs/>
        </w:rPr>
        <w:t>19</w:t>
      </w:r>
      <w:r w:rsidRPr="00B52801">
        <w:t xml:space="preserve">, </w:t>
      </w:r>
      <w:r w:rsidRPr="00B52801">
        <w:rPr>
          <w:i/>
          <w:iCs/>
        </w:rPr>
        <w:t>44</w:t>
      </w:r>
      <w:r w:rsidRPr="00B52801">
        <w:t>)</w:t>
      </w:r>
      <w:r>
        <w:fldChar w:fldCharType="end"/>
      </w:r>
      <w:r>
        <w:t xml:space="preserve">, poultry </w:t>
      </w:r>
      <w:r>
        <w:fldChar w:fldCharType="begin"/>
      </w:r>
      <w:r>
        <w:instrText xml:space="preserve"> ADDIN ZOTERO_ITEM CSL_CITATION {"citationID":"c2wsWmYm","properties":{"formattedCitation":"({\\i{}29}, {\\i{}49})","plainCitation":"(29, 49)","noteIndex":0},"citationItems":[{"id":3362,"uris":["http://zotero.org/users/13901503/items/IXQSNCGD"],"itemData":{"id":3362,"type":"article-journal","abstract":"Introduction\nHeat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id":3034,"uris":["http://zotero.org/users/13901503/items/X4GPZR7A"],"itemData":{"id":3034,"type":"article-journal","abstract":"This paper investigated the effects of heat stress on gut-microbial metabolites, gastrointestinal peptides, glycolipid metabolism, and performance of broilers. Thus, 132 male Arbor Acres broilers, 28-days-old, were randomly distributed to undergo two treatments: thermoneutral control (TC, 21 °C) and high temperature (HT, 31 °C). The results showed that the average daily gain (ADG), average daily feed intake (ADFI), and gastric inhibitory polypeptide (GIP) concentration in the jejunum significantly decreased the core temperature, feed conversion ratio (FCR), and ghrelin of the hypothalamus, and cholecystokinin (CCK) in jejunum, and serum significantly increased in the HT group (p &lt; 0.05). Exploration of the structure of cecal microbes was accomplished by sequencing 16S rRNA genes. The sequencing results showed that the proportion of Christensenellaceae and Lachnospiraceae decreased significantly whereas the proportion of Peptococcaceae increased at the family level (p &lt; 0.05). Ruminococcus and Clostridium abundances significantly increased at the genus level. Furthermore, the content of acetate in the HT group significantly increased. Biochemical parameters showed that the blood glucose concentration of the HT group significantly decreased, and the TG (serum triglycerides), TC (total cholesterol), insulin concentration, and the insulin resistance index significantly increased. Nonesterified fatty acid (NEFA) in the HT group decreased significantly. In conclusion, the results of this paper suggest that the poor production performance of broilers under heat stress may be related to short-chain fatty acids (SCFAs) fermented by intestinal microbiota involved in regulating metabolic disorders.","container-title":"Animals","DOI":"10.3390/ani11051286","ISSN":"2076-2615","issue":"5","language":"en","license":"http://creativecommons.org/licenses/by/3.0/","note":"number: 5\npublisher: Multidisciplinary Digital Publishing Institute","page":"1286","source":"www-mdpi-com.proxy.lib.umich.edu","title":"Effects of Heat Stress on Gut-Microbial Metabolites, Gastrointestinal Peptides, Glycolipid Metabolism, and Performance of Broilers","volume":"11","author":[{"family":"Wang","given":"Guangju"},{"family":"Li","given":"Xiumei"},{"family":"Zhou","given":"Ying"},{"family":"Feng","given":"Jinghai"},{"family":"Zhang","given":"Minhong"}],"issued":{"date-parts":[["2021",5]]}}}],"schema":"https://github.com/citation-style-language/schema/raw/master/csl-citation.json"} </w:instrText>
      </w:r>
      <w:r>
        <w:fldChar w:fldCharType="separate"/>
      </w:r>
      <w:r w:rsidRPr="00B52801">
        <w:t>(</w:t>
      </w:r>
      <w:r w:rsidRPr="00B52801">
        <w:rPr>
          <w:i/>
          <w:iCs/>
        </w:rPr>
        <w:t>29</w:t>
      </w:r>
      <w:r w:rsidRPr="00B52801">
        <w:t xml:space="preserve">, </w:t>
      </w:r>
      <w:r w:rsidRPr="00B52801">
        <w:rPr>
          <w:i/>
          <w:iCs/>
        </w:rPr>
        <w:t>49</w:t>
      </w:r>
      <w:r w:rsidRPr="00B52801">
        <w:t>)</w:t>
      </w:r>
      <w:r>
        <w:fldChar w:fldCharType="end"/>
      </w:r>
      <w:r>
        <w:t xml:space="preserve">]. Therefore, we have little </w:t>
      </w:r>
      <w:r>
        <w:lastRenderedPageBreak/>
        <w:t>understanding of how this system functions in wild populations in response to natural thermal variation.</w:t>
      </w:r>
    </w:p>
    <w:p w14:paraId="04CBD499" w14:textId="794D1FDC" w:rsidR="005B0F26" w:rsidRDefault="005B0F26" w:rsidP="002E2B9C">
      <w:pPr>
        <w:ind w:firstLine="720"/>
      </w:pPr>
      <w:r w:rsidRPr="000709F1">
        <w:t xml:space="preserve">To address this knowledge gap, here, we assess how temperature predicts gut microbiome composition and metabolic function in wild capuchin monkeys, </w:t>
      </w:r>
      <w:r w:rsidRPr="000709F1">
        <w:rPr>
          <w:i/>
          <w:iCs/>
        </w:rPr>
        <w:t>Cebus imitator</w:t>
      </w:r>
      <w:r w:rsidRPr="000709F1">
        <w:t xml:space="preserve">, in Costa Rica. </w:t>
      </w:r>
      <w:r w:rsidRPr="002E2B9C">
        <w:t xml:space="preserve">We focus on evaluating the response to cumulative thermal load by </w:t>
      </w:r>
      <w:r w:rsidR="002E2B9C">
        <w:t xml:space="preserve">averaging ambient temperature two weeks before sample collection, </w:t>
      </w:r>
      <w:r w:rsidRPr="002E2B9C">
        <w:t xml:space="preserve">rather than attempting to measure short-term responses that are difficult to isolate in wild populations. Importantly, this predictor is also associated with thermal responses in immune performance in this population, supporting its relevance for studying the consequences of high temperatures on physiology </w:t>
      </w:r>
      <w:r w:rsidRPr="002E2B9C">
        <w:fldChar w:fldCharType="begin"/>
      </w:r>
      <w:r w:rsidRPr="002E2B9C">
        <w:instrText xml:space="preserve"> ADDIN ZOTERO_ITEM CSL_CITATION {"citationID":"FkMkFmsj","properties":{"formattedCitation":"({\\i{}8})","plainCitation":"(8)","noteIndex":0},"citationItems":[{"id":1689,"uris":["http://zotero.org/users/13901503/items/2TJCS3UQ"],"itemData":{"id":1689,"type":"article-journal","abstract":"Rising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2E2B9C">
        <w:fldChar w:fldCharType="separate"/>
      </w:r>
      <w:r w:rsidRPr="002E2B9C">
        <w:rPr>
          <w:rFonts w:eastAsiaTheme="minorHAnsi"/>
          <w14:ligatures w14:val="standardContextual"/>
        </w:rPr>
        <w:t>(</w:t>
      </w:r>
      <w:r w:rsidRPr="002E2B9C">
        <w:rPr>
          <w:rFonts w:eastAsiaTheme="minorHAnsi"/>
          <w:i/>
          <w:iCs/>
          <w14:ligatures w14:val="standardContextual"/>
        </w:rPr>
        <w:t>8</w:t>
      </w:r>
      <w:r w:rsidRPr="002E2B9C">
        <w:rPr>
          <w:rFonts w:eastAsiaTheme="minorHAnsi"/>
          <w14:ligatures w14:val="standardContextual"/>
        </w:rPr>
        <w:t>)</w:t>
      </w:r>
      <w:r w:rsidRPr="002E2B9C">
        <w:fldChar w:fldCharType="end"/>
      </w:r>
      <w:r w:rsidRPr="002E2B9C">
        <w:t xml:space="preserve">. </w:t>
      </w:r>
      <w:r>
        <w:t>We also evaluate the interplay between temperature, the gut microbiome, and host immunity.</w:t>
      </w:r>
      <w:r w:rsidRPr="009673A8">
        <w:t xml:space="preserve"> </w:t>
      </w:r>
      <w:r>
        <w:t xml:space="preserve">Specifically, we measure host immunity using urinary neopterin, a byproduct of macrophage activity during the cellular immune response </w:t>
      </w:r>
      <w:r>
        <w:fldChar w:fldCharType="begin"/>
      </w:r>
      <w:r>
        <w:instrText xml:space="preserve"> ADDIN ZOTERO_ITEM CSL_CITATION {"citationID":"UNmWgoQb","properties":{"formattedCitation":"({\\i{}50})","plainCitation":"(50)","noteIndex":0},"citationItems":[{"id":513,"uris":["http://zotero.org/users/13901503/items/BEFXLUSL"],"itemData":{"id":513,"type":"article-journal","abstract":"Increased amounts of neopterin are produced by human monocytes/macrophages upon stimulation with the cytokine interferon-y. Therefore, measurement of neopterin concentrations in body fluids like serum, cerebrospinal fluid or urine provides information about activation of T helper cell 1 derived cellular immune activation. Increased neopterin production is found in infections by viruses including human immunodeficiency virus (HIV), infections by intracellular living bacteria and parasites, autoimmune diseases, malignant tumor diseases and in allograft rejection episodes. But also in neurological and in cardiovascular diseases cellular immune activation indicated by increased neopterin production, is found. Major diagnostic applications of neopterin measurements are, e.g. monitoring of allograft recipients to recognize immunological complications early. Neopterin production provides prognostic information in patients with malignant tumor diseases and in HIV-infected individuals, high levels being associated with poorer survival expectations. Neopterin measurements are also useful to monitor therapy in patients with autoimmune disorders and in individuals with HIV infection. Screening of neopterin concentrations in blood donations allows to detect acute infections in a non-specific way and improves safety of blood transfusions. As high neopterin production is associated with increased production of reactive oxygen species and with low serum concentrations of antioxidants like alpha-tocopherol, neopterin can also be regarded as a marker of reactive oxygen species formed by the activated cellular immune system. Therefore, by neopterin measurements not only the extent of cellular immune activation but also the extent of oxidative stress can be estimated.","container-title":"Current Drug Metabolism","DOI":"10.2174/1389200024605082","ISSN":"1389-2002","issue":"2","journalAbbreviation":"Curr Drug Metab","language":"eng","note":"PMID: 12003349","page":"175-187","source":"PubMed","title":"Neopterin as a marker for immune system activation","volume":"3","author":[{"family":"Murr","given":"C."},{"family":"Widner","given":"B."},{"family":"Wirleitner","given":"B."},{"family":"Fuchs","given":"D."}],"issued":{"date-parts":[["2002",4]]}}}],"schema":"https://github.com/citation-style-language/schema/raw/master/csl-citation.json"} </w:instrText>
      </w:r>
      <w:r>
        <w:fldChar w:fldCharType="separate"/>
      </w:r>
      <w:r w:rsidRPr="0058135D">
        <w:rPr>
          <w:rFonts w:eastAsiaTheme="minorHAnsi"/>
          <w14:ligatures w14:val="standardContextual"/>
        </w:rPr>
        <w:t>(</w:t>
      </w:r>
      <w:r w:rsidRPr="0058135D">
        <w:rPr>
          <w:rFonts w:eastAsiaTheme="minorHAnsi"/>
          <w:i/>
          <w:iCs/>
          <w14:ligatures w14:val="standardContextual"/>
        </w:rPr>
        <w:t>50</w:t>
      </w:r>
      <w:r w:rsidRPr="0058135D">
        <w:rPr>
          <w:rFonts w:eastAsiaTheme="minorHAnsi"/>
          <w14:ligatures w14:val="standardContextual"/>
        </w:rPr>
        <w:t>)</w:t>
      </w:r>
      <w:r>
        <w:fldChar w:fldCharType="end"/>
      </w:r>
      <w:r>
        <w:t xml:space="preserve">. Macrophages play a central role in host containment of the gut microbiome </w:t>
      </w:r>
      <w:r>
        <w:fldChar w:fldCharType="begin"/>
      </w:r>
      <w:r>
        <w:instrText xml:space="preserve"> ADDIN ZOTERO_ITEM CSL_CITATION {"citationID":"EavUBInj","properties":{"formattedCitation":"({\\i{}51})","plainCitation":"(51)","noteIndex":0},"citationItems":[{"id":2059,"uris":["http://zotero.org/users/13901503/items/JE3VXSP3"],"itemData":{"id":2059,"type":"article-journal","abstract":"Mucosal immune responses must be tightly controlled, particularly in the intestine. As members of the mononuclear phagocyte family, dendritic cells (DCs) and macrophages are well represented in intestinal tissues and have developed unique functional niches. This review will focus on recent findings on antigen uptake and processing in the intestine and the role of DCs in the imprinting of homing receptors on T and B cells, the induction of immunoglobulin A B-cell responses, and the differentiation of regulatory T cells. It will also address the unique phenotype of intestinal macrophages and briefly what is known regarding the relationships between these cell types.","container-title":"Mucosal Immunology","DOI":"10.1038/mi.2008.61","ISSN":"1933-0219","issue":"6","journalAbbreviation":"Mucosal Immunology","page":"460-469","source":"ScienceDirect","title":"Recent progress in understanding the phenotype and function of intestinal dendritic cells and macrophages","volume":"1","author":[{"family":"Kelsall","given":"B"}],"issued":{"date-parts":[["2008",11,1]]}}}],"schema":"https://github.com/citation-style-language/schema/raw/master/csl-citation.json"} </w:instrText>
      </w:r>
      <w:r>
        <w:fldChar w:fldCharType="separate"/>
      </w:r>
      <w:r w:rsidRPr="0058135D">
        <w:rPr>
          <w:rFonts w:eastAsiaTheme="minorHAnsi"/>
          <w14:ligatures w14:val="standardContextual"/>
        </w:rPr>
        <w:t>(</w:t>
      </w:r>
      <w:r w:rsidRPr="0058135D">
        <w:rPr>
          <w:rFonts w:eastAsiaTheme="minorHAnsi"/>
          <w:i/>
          <w:iCs/>
          <w14:ligatures w14:val="standardContextual"/>
        </w:rPr>
        <w:t>51</w:t>
      </w:r>
      <w:r w:rsidRPr="0058135D">
        <w:rPr>
          <w:rFonts w:eastAsiaTheme="minorHAnsi"/>
          <w14:ligatures w14:val="standardContextual"/>
        </w:rPr>
        <w:t>)</w:t>
      </w:r>
      <w:r>
        <w:fldChar w:fldCharType="end"/>
      </w:r>
      <w:r>
        <w:t xml:space="preserve">, and microbial metabolites, including SCFAs and saturated fatty acids, regulate macrophage activity to maintain host tolerance and prevent chronic inflammatory disorders </w:t>
      </w:r>
      <w:r>
        <w:fldChar w:fldCharType="begin"/>
      </w:r>
      <w:r>
        <w:instrText xml:space="preserve"> ADDIN ZOTERO_ITEM CSL_CITATION {"citationID":"YxsMzISt","properties":{"formattedCitation":"({\\i{}40}, {\\i{}52})","plainCitation":"(40, 52)","noteIndex":0},"citationItems":[{"id":2073,"uris":["http://zotero.org/users/13901503/items/AVMVJBUV"],"itemData":{"id":2073,"type":"article-journal","abstract":"Short-chain fatty acids (SCFAs) are bacterial fermentation products, which are chemically composed by a carboxylic acid moiety and a small hydrocarbon chain. Among them, acetic, propionic and butyric acids are the most studied, presenting, respectively, two, three and four carbons in their chemical structure. These metabolites are found in high concentrations in the intestinal tract, from where they are uptaken by intestinal epithelial cells (IECs). The SCFAs are partially used as a source of ATP by these cells. In addition, these molecules act as a link between the microbiota and the immune system by modulating different aspects of IECs and leukocytes development, survival and function through activation of G protein coupled receptors (FFAR2, FFAR3, GPR109a and Olfr78) and by modulation of the activity of enzymes and transcription factors including the histone acetyltransferase and deacetylase and the hypoxia-inducible factor. Considering that, it is not a surprise, the fact that these molecules and/or their targets are suggested to have an important role in the maintenance of intestinal homeostasis and that changes in components of this system are associated with pathological conditions including inflammatory bowel disease, obesity and others. The aim of this review is to present a clear and updated description of the effects of the SCFAs derived from bacteria on host immune system, as well as the molecular mechanisms involved on them.","container-title":"Clinical &amp; Translational Immunology","DOI":"10.1038/cti.2016.17","ISSN":"2050-0068","issue":"4","language":"en","license":"© 2016 The Authors","note":"_eprint: https://onlinelibrary.wiley.com/doi/pdf/10.1038/cti.2016.17","page":"e73","source":"Wiley Online Library","title":"Regulation of immune cell function by short-chain fatty acids","volume":"5","author":[{"family":"Corrêa-Oliveira","given":"Renan"},{"family":"Fachi","given":"José Luís"},{"family":"Vieira","given":"Aline"},{"family":"Sato","given":"Fabio Takeo"},{"family":"Vinolo","given":"Marco Aurélio R"}],"issued":{"date-parts":[["2016"]]}}},{"id":1508,"uris":["http://zotero.org/users/13901503/items/V6FDCZ8Q"],"itemData":{"id":1508,"type":"article-journal","abstract":"&lt;p&gt;Gut microbiota, an integral part of the human body, comprise bacteria, fungi, archaea, and protozoa. There is consensus that the disruption of the gut microbiota (termed “gut dysbiosis”) is influenced by host genetics, diet, antibiotics, and inflammation, and it is closely linked to the pathogenesis of inflammatory diseases, such as obesity and inflammatory bowel disease (IBD). Macrophages are the key players in the maintenance of tissue homeostasis by eliminating invading pathogens and exhibit extreme plasticity of their phenotypes, such as M1 or M2, which have been demonstrated to exert pro- and anti-inflammatory functions. Microbiota-derived metabolites, short-chain fatty acids (SCFAs) and Gram-negative bacterial lipopolysaccharides (LPS), exert anti-inflammatory or pro-inflammatory effects by acting on macrophages. Understanding the role of macrophages in gut microbiota-inflammation interactions might provide us a novel method for preventing and treating inflammatory diseases. In this review, we summarize the recent research on the relationship between gut microbiota and inflammation and discuss the important role of macrophages in this context.&lt;/p&gt;","container-title":"Frontiers in Microbiology","DOI":"10.3389/fmicb.2020.01065","ISSN":"1664-302X","journalAbbreviation":"Front. Microbiol.","language":"English","note":"publisher: Frontiers","source":"Frontiers","title":"The Relationship Between Gut Microbiota and Inflammatory Diseases: The Role of Macrophages","title-short":"The Relationship Between Gut Microbiota and Inflammatory Diseases","URL":"https://www.frontiersin.org/journals/microbiology/articles/10.3389/fmicb.2020.01065/full","volume":"11","author":[{"family":"Wang","given":"Ji"},{"family":"Chen","given":"Wei-Dong"},{"family":"Wang","given":"Yan-Dong"}],"accessed":{"date-parts":[["2025",1,3]]},"issued":{"date-parts":[["2020",6,9]]}}}],"schema":"https://github.com/citation-style-language/schema/raw/master/csl-citation.json"} </w:instrText>
      </w:r>
      <w:r>
        <w:fldChar w:fldCharType="separate"/>
      </w:r>
      <w:r w:rsidRPr="0058135D">
        <w:rPr>
          <w:rFonts w:eastAsiaTheme="minorHAnsi"/>
          <w14:ligatures w14:val="standardContextual"/>
        </w:rPr>
        <w:t>(</w:t>
      </w:r>
      <w:r w:rsidRPr="0058135D">
        <w:rPr>
          <w:rFonts w:eastAsiaTheme="minorHAnsi"/>
          <w:i/>
          <w:iCs/>
          <w14:ligatures w14:val="standardContextual"/>
        </w:rPr>
        <w:t>40</w:t>
      </w:r>
      <w:r w:rsidRPr="0058135D">
        <w:rPr>
          <w:rFonts w:eastAsiaTheme="minorHAnsi"/>
          <w14:ligatures w14:val="standardContextual"/>
        </w:rPr>
        <w:t xml:space="preserve">, </w:t>
      </w:r>
      <w:r w:rsidRPr="0058135D">
        <w:rPr>
          <w:rFonts w:eastAsiaTheme="minorHAnsi"/>
          <w:i/>
          <w:iCs/>
          <w14:ligatures w14:val="standardContextual"/>
        </w:rPr>
        <w:t>52</w:t>
      </w:r>
      <w:r w:rsidRPr="0058135D">
        <w:rPr>
          <w:rFonts w:eastAsiaTheme="minorHAnsi"/>
          <w14:ligatures w14:val="standardContextual"/>
        </w:rPr>
        <w:t>)</w:t>
      </w:r>
      <w:r>
        <w:fldChar w:fldCharType="end"/>
      </w:r>
      <w:r>
        <w:t>. Therefore, neopterin is a valuable tool for examining microbiome-immune homeostasis.</w:t>
      </w:r>
    </w:p>
    <w:p w14:paraId="2175BA42" w14:textId="0B12F0AB" w:rsidR="009304A2" w:rsidRDefault="005B0F26" w:rsidP="005B0F26">
      <w:pPr>
        <w:ind w:firstLine="720"/>
      </w:pPr>
      <w:r>
        <w:t xml:space="preserve">We analyzed 11 months of paired fecal and urine samples from 36 individually identified white-faced capuchin monkeys living in tropical dry forest fragments in northwestern Costa Rica at the </w:t>
      </w:r>
      <w:proofErr w:type="spellStart"/>
      <w:r>
        <w:t>Taboga</w:t>
      </w:r>
      <w:proofErr w:type="spellEnd"/>
      <w:r>
        <w:t xml:space="preserve"> Forest Reserve. </w:t>
      </w:r>
      <w:r w:rsidRPr="002E2B9C">
        <w:t xml:space="preserve">Tropical dry forests are highly seasonal and defined by marked changes in ecology between the dry and wet seasons </w:t>
      </w:r>
      <w:r w:rsidRPr="002E2B9C">
        <w:fldChar w:fldCharType="begin"/>
      </w:r>
      <w:r w:rsidR="00DF25ED" w:rsidRPr="002E2B9C">
        <w:instrText xml:space="preserve"> ADDIN ZOTERO_ITEM CSL_CITATION {"citationID":"yj0x0aG1","properties":{"formattedCitation":"({\\i{}53})","plainCitation":"(53)","noteIndex":0},"citationItems":[{"id":543,"uris":["http://zotero.org/users/13901503/items/QHXU8E8Q"],"itemData":{"id":543,"type":"article-journal","abstract":"This paper shows the results of an assessment on the current extent of Neotropical dry forests based on a supervised classification of MODIS surface reflectance imagery at 500-m resolution. Our findings show that tropical dry forests extend for 519,597km2 across North and South America. Mexico, Brazil and Bolivia harbor the largest and best-preserved dry forest fragments. Mexico contains the largest extent at 181,461km2 (38% of the total), although it remains poorly represented under protected areas. On the other hand, Brazil and Bolivia contain the largest proportion of protected tropical dry forests and the largest extent in continuous forest fragments. We found that five single ecoregions account for more than half of the tropical dry forests in the Americas (continental and insular) and these ecoregions are: the Chiquitano dry forests, located in Bolivia and Brazil (27.5%), the Atlantic dry forests (10.2%), the Sinaloan dry forests in Mexico (9.7%), the Cuban dry forests (7.1%) and the Bajio dry forests in Mexico (7%). Chiquitano dry forests alone contain 142,941km2 of dry forests. Of the approximately 23,000km2 of dry forest under legal protection, 15,000km2 are located in just two countries, Bolivia and Brazil. In fact, Bolivia protects 10,609km2 of dry forests, where 7600km2 are located within the Chiquitano dry forest ecoregion and protected by a single park. Low extent and high fragmentation of dry forests in countries like Guatemala, Nicaragua, Ecuador, Costa Rica and Peru means that these forests are at a higher risk from human disturbance and deforestation.","container-title":"Biological Conservation","DOI":"10.1016/j.biocon.2009.09.020","ISSN":"0006-3207","issue":"1","journalAbbreviation":"Biological Conservation","page":"144-155","source":"ScienceDirect","title":"Extent and conservation of tropical dry forests in the Americas","volume":"143","author":[{"family":"Portillo-Quintero","given":"C. A."},{"family":"Sánchez-Azofeifa","given":"G. A."}],"issued":{"date-parts":[["2010",1,1]]}}}],"schema":"https://github.com/citation-style-language/schema/raw/master/csl-citation.json"} </w:instrText>
      </w:r>
      <w:r w:rsidRPr="002E2B9C">
        <w:fldChar w:fldCharType="separate"/>
      </w:r>
      <w:r w:rsidR="00DF25ED" w:rsidRPr="002E2B9C">
        <w:rPr>
          <w:rFonts w:eastAsiaTheme="minorHAnsi"/>
          <w14:ligatures w14:val="standardContextual"/>
        </w:rPr>
        <w:t>(</w:t>
      </w:r>
      <w:r w:rsidR="00DF25ED" w:rsidRPr="002E2B9C">
        <w:rPr>
          <w:rFonts w:eastAsiaTheme="minorHAnsi"/>
          <w:i/>
          <w:iCs/>
          <w14:ligatures w14:val="standardContextual"/>
        </w:rPr>
        <w:t>53</w:t>
      </w:r>
      <w:r w:rsidR="00DF25ED" w:rsidRPr="002E2B9C">
        <w:rPr>
          <w:rFonts w:eastAsiaTheme="minorHAnsi"/>
          <w14:ligatures w14:val="standardContextual"/>
        </w:rPr>
        <w:t>)</w:t>
      </w:r>
      <w:r w:rsidRPr="002E2B9C">
        <w:fldChar w:fldCharType="end"/>
      </w:r>
      <w:r w:rsidRPr="002E2B9C">
        <w:t xml:space="preserve">. During the dry season, lack of rainfall leads to food and water scarcity that has physiological consequences for capuchins </w:t>
      </w:r>
      <w:r w:rsidRPr="002E2B9C">
        <w:fldChar w:fldCharType="begin"/>
      </w:r>
      <w:r w:rsidR="00DF25ED" w:rsidRPr="002E2B9C">
        <w:instrText xml:space="preserve"> ADDIN ZOTERO_ITEM CSL_CITATION {"citationID":"tlBoOqeE","properties":{"formattedCitation":"({\\i{}54})","plainCitation":"(54)","noteIndex":0},"citationItems":[{"id":564,"uris":["http://zotero.org/users/13901503/items/C7T2JIHZ"],"itemData":{"id":564,"type":"article-journal","abstract":"Objectives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sidRPr="002E2B9C">
        <w:fldChar w:fldCharType="separate"/>
      </w:r>
      <w:r w:rsidR="00DF25ED" w:rsidRPr="002E2B9C">
        <w:rPr>
          <w:rFonts w:eastAsiaTheme="minorHAnsi"/>
          <w14:ligatures w14:val="standardContextual"/>
        </w:rPr>
        <w:t>(</w:t>
      </w:r>
      <w:r w:rsidR="00DF25ED" w:rsidRPr="002E2B9C">
        <w:rPr>
          <w:rFonts w:eastAsiaTheme="minorHAnsi"/>
          <w:i/>
          <w:iCs/>
          <w14:ligatures w14:val="standardContextual"/>
        </w:rPr>
        <w:t>54</w:t>
      </w:r>
      <w:r w:rsidR="00DF25ED" w:rsidRPr="002E2B9C">
        <w:rPr>
          <w:rFonts w:eastAsiaTheme="minorHAnsi"/>
          <w14:ligatures w14:val="standardContextual"/>
        </w:rPr>
        <w:t>)</w:t>
      </w:r>
      <w:r w:rsidRPr="002E2B9C">
        <w:fldChar w:fldCharType="end"/>
      </w:r>
      <w:r w:rsidRPr="002E2B9C">
        <w:t xml:space="preserve"> and can influence gut microbiome composition </w:t>
      </w:r>
      <w:r w:rsidRPr="002E2B9C">
        <w:fldChar w:fldCharType="begin"/>
      </w:r>
      <w:r w:rsidR="00DF25ED" w:rsidRPr="002E2B9C">
        <w:instrText xml:space="preserve"> ADDIN ZOTERO_ITEM CSL_CITATION {"citationID":"NViIKosI","properties":{"formattedCitation":"({\\i{}55})","plainCitation":"(55)","noteIndex":0},"citationItems":[{"id":700,"uris":["http://zotero.org/users/13901503/items/HCYVY6PR"],"itemData":{"id":700,"type":"article-journal","abstract":"Research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rsidRPr="002E2B9C">
        <w:fldChar w:fldCharType="separate"/>
      </w:r>
      <w:r w:rsidR="00DF25ED" w:rsidRPr="002E2B9C">
        <w:rPr>
          <w:rFonts w:eastAsiaTheme="minorHAnsi"/>
          <w14:ligatures w14:val="standardContextual"/>
        </w:rPr>
        <w:t>(</w:t>
      </w:r>
      <w:r w:rsidR="00DF25ED" w:rsidRPr="002E2B9C">
        <w:rPr>
          <w:rFonts w:eastAsiaTheme="minorHAnsi"/>
          <w:i/>
          <w:iCs/>
          <w14:ligatures w14:val="standardContextual"/>
        </w:rPr>
        <w:t>55</w:t>
      </w:r>
      <w:r w:rsidR="00DF25ED" w:rsidRPr="002E2B9C">
        <w:rPr>
          <w:rFonts w:eastAsiaTheme="minorHAnsi"/>
          <w14:ligatures w14:val="standardContextual"/>
        </w:rPr>
        <w:t>)</w:t>
      </w:r>
      <w:r w:rsidRPr="002E2B9C">
        <w:fldChar w:fldCharType="end"/>
      </w:r>
      <w:r w:rsidRPr="002E2B9C">
        <w:t xml:space="preserve">. Because the dry season is also characterized by high temperatures, this can make it difficult to disentangle the effects of heat from those of resource scarcity. However, our study population differs from most others in that we find no evidence of seasonal differences in physiological stress responses </w:t>
      </w:r>
      <w:r w:rsidRPr="002E2B9C">
        <w:fldChar w:fldCharType="begin"/>
      </w:r>
      <w:r w:rsidR="00DF25ED" w:rsidRPr="002E2B9C">
        <w:instrText xml:space="preserve"> ADDIN ZOTERO_ITEM CSL_CITATION {"citationID":"LVuLquir","properties":{"formattedCitation":"({\\i{}56})","plainCitation":"(56)","noteIndex":0},"citationItems":[{"id":1716,"uris":["http://zotero.org/users/13901503/items/KXGKM98Y"],"itemData":{"id":1716,"type":"article-journal","abstract":"Hormone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sidRPr="002E2B9C">
        <w:fldChar w:fldCharType="separate"/>
      </w:r>
      <w:r w:rsidR="00DF25ED" w:rsidRPr="002E2B9C">
        <w:rPr>
          <w:rFonts w:eastAsiaTheme="minorHAnsi"/>
          <w14:ligatures w14:val="standardContextual"/>
        </w:rPr>
        <w:t>(</w:t>
      </w:r>
      <w:r w:rsidR="00DF25ED" w:rsidRPr="002E2B9C">
        <w:rPr>
          <w:rFonts w:eastAsiaTheme="minorHAnsi"/>
          <w:i/>
          <w:iCs/>
          <w14:ligatures w14:val="standardContextual"/>
        </w:rPr>
        <w:t>56</w:t>
      </w:r>
      <w:r w:rsidR="00DF25ED" w:rsidRPr="002E2B9C">
        <w:rPr>
          <w:rFonts w:eastAsiaTheme="minorHAnsi"/>
          <w14:ligatures w14:val="standardContextual"/>
        </w:rPr>
        <w:t>)</w:t>
      </w:r>
      <w:r w:rsidRPr="002E2B9C">
        <w:fldChar w:fldCharType="end"/>
      </w:r>
      <w:r w:rsidRPr="002E2B9C">
        <w:t xml:space="preserve"> or immunity </w:t>
      </w:r>
      <w:r w:rsidRPr="002E2B9C">
        <w:fldChar w:fldCharType="begin"/>
      </w:r>
      <w:r w:rsidRPr="002E2B9C">
        <w:instrText xml:space="preserve"> ADDIN ZOTERO_ITEM CSL_CITATION {"citationID":"PruLugK3","properties":{"formattedCitation":"({\\i{}8})","plainCitation":"(8)","noteIndex":0},"citationItems":[{"id":1689,"uris":["http://zotero.org/users/13901503/items/2TJCS3UQ"],"itemData":{"id":1689,"type":"article-journal","abstract":"Rising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rsidRPr="002E2B9C">
        <w:fldChar w:fldCharType="separate"/>
      </w:r>
      <w:r w:rsidRPr="002E2B9C">
        <w:rPr>
          <w:rFonts w:eastAsiaTheme="minorHAnsi"/>
          <w14:ligatures w14:val="standardContextual"/>
        </w:rPr>
        <w:t>(</w:t>
      </w:r>
      <w:r w:rsidRPr="002E2B9C">
        <w:rPr>
          <w:rFonts w:eastAsiaTheme="minorHAnsi"/>
          <w:i/>
          <w:iCs/>
          <w14:ligatures w14:val="standardContextual"/>
        </w:rPr>
        <w:t>8</w:t>
      </w:r>
      <w:r w:rsidRPr="002E2B9C">
        <w:rPr>
          <w:rFonts w:eastAsiaTheme="minorHAnsi"/>
          <w14:ligatures w14:val="standardContextual"/>
        </w:rPr>
        <w:t>)</w:t>
      </w:r>
      <w:r w:rsidRPr="002E2B9C">
        <w:fldChar w:fldCharType="end"/>
      </w:r>
      <w:r w:rsidRPr="002E2B9C">
        <w:t>, suggesting that these monkeys are not exposed to the same seasonal stressors. This is likely because our study site is highly disturbed and bordered by secondary forest and agriculture, where capuchins can exploit anthropogenic food and water sources even during the dry season</w:t>
      </w:r>
      <w:r w:rsidR="00D82666">
        <w:t xml:space="preserve"> </w:t>
      </w:r>
      <w:r w:rsidR="00DD674D" w:rsidRPr="002E2B9C">
        <w:fldChar w:fldCharType="begin"/>
      </w:r>
      <w:r w:rsidR="00DD674D" w:rsidRPr="002E2B9C">
        <w:instrText xml:space="preserve"> ADDIN ZOTERO_ITEM CSL_CITATION {"citationID":"bsnDokkS","properties":{"formattedCitation":"({\\i{}57})","plainCitation":"(57)","noteIndex":0},"citationItems":[{"id":559,"uris":["http://zotero.org/users/13901503/items/Z3E2X5D7"],"itemData":{"id":559,"type":"article-journal","abstract":"Across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rsidR="00DD674D" w:rsidRPr="002E2B9C">
        <w:fldChar w:fldCharType="separate"/>
      </w:r>
      <w:r w:rsidR="00DD674D" w:rsidRPr="002E2B9C">
        <w:rPr>
          <w:rFonts w:eastAsiaTheme="minorHAnsi"/>
          <w14:ligatures w14:val="standardContextual"/>
        </w:rPr>
        <w:t>(</w:t>
      </w:r>
      <w:r w:rsidR="00DD674D" w:rsidRPr="002E2B9C">
        <w:rPr>
          <w:rFonts w:eastAsiaTheme="minorHAnsi"/>
          <w:i/>
          <w:iCs/>
          <w14:ligatures w14:val="standardContextual"/>
        </w:rPr>
        <w:t>57</w:t>
      </w:r>
      <w:r w:rsidR="00DD674D" w:rsidRPr="002E2B9C">
        <w:rPr>
          <w:rFonts w:eastAsiaTheme="minorHAnsi"/>
          <w14:ligatures w14:val="standardContextual"/>
        </w:rPr>
        <w:t>)</w:t>
      </w:r>
      <w:r w:rsidR="00DD674D" w:rsidRPr="002E2B9C">
        <w:fldChar w:fldCharType="end"/>
      </w:r>
      <w:r w:rsidRPr="002E2B9C">
        <w:t xml:space="preserve">. Consequently, </w:t>
      </w:r>
      <w:r w:rsidR="00BC1EDA" w:rsidRPr="002E2B9C">
        <w:t xml:space="preserve">studying </w:t>
      </w:r>
      <w:r w:rsidRPr="002E2B9C">
        <w:t>this population provides a rare opportunity to isolate temperature-driven changes in the microbiome from those driven by broader changes in seasonal ecology.</w:t>
      </w:r>
      <w:r>
        <w:t xml:space="preserve"> </w:t>
      </w:r>
      <w:r w:rsidRPr="007D7046">
        <w:t>We</w:t>
      </w:r>
      <w:r>
        <w:t xml:space="preserve"> characterized microbiome composition using 16S rRNA gene amplicon sequencing (n = 277), and characterized microbiome functional capacity using shotgun metagenomic sequencing (n = 71). Our results highlight the crucial role of temperature in shaping essential gut microbiome functions in a wild endotherm species and demonstrate how temperature is related to microbiome-immune interactions.</w:t>
      </w:r>
    </w:p>
    <w:p w14:paraId="79D545FE" w14:textId="7AA6F188" w:rsidR="00C10871" w:rsidRDefault="005B0F26" w:rsidP="00CC61A6">
      <w:pPr>
        <w:ind w:firstLine="720"/>
      </w:pPr>
      <w:r>
        <w:t xml:space="preserve"> </w:t>
      </w:r>
    </w:p>
    <w:p w14:paraId="27454370" w14:textId="596E5C3C" w:rsidR="005B0F26" w:rsidRDefault="005B0F26" w:rsidP="005B0F26">
      <w:r>
        <w:t xml:space="preserve">Results: </w:t>
      </w:r>
    </w:p>
    <w:p w14:paraId="2738EE70" w14:textId="77777777" w:rsidR="005B0F26" w:rsidRDefault="005B0F26" w:rsidP="005B0F26">
      <w:pPr>
        <w:rPr>
          <w:u w:val="single"/>
        </w:rPr>
      </w:pPr>
      <w:r>
        <w:rPr>
          <w:u w:val="single"/>
        </w:rPr>
        <w:t>Temperature predicts g</w:t>
      </w:r>
      <w:r w:rsidRPr="00AE374C">
        <w:rPr>
          <w:u w:val="single"/>
        </w:rPr>
        <w:t>ut microbiome</w:t>
      </w:r>
      <w:r>
        <w:rPr>
          <w:u w:val="single"/>
        </w:rPr>
        <w:t xml:space="preserve"> taxonomic composition and functional capacity</w:t>
      </w:r>
    </w:p>
    <w:p w14:paraId="4E2014DB" w14:textId="77777777" w:rsidR="005B0F26" w:rsidRPr="00991E79" w:rsidRDefault="005B0F26" w:rsidP="005B0F26">
      <w:r w:rsidRPr="00991E79">
        <w:rPr>
          <w:i/>
          <w:iCs/>
        </w:rPr>
        <w:t>Community-level</w:t>
      </w:r>
      <w:r>
        <w:rPr>
          <w:i/>
          <w:iCs/>
        </w:rPr>
        <w:t xml:space="preserve"> results</w:t>
      </w:r>
    </w:p>
    <w:p w14:paraId="3FCCEB0D" w14:textId="5695AF5D" w:rsidR="005B0F26" w:rsidRDefault="005B0F26" w:rsidP="00CC61A6">
      <w:pPr>
        <w:ind w:firstLine="720"/>
      </w:pPr>
      <w:r>
        <w:t xml:space="preserve">We found a strong relationship between temperature and both taxonomic and functional community-level diversity in the gut microbiome. </w:t>
      </w:r>
      <w:r w:rsidR="00CC61A6">
        <w:t xml:space="preserve">To assess this relationship, we compared a baseline model that accounted for known predictors of microbiome composition (sex, social group, diet, and </w:t>
      </w:r>
      <w:r w:rsidR="00CC61A6" w:rsidRPr="00CC61A6">
        <w:t>season</w:t>
      </w:r>
      <w:r w:rsidR="00CC61A6">
        <w:t xml:space="preserve">) to a model that included both the baseline predictors and temperature (Fig. 1S). We measured alpha diversity using Shannon diversity index and observed richness (the total number of Amplicon Sequence Variants, ASVs, or pathways in a sample), and characterized beta diversity using the first three principal components (PC1–PC3) from a </w:t>
      </w:r>
      <w:r w:rsidR="00CC61A6">
        <w:lastRenderedPageBreak/>
        <w:t xml:space="preserve">principal component analysis (PCA) to capture major axes of variation in community composition. </w:t>
      </w:r>
      <w:r>
        <w:t xml:space="preserve">For taxonomic community composition, the model </w:t>
      </w:r>
      <w:r w:rsidRPr="002D1193">
        <w:t>including temperature provided the</w:t>
      </w:r>
      <w:r>
        <w:t xml:space="preserve"> best fit (controlling for model complexity) across all community-level indices, accounting for 100% of the model weight for every principal component and alpha diversity metric (Fig. 1B). The strong relationship between temperature and principal components 1–3 suggests that temperature drives shifts in taxonomic composition that are substantial enough to affect community-level beta diversity. Both alpha diversity indices showed a reliable negative relationship with temperature (Shannon </w:t>
      </w:r>
      <w:r w:rsidRPr="00887114">
        <w:t>β</w:t>
      </w:r>
      <w:r>
        <w:rPr>
          <w:vertAlign w:val="subscript"/>
        </w:rPr>
        <w:t>temp</w:t>
      </w:r>
      <w:r>
        <w:t xml:space="preserve"> = -0.49, Observed </w:t>
      </w:r>
      <w:r w:rsidRPr="00887114">
        <w:t>β</w:t>
      </w:r>
      <w:r>
        <w:rPr>
          <w:vertAlign w:val="subscript"/>
        </w:rPr>
        <w:t>temp</w:t>
      </w:r>
      <w:r>
        <w:t xml:space="preserve"> = -0.49)(Fig. 1A). Even though the effect sizes were small compared to the principal components, alpha diversity reliably declined with increasing temperatures (Fig. </w:t>
      </w:r>
      <w:r w:rsidR="00F004F0">
        <w:t>2</w:t>
      </w:r>
      <w:r>
        <w:t xml:space="preserve">S). This suggests that higher temperatures are associated with reductions in both taxonomic richness and evenness. </w:t>
      </w:r>
    </w:p>
    <w:p w14:paraId="3362353B" w14:textId="77777777" w:rsidR="005B0F26" w:rsidRDefault="005B0F26" w:rsidP="005B0F26">
      <w:pPr>
        <w:ind w:firstLine="720"/>
      </w:pPr>
      <w:r>
        <w:t xml:space="preserve">For functional capacity, the temperature model provided the best fit for every principal component and the total number of observed metabolic pathways, accounting for at least 96% of the model weight. In contrast, the baseline model provided the best fit for Shannon diversity, accounting for 77% of the model weight (Fig. 1D). Therefore, temperature was associated with shifts in individual metabolic pathways substantial enough to affect community-level beta diversity, but the relationship between temperature and functional alpha diversity was less clear. Temperature was negatively associated with the total number of unique pathways (Observed: </w:t>
      </w:r>
      <w:r w:rsidRPr="00887114">
        <w:t>β</w:t>
      </w:r>
      <w:r>
        <w:rPr>
          <w:vertAlign w:val="subscript"/>
        </w:rPr>
        <w:t>temp</w:t>
      </w:r>
      <w:r>
        <w:t xml:space="preserve"> = -35.05), but the magnitude and direction of this effect were uncertain due to the wide confidence intervals that include zero. The effect size for Shannon diversity (</w:t>
      </w:r>
      <w:r w:rsidRPr="00887114">
        <w:t>β</w:t>
      </w:r>
      <w:r>
        <w:rPr>
          <w:vertAlign w:val="subscript"/>
        </w:rPr>
        <w:t>temp</w:t>
      </w:r>
      <w:r>
        <w:t xml:space="preserve"> = -0.27) was much smaller, and the confidence intervals also included zero (Fig. 1C). Together, these results suggest that higher temperatures may reduce the number of unique metabolic pathways but are not associated with changes in pathway evenness.</w:t>
      </w:r>
    </w:p>
    <w:p w14:paraId="11D0CC8D" w14:textId="77777777" w:rsidR="005B0F26" w:rsidRDefault="005B0F26"/>
    <w:p w14:paraId="16F76CF5" w14:textId="77777777" w:rsidR="005B0F26" w:rsidRDefault="005B0F26" w:rsidP="005B0F26">
      <w:r>
        <w:rPr>
          <w:i/>
          <w:iCs/>
        </w:rPr>
        <w:t>Individual taxon and metabolic pathway results</w:t>
      </w:r>
    </w:p>
    <w:p w14:paraId="2D1BBD8F" w14:textId="77777777" w:rsidR="005B0F26" w:rsidRDefault="005B0F26" w:rsidP="005B0F26">
      <w:pPr>
        <w:ind w:firstLine="720"/>
      </w:pPr>
      <w:r>
        <w:t xml:space="preserve">Temperature was also related to the abundance of individual taxa at both the family and genus levels. The temperature model provided the best fit (controlling for complexity) for 93 out of 163 taxa, accounting for at least 50% of the model weight. The majority of taxa, 82 out of 93, declined in abundance with rising temperatures (Table 1S). Ancestral state reconstruction performed using the temperature model weights suggests that this is a conserved microbial trait for </w:t>
      </w:r>
      <w:r>
        <w:rPr>
          <w:i/>
          <w:iCs/>
        </w:rPr>
        <w:t xml:space="preserve">C. </w:t>
      </w:r>
      <w:r w:rsidRPr="000232D9">
        <w:rPr>
          <w:i/>
          <w:iCs/>
        </w:rPr>
        <w:t>imitator</w:t>
      </w:r>
      <w:r>
        <w:t xml:space="preserve">, particularly in key phyla such as Actinobacteria, </w:t>
      </w:r>
      <w:proofErr w:type="spellStart"/>
      <w:r>
        <w:t>Bacteroidota</w:t>
      </w:r>
      <w:proofErr w:type="spellEnd"/>
      <w:r>
        <w:t xml:space="preserve">, and Firmicutes. In contrast, phyla such as </w:t>
      </w:r>
      <w:proofErr w:type="spellStart"/>
      <w:r>
        <w:t>Campylobacterota</w:t>
      </w:r>
      <w:proofErr w:type="spellEnd"/>
      <w:r>
        <w:t xml:space="preserve"> and Proteobacteria appear less sensitive to temperature over evolutionary time (Fig 2). </w:t>
      </w:r>
    </w:p>
    <w:p w14:paraId="1C43E687" w14:textId="6FABE0D7" w:rsidR="005B0F26" w:rsidRDefault="005B0F26" w:rsidP="005B0F26">
      <w:pPr>
        <w:ind w:firstLine="720"/>
      </w:pPr>
      <w:r>
        <w:t xml:space="preserve">Temperature was also related to the abundance of microbial metabolic pathways. The temperature model provided the best fit for 169 out of 383 total pathways, accounting for at least 50% of the model weight (Table 2S). To facilitate interpretation, we grouped 103 of these pathways into five functional categories based on shared biological roles and their apparent relationship with temperature: lipid metabolism, oxygen-driven metabolism and fermentation, redox maintenance, nucleotide mobilization, and immune regulation (Fig 3). </w:t>
      </w:r>
      <w:r w:rsidRPr="005B0F26">
        <w:t>Patterns in these categories suggest a metabolic restructuring that may help microbes respond to rising temperatures.</w:t>
      </w:r>
      <w:r>
        <w:t xml:space="preserve"> For example, we found an increase in fatty acid synthesis pathways like oleate, cis-</w:t>
      </w:r>
      <w:proofErr w:type="spellStart"/>
      <w:r>
        <w:t>vaccenate</w:t>
      </w:r>
      <w:proofErr w:type="spellEnd"/>
      <w:r>
        <w:t xml:space="preserve">, palmitoleate, stearate, </w:t>
      </w:r>
      <w:proofErr w:type="spellStart"/>
      <w:r w:rsidRPr="00DA148E">
        <w:t>petroselinate</w:t>
      </w:r>
      <w:proofErr w:type="spellEnd"/>
      <w:r>
        <w:t xml:space="preserve">, and </w:t>
      </w:r>
      <w:proofErr w:type="spellStart"/>
      <w:r>
        <w:t>gondoate</w:t>
      </w:r>
      <w:proofErr w:type="spellEnd"/>
      <w:r>
        <w:t xml:space="preserve">, and lipid remodeling pathways such as the mevalonate pathway and downstream isoprenoid lipid synthesis (Fig 3A), that may help maintain cytoplasmic membrane integrity at high temperatures </w:t>
      </w:r>
      <w:r>
        <w:fldChar w:fldCharType="begin"/>
      </w:r>
      <w:r w:rsidR="006A4942">
        <w:instrText xml:space="preserve"> ADDIN ZOTERO_ITEM CSL_CITATION {"citationID":"ZsjASiqo","properties":{"formattedCitation":"({\\i{}58}, {\\i{}59})","plainCitation":"(58, 59)","noteIndex":0},"citationItems":[{"id":3378,"uris":["http://zotero.org/users/13901503/items/TZK8TZFH"],"itemData":{"id":3378,"type":"article-journal","container-title":"Journal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58</w:t>
      </w:r>
      <w:r w:rsidR="006A4942" w:rsidRPr="006A4942">
        <w:rPr>
          <w:rFonts w:eastAsiaTheme="minorHAnsi"/>
          <w14:ligatures w14:val="standardContextual"/>
        </w:rPr>
        <w:t xml:space="preserve">, </w:t>
      </w:r>
      <w:r w:rsidR="006A4942" w:rsidRPr="006A4942">
        <w:rPr>
          <w:rFonts w:eastAsiaTheme="minorHAnsi"/>
          <w:i/>
          <w:iCs/>
          <w14:ligatures w14:val="standardContextual"/>
        </w:rPr>
        <w:t>59</w:t>
      </w:r>
      <w:r w:rsidR="006A4942" w:rsidRPr="006A4942">
        <w:rPr>
          <w:rFonts w:eastAsiaTheme="minorHAnsi"/>
          <w14:ligatures w14:val="standardContextual"/>
        </w:rPr>
        <w:t>)</w:t>
      </w:r>
      <w:r>
        <w:fldChar w:fldCharType="end"/>
      </w:r>
      <w:r>
        <w:t xml:space="preserve">. However, we also found a decrease in pathways involved in lipid catabolism and recycling, including fatty acid β-oxidation, fatty acid salvage, and phospholipid turnover, which likely impairs membrane repair </w:t>
      </w:r>
      <w:r>
        <w:lastRenderedPageBreak/>
        <w:t xml:space="preserve">mechanisms </w:t>
      </w:r>
      <w:r>
        <w:fldChar w:fldCharType="begin"/>
      </w:r>
      <w:r w:rsidR="006A4942">
        <w:instrText xml:space="preserve"> ADDIN ZOTERO_ITEM CSL_CITATION {"citationID":"lWyrjH6E","properties":{"formattedCitation":"({\\i{}59}, {\\i{}60})","plainCitation":"(59, 60)","noteIndex":0},"citationItems":[{"id":3285,"uris":["http://zotero.org/users/13901503/items/932HVZ4C"],"itemData":{"id":3285,"type":"article-journal","container-title":"Journal of Biological Chemistry","DOI":"10.1016/S0021-9258(17)36794-7","ISSN":"00219258","issue":"18","journalAbbreviation":"Journal of Biological Chemistry","language":"en","license":"https://www.elsevier.com/tdm/userlicense/1.0/","page":"13057-13060","source":"DOI.org (Crossref)","title":"Diversity of group types, regulation, and function of phospholipase A2.","volume":"269","author":[{"family":"Dennis","given":"E.A."}],"issued":{"date-parts":[["1994",5]]}}},{"id":3286,"uris":["http://zotero.org/users/13901503/items/VXSZL448"],"itemData":{"id":3286,"type":"article-journal","abstract":"The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59</w:t>
      </w:r>
      <w:r w:rsidR="006A4942" w:rsidRPr="006A4942">
        <w:rPr>
          <w:rFonts w:eastAsiaTheme="minorHAnsi"/>
          <w14:ligatures w14:val="standardContextual"/>
        </w:rPr>
        <w:t xml:space="preserve">, </w:t>
      </w:r>
      <w:r w:rsidR="006A4942" w:rsidRPr="006A4942">
        <w:rPr>
          <w:rFonts w:eastAsiaTheme="minorHAnsi"/>
          <w:i/>
          <w:iCs/>
          <w14:ligatures w14:val="standardContextual"/>
        </w:rPr>
        <w:t>60</w:t>
      </w:r>
      <w:r w:rsidR="006A4942" w:rsidRPr="006A4942">
        <w:rPr>
          <w:rFonts w:eastAsiaTheme="minorHAnsi"/>
          <w14:ligatures w14:val="standardContextual"/>
        </w:rPr>
        <w:t>)</w:t>
      </w:r>
      <w:r>
        <w:fldChar w:fldCharType="end"/>
      </w:r>
      <w:r w:rsidRPr="00F865AD">
        <w:t xml:space="preserve"> </w:t>
      </w:r>
      <w:r>
        <w:t xml:space="preserve">and may compromise integrity during extended periods of high temperatures. Further, we observed an increase in anaerobic pathways, including the reductive TCA cycle and several involved in glycolysis, alongside a decrease in pathways that support aerobic metabolism, including the </w:t>
      </w:r>
      <w:r w:rsidRPr="00936894">
        <w:t>pyruvate dehydrogenase</w:t>
      </w:r>
      <w:r>
        <w:t xml:space="preserve"> complex, the TCA cycle, and glyoxylate cycle (Fig 3B). </w:t>
      </w:r>
      <w:r w:rsidRPr="005B0F26">
        <w:t xml:space="preserve">This may reflect a response to changing oxygen gradients with rising temperatures to maintain energy production </w:t>
      </w:r>
      <w:r w:rsidRPr="005B0F26">
        <w:fldChar w:fldCharType="begin"/>
      </w:r>
      <w:r w:rsidR="006A4942">
        <w:instrText xml:space="preserve"> ADDIN ZOTERO_ITEM CSL_CITATION {"citationID":"RZiOC71a","properties":{"formattedCitation":"({\\i{}61})","plainCitation":"(61)","noteIndex":0},"citationItems":[{"id":3205,"uris":["http://zotero.org/users/13901503/items/CADITA73"],"itemData":{"id":3205,"type":"article-journal","abstract":"Exposure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6A4942">
        <w:rPr>
          <w:rFonts w:ascii="Cambria Math" w:hAnsi="Cambria Math" w:cs="Cambria Math"/>
        </w:rPr>
        <w:instrText>𝑃</w:instrText>
      </w:r>
      <w:r w:rsidR="006A4942">
        <w:instrText xml:space="preserve">⁢CO2P⁢CO2, while decreasing venous O2 saturation and venous pH. One hour after heat exposure, liver glycogen levels were decreased </w:instrText>
      </w:r>
      <w:r w:rsidR="006A4942">
        <w:rPr>
          <w:rFonts w:ascii="Cambria Math" w:hAnsi="Cambria Math" w:cs="Cambria Math"/>
        </w:rPr>
        <w:instrText>∼</w:instrText>
      </w:r>
      <w:r w:rsidR="006A4942">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rsidRPr="005B0F26">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61</w:t>
      </w:r>
      <w:r w:rsidR="006A4942" w:rsidRPr="006A4942">
        <w:rPr>
          <w:rFonts w:eastAsiaTheme="minorHAnsi"/>
          <w14:ligatures w14:val="standardContextual"/>
        </w:rPr>
        <w:t>)</w:t>
      </w:r>
      <w:r w:rsidRPr="005B0F26">
        <w:fldChar w:fldCharType="end"/>
      </w:r>
      <w:r w:rsidRPr="005B0F26">
        <w:t>. The anaerobic pathways primarily metabolized simple carbohydrates and coincided with a decline in complex polysaccharide fermentation, likely reflecting taxonomic shifts with rising temperatures</w:t>
      </w:r>
      <w:r>
        <w:t xml:space="preserve"> </w:t>
      </w:r>
      <w:r>
        <w:fldChar w:fldCharType="begin"/>
      </w:r>
      <w:r>
        <w:instrText xml:space="preserve"> ADDIN ZOTERO_ITEM CSL_CITATION {"citationID":"dysJaYGy","properties":{"formattedCitation":"({\\i{}37})","plainCitation":"(37)","noteIndex":0},"citationItems":[{"id":3409,"uris":["http://zotero.org/users/13901503/items/73VRZX5M"],"itemData":{"id":3409,"type":"article-journal","abstract":"Bacteria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fldChar w:fldCharType="separate"/>
      </w:r>
      <w:r w:rsidRPr="00B52801">
        <w:t>(</w:t>
      </w:r>
      <w:r w:rsidRPr="00B52801">
        <w:rPr>
          <w:i/>
          <w:iCs/>
        </w:rPr>
        <w:t>37</w:t>
      </w:r>
      <w:r w:rsidRPr="00B52801">
        <w:t>)</w:t>
      </w:r>
      <w:r>
        <w:fldChar w:fldCharType="end"/>
      </w:r>
      <w:r>
        <w:t xml:space="preserve">. </w:t>
      </w:r>
    </w:p>
    <w:p w14:paraId="73EF78C5" w14:textId="4CB98BCB" w:rsidR="005B0F26" w:rsidRDefault="005B0F26" w:rsidP="005B0F26">
      <w:pPr>
        <w:ind w:firstLine="720"/>
      </w:pPr>
      <w:r>
        <w:t xml:space="preserve">We also observed declines in pathways that support redox maintenance and cycling (Fig 3C), including the synthesis of cofactors such as B vitamins </w:t>
      </w:r>
      <w:r>
        <w:fldChar w:fldCharType="begin"/>
      </w:r>
      <w:r w:rsidR="006A4942">
        <w:instrText xml:space="preserve"> ADDIN ZOTERO_ITEM CSL_CITATION {"citationID":"oWPRpQeE","properties":{"formattedCitation":"({\\i{}62}, {\\i{}63})","plainCitation":"(62, 63)","noteIndex":0},"citationItems":[{"id":3227,"uris":["http://zotero.org/users/13901503/items/9DQLWAKU"],"itemData":{"id":3227,"type":"article-journal","abstract":"Vitamin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62</w:t>
      </w:r>
      <w:r w:rsidR="006A4942" w:rsidRPr="006A4942">
        <w:rPr>
          <w:rFonts w:eastAsiaTheme="minorHAnsi"/>
          <w14:ligatures w14:val="standardContextual"/>
        </w:rPr>
        <w:t xml:space="preserve">, </w:t>
      </w:r>
      <w:r w:rsidR="006A4942" w:rsidRPr="006A4942">
        <w:rPr>
          <w:rFonts w:eastAsiaTheme="minorHAnsi"/>
          <w:i/>
          <w:iCs/>
          <w14:ligatures w14:val="standardContextual"/>
        </w:rPr>
        <w:t>63</w:t>
      </w:r>
      <w:r w:rsidR="006A4942" w:rsidRPr="006A4942">
        <w:rPr>
          <w:rFonts w:eastAsiaTheme="minorHAnsi"/>
          <w14:ligatures w14:val="standardContextual"/>
        </w:rPr>
        <w:t>)</w:t>
      </w:r>
      <w:r>
        <w:fldChar w:fldCharType="end"/>
      </w:r>
      <w:r>
        <w:t xml:space="preserve">, coenzymes </w:t>
      </w:r>
      <w:r>
        <w:fldChar w:fldCharType="begin"/>
      </w:r>
      <w:r w:rsidR="006A4942">
        <w:instrText xml:space="preserve"> ADDIN ZOTERO_ITEM CSL_CITATION {"citationID":"4f75BpHM","properties":{"formattedCitation":"({\\i{}64})","plainCitation":"(64)","noteIndex":0},"citationItems":[{"id":3237,"uris":["http://zotero.org/users/13901503/items/VLNZSILJ"],"itemData":{"id":3237,"type":"article-journal","abstract":"In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64</w:t>
      </w:r>
      <w:r w:rsidR="006A4942" w:rsidRPr="006A4942">
        <w:rPr>
          <w:rFonts w:eastAsiaTheme="minorHAnsi"/>
          <w14:ligatures w14:val="standardContextual"/>
        </w:rPr>
        <w:t>)</w:t>
      </w:r>
      <w:r>
        <w:fldChar w:fldCharType="end"/>
      </w:r>
      <w:r>
        <w:t xml:space="preserve">, antioxidant precursors to glutathione </w:t>
      </w:r>
      <w:r>
        <w:fldChar w:fldCharType="begin"/>
      </w:r>
      <w:r w:rsidR="006A4942">
        <w:instrText xml:space="preserve"> ADDIN ZOTERO_ITEM CSL_CITATION {"citationID":"2FPwkzM8","properties":{"formattedCitation":"({\\i{}65})","plainCitation":"(65)","noteIndex":0},"citationItems":[{"id":3229,"uris":["http://zotero.org/users/13901503/items/98ARRTVI"],"itemData":{"id":3229,"type":"article-journal","abstract":"Background\nGlutathione (GSH) is present in all mammalian tissues as the most abundant non-protein thiol that defends against oxidative stress. GSH is also a key determinant of redox signaling, vital in detoxification of xenobiotics, and regulates cell proliferation, apoptosis, immune function, and fibrogenesis. Biosynthesis of GSH occurs in the cytosol in a tightly regulated manner. Key determinants of GSH synthesis are the availability of the sulfur amino acid precursor, cysteine, and the activity of the rate-limiting enzyme, glutamate cysteine ligase (GCL), which is composed of a catalytic (GCLC) and a modifier (GCLM) subunit. The second enzyme of GSH synthesis is GSH synthetase (GS).\nScope of review\nThis review summarizes key functions of GSH and focuses on factors that regulate the biosynthesis of GSH, including pathological conditions where GSH synthesis is dysregulated.\nMajor conclusions\nGCL subunits and GS are regulated at multiple levels and often in a coordinated manner. Key transcription factors that regulate the expression of these genes include NF-E2 related factor 2 (Nrf2) via the antioxidant response element (ARE), AP-1, and nuclear factor kappa B (NFκB). There is increasing evidence that dysregulation of GSH synthesis contributes to the pathogenesis of many pathological conditions. These include diabetes mellitus, pulmonary and liver fibrosis, alcoholic liver disease, cholestatic liver injury, endotoxemia and drug-resistant tumor cells.\nGeneral significance\nGSH is a key antioxidant that also modulates diverse cellular processes. A better understanding of how its synthesis is regulated and dysregulated in disease states may lead to improvement in the treatment of these disorders. This article is part of a Special Issue entitled Cellular functions of glutathione.","collection-title":"Cellular functions of glutathione","container-title":"Biochimica et Biophysica Acta (BBA) - General Subjects","DOI":"10.1016/j.bbagen.2012.09.008","ISSN":"0304-4165","issue":"5","journalAbbreviation":"Biochimica et Biophysica Acta (BBA) - General Subjects","page":"3143-3153","source":"ScienceDirect","title":"Glutathione synthesis","volume":"1830","author":[{"family":"Lu","given":"Shelly C."}],"issued":{"date-parts":[["2013",5,1]]}}}],"schema":"https://github.com/citation-style-language/schema/raw/master/csl-citation.json"}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65</w:t>
      </w:r>
      <w:r w:rsidR="006A4942" w:rsidRPr="006A4942">
        <w:rPr>
          <w:rFonts w:eastAsiaTheme="minorHAnsi"/>
          <w14:ligatures w14:val="standardContextual"/>
        </w:rPr>
        <w:t>)</w:t>
      </w:r>
      <w:r>
        <w:fldChar w:fldCharType="end"/>
      </w:r>
      <w:r>
        <w:t xml:space="preserve">, NADPH production, quinone synthesis, siderophore-mediated iron transport </w:t>
      </w:r>
      <w:r>
        <w:fldChar w:fldCharType="begin"/>
      </w:r>
      <w:r w:rsidR="006A4942">
        <w:instrText xml:space="preserve"> ADDIN ZOTERO_ITEM CSL_CITATION {"citationID":"y82X9Nji","properties":{"formattedCitation":"({\\i{}66}, {\\i{}67})","plainCitation":"(66, 67)","noteIndex":0},"citationItems":[{"id":3234,"uris":["http://zotero.org/users/13901503/items/QMLXH9TP"],"itemData":{"id":3234,"type":"article-journal","abstract":"In this mini-review we present an environmental iron mobility/transport scheme consisting of inter-related controls, whereby the first coordination shell of iron modulates the iron redox potential (E1/2), and the oxidation state of iron controls the chemistry of the first coordination sphere and therefore the immediate chemical environment of the iron. Siderophores (microbially generated iron specific chelators) may be viewed as iron redox mediators. Siderophore chelation of environmental iron in a reduced (Fe(II)) oxidation state results in facile air oxidation of iron due to the negative redox potentials observed for Fe-siderophore complexes. This solubilizes the iron and locks it into a specific coordination environment, thereby preventing hydrolysis and precipitation. The high-spin Fe3+ → Fe+ electron transfer process may be viewed as a switch that controls the thermodynamic stability and kinetic lability of the first coordination shell. Reduction of iron(III)-siderophore complexes to iron(II)-siderophore complexes decreases thermodynamic stability, increases the rate of siderophore ligand exchange, and increases the ease of siderophore donor atom protonation, thus facilitating a rapid turnover of the first coordination shell. Results are presented for iron-siderophore pH and oxidation state dependent speciation studies that are relevant to environmental and microbial iron mobility and transport.","container-title":"Geomicrobiology Journal","DOI":"10.1080/01490450590945870","ISSN":"0149-0451","issue":"3-4","note":"publisher: Taylor &amp; Francis\n_eprint: https://doi.org/10.1080/01490450590945870","page":"87-98","source":"Taylor and Francis+NEJM","title":"Coordination Chemistry and Redox Processes in Siderophore-Mediated Iron Transport","volume":"22","author":[{"family":"Dhungana","given":"Suraj"},{"family":"Crumbliss","given":"Alvin L.","non-dropping-particle":"and"}],"issued":{"date-parts":[["2005",4,1]]}}},{"id":3239,"uris":["http://zotero.org/users/13901503/items/F8CEHMIS"],"itemData":{"id":3239,"type":"article-journal","abstract":"Accumulating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66</w:t>
      </w:r>
      <w:r w:rsidR="006A4942" w:rsidRPr="006A4942">
        <w:rPr>
          <w:rFonts w:eastAsiaTheme="minorHAnsi"/>
          <w14:ligatures w14:val="standardContextual"/>
        </w:rPr>
        <w:t xml:space="preserve">, </w:t>
      </w:r>
      <w:r w:rsidR="006A4942" w:rsidRPr="006A4942">
        <w:rPr>
          <w:rFonts w:eastAsiaTheme="minorHAnsi"/>
          <w:i/>
          <w:iCs/>
          <w14:ligatures w14:val="standardContextual"/>
        </w:rPr>
        <w:t>67</w:t>
      </w:r>
      <w:r w:rsidR="006A4942" w:rsidRPr="006A4942">
        <w:rPr>
          <w:rFonts w:eastAsiaTheme="minorHAnsi"/>
          <w14:ligatures w14:val="standardContextual"/>
        </w:rPr>
        <w:t>)</w:t>
      </w:r>
      <w:r>
        <w:fldChar w:fldCharType="end"/>
      </w:r>
      <w:r>
        <w:t xml:space="preserve">, and detoxification pathways for aromatic compounds and aldehydes </w:t>
      </w:r>
      <w:r>
        <w:fldChar w:fldCharType="begin"/>
      </w:r>
      <w:r w:rsidR="006A4942">
        <w:instrText xml:space="preserve"> ADDIN ZOTERO_ITEM CSL_CITATION {"citationID":"G5HPTnWo","properties":{"formattedCitation":"({\\i{}68})","plainCitation":"(68)","noteIndex":0},"citationItems":[{"id":3232,"uris":["http://zotero.org/users/13901503/items/SDBLCJVJ"],"itemData":{"id":3232,"type":"article-journal","abstract":"Despite the growing interest towards methylglyoxal and glyoxalases their real role in metabolic network is still obscure. In the light of developments several reviews have been published in this field mainly dealing with only a narrow segment of this research area. In this article a trial is made to present a comprehensive overview of methylglyoxal research, extending discussion from chemistry to biological implications by reviewing some important characteristics of methylglyoxal metabolism and toxicity in a wide variety of species, and emphasizing the action of methylglyoxal on energy production, free radical generation and cell killing. Special attention is paid to the discussion of α-oxoaldehyde production in the environment as a potential risk factor and to the possible role of this α-dicarbonyl in diseases. Concerning the interaction of methylglyoxal with biological macromolecules (DNA, RNA, proteins) an earlier review (Kalapos, Toxicology Letters, 73, 1994, 3–24) means a supplementation to this paper, thus hoping the avoidance of unnecessary bombast. The paper arrives at the conclusion that since the early stage of evolution the function of methylglyoxalase pathway has been related to carbohydrate metabolism, but its significance has been changed over the thousands of years. Namely, at the beginning of evolution methylglyoxalase path was essential for the reductive citric acid cycle as an anaplerotic route, while in the extant metabolism it concerns with the detoxification of methylglyoxal and plays some regulatory role in triose-phosphate household. As there is a tight junction between methylglyoxal and carbohydrate metabolism its pathological role in the events of the development of diabetic complications emerges in a natural manner and further progress is hoped in this field. In contrast, significant advancement cannot be expected in relation to cancer research","container-title":"Toxicology Letters","DOI":"10.1016/S0378-4274(99)00160-5","ISSN":"0378-4274","issue":"3","journalAbbreviation":"Toxicology Letters","page":"145-175","source":"ScienceDirect","title":"Methylglyoxal in living organisms: Chemistry, biochemistry, toxicology and biological implications","title-short":"Methylglyoxal in living organisms","volume":"110","author":[{"family":"Kalapos","given":"Miklós Péter"}],"issued":{"date-parts":[["1999",11,22]]}}}],"schema":"https://github.com/citation-style-language/schema/raw/master/csl-citation.json"}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68</w:t>
      </w:r>
      <w:r w:rsidR="006A4942" w:rsidRPr="006A4942">
        <w:rPr>
          <w:rFonts w:eastAsiaTheme="minorHAnsi"/>
          <w14:ligatures w14:val="standardContextual"/>
        </w:rPr>
        <w:t>)</w:t>
      </w:r>
      <w:r>
        <w:fldChar w:fldCharType="end"/>
      </w:r>
      <w:r>
        <w:t xml:space="preserve">. In conjunction, we observed an increase in nucleotide and translation-associated metabolism pathways (Fig 3D), such as purine and pyrimidine de novo synthesis, nucleotide salvage and recycling </w:t>
      </w:r>
      <w:r>
        <w:fldChar w:fldCharType="begin"/>
      </w:r>
      <w:r w:rsidR="006A4942">
        <w:instrText xml:space="preserve"> ADDIN ZOTERO_ITEM CSL_CITATION {"citationID":"VWKBgd91","properties":{"formattedCitation":"({\\i{}69}, {\\i{}70})","plainCitation":"(69, 70)","noteIndex":0},"citationItems":[{"id":3291,"uris":["http://zotero.org/users/13901503/items/6MPJ4SKF"],"itemData":{"id":3291,"type":"article-journal","abstract":"Most metabolic reactions are connected through either their utilization of nucleotides or their utilization of nucleotides or their regulation by these metabolites. In this review the biosynthetic pathways for pyrimidine and purine metabolism in lactic acid bacteria are described including the interconversion pathways, the formation of deoxyribonucleotides and the salvage pathways for use of exogenous precursors. The data for the enzymatic and the genetic regulation of these pathways are reviewed, as well as the gene organizations in diﬀerent lactic acid bacteria. Mutant phenotypes and methods for manipulation of nucleotide pools are also discussed. Our aim is to provide an overview of the physiology and genetics of nucleotide metabolism and its regulation that will facilitate the interpretation of data arising from genetics, metabolomics, proteomics, and transcriptomics in lactic acid bacteria.","container-title":"FEMS Microbiology Reviews","DOI":"10.1016/j.fmrre.2005.04.006","ISSN":"1574-6976","issue":"3","journalAbbreviation":"FEMS Microbiol Rev","language":"en","page":"555-590","source":"DOI.org (Crossref)","title":"Nucleotide metabolism and its control in lactic acid bacteria","volume":"29","author":[{"family":"Kilstrup","given":"Mogens"},{"family":"Hammer","given":"Karin"},{"family":"Ruhdal Jensen","given":"Peter"},{"family":"Martinussen","given":"Jan"}],"issued":{"date-parts":[["2005",8]]}}},{"id":3293,"uris":["http://zotero.org/users/13901503/items/ZVCXJZJX"],"itemData":{"id":3293,"type":"article-journal","abstract":"Nucleotides are required for a wide variety of biological processes and are constantly synthesized de novo in all cells. When cells proliferate, increased nucleotide synthesis is necessary for DNA replication and for RNA production to support protein synthesis at different stages of the cell cycle, during which these events are regulated at multiple levels. Therefore the synthesis of the precursor nucleotides is also strongly regulated at multiple levels. Nucleotide synthesis is an energy intensive process that uses multiple metabolic pathways across different cell compartments and several sources of carbon and nitrogen. The processes are regulated at the transcription level by a set of master transcription factors but also at the enzyme level by allosteric regulation and feedback inhibition. Here we review the cellular demands of nucleotide biosynthesis, their metabolic pathways and mechanisms of regulation during the cell cycle. The use of stable isotope tracers for delineating the biosynthetic routes of the multiple intersecting pathways and how these are quantitatively controlled under different conditions is also highlighted. Moreover, the importance of nucleotide synthesis for cell viability is discussed and how this may lead to potential new approaches to drug development in diseases such as cancer.","container-title":"Nucleic Acids Research","DOI":"10.1093/nar/gkv047","ISSN":"1362-4962, 0305-1048","issue":"4","language":"en","license":"http://creativecommons.org/licenses/by/4.0/","page":"2466-2485","source":"DOI.org (Crossref)","title":"Regulation of mammalian nucleotide metabolism and biosynthesis","volume":"43","author":[{"family":"Lane","given":"Andrew N"},{"family":"Fan","given":"Teresa W-M"}],"issued":{"date-parts":[["2015",2,27]]}}}],"schema":"https://github.com/citation-style-language/schema/raw/master/csl-citation.json"}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69</w:t>
      </w:r>
      <w:r w:rsidR="006A4942" w:rsidRPr="006A4942">
        <w:rPr>
          <w:rFonts w:eastAsiaTheme="minorHAnsi"/>
          <w14:ligatures w14:val="standardContextual"/>
        </w:rPr>
        <w:t xml:space="preserve">, </w:t>
      </w:r>
      <w:r w:rsidR="006A4942" w:rsidRPr="006A4942">
        <w:rPr>
          <w:rFonts w:eastAsiaTheme="minorHAnsi"/>
          <w:i/>
          <w:iCs/>
          <w14:ligatures w14:val="standardContextual"/>
        </w:rPr>
        <w:t>70</w:t>
      </w:r>
      <w:r w:rsidR="006A4942" w:rsidRPr="006A4942">
        <w:rPr>
          <w:rFonts w:eastAsiaTheme="minorHAnsi"/>
          <w14:ligatures w14:val="standardContextual"/>
        </w:rPr>
        <w:t>)</w:t>
      </w:r>
      <w:r>
        <w:fldChar w:fldCharType="end"/>
      </w:r>
      <w:r>
        <w:t xml:space="preserve">, </w:t>
      </w:r>
      <w:proofErr w:type="spellStart"/>
      <w:r w:rsidRPr="00F33655">
        <w:t>queuosine</w:t>
      </w:r>
      <w:proofErr w:type="spellEnd"/>
      <w:r w:rsidRPr="00F33655">
        <w:t xml:space="preserve"> synthesis</w:t>
      </w:r>
      <w:r>
        <w:t>,</w:t>
      </w:r>
      <w:r w:rsidRPr="00F33655">
        <w:t xml:space="preserve"> and S-adenosylmethionine salvage</w:t>
      </w:r>
      <w:r>
        <w:t xml:space="preserve"> </w:t>
      </w:r>
      <w:r>
        <w:fldChar w:fldCharType="begin"/>
      </w:r>
      <w:r w:rsidR="006A4942">
        <w:instrText xml:space="preserve"> ADDIN ZOTERO_ITEM CSL_CITATION {"citationID":"myPXfqfe","properties":{"formattedCitation":"({\\i{}71})","plainCitation":"(71)","noteIndex":0},"citationItems":[{"id":3370,"uris":["http://zotero.org/users/13901503/items/M6A7QA65"],"itemData":{"id":3370,"type":"article-journal","abstract":"tRNAs possess a high content of modified nucleosides, which display an incredible structural variety. These modified nucleosides are conserved in their sequence and have important roles in tRNA functions. Most often, hypermodified nucleosides are found in the wobble position of tRNAs, which play a direct role in maintaining translational efficiency and fidelity, codon recognition, etc. One of such hypermodified base is queuine, which is a base analogue of guanine, found in the first anticodon position of specific tRNAs (tyrosine, histidine, aspartate and asparagine tRNAs). These tRNAs of the ‘Q-family’ originally contain guanine in the first position of anticodon, which is post-transcriptionally modified with queuine by an irreversible insertion during maturation. Queuine is ubiquitously present throughout the living system from prokaryotes to eukaryotes, including plants. Prokaryotes can synthesize queuine de novo by a complex biosynthetic pathway, whereas eukaryotes are unable to synthesize either the precursor or queuine. They utilize salvage system and acquire queuine as a nutrient factor from their diet or from intestinal microflora. The tRNAs of the Q-family are completely modified in terminally differentiated somatic cells. However, hypomodification of Q-tRNA (queuosine-modified tRNA) is closely associated with cell proliferation and malignancy. The precise mechanisms of queuine- and Q-tRNA-mediated action are still a mystery. Direct or indirect evidence suggests that queuine or Q-tRNA participates in many cellular functions, such as inhibition of cell proliferation, control of aerobic and anaerobic metabolism, bacterial virulence, etc. The role of Q-tRNA modification in cellular machinery and the signalling pathways involved therein is the focus of this review.","container-title":"Bioscience Reports","DOI":"10.1042/BSR20090057","ISSN":"0144-8463","issue":"2","journalAbbreviation":"Bioscience Reports","page":"135-148","source":"Silverchair","title":"Queuosine modification of tRNA: its divergent role in cellular machinery","title-short":"Queuosine modification of tRNA","volume":"30","author":[{"family":"Vinayak","given":"Manjula"},{"family":"Pathak","given":"Chandramani"}],"issued":{"date-parts":[["2009",11,23]]}}}],"schema":"https://github.com/citation-style-language/schema/raw/master/csl-citation.json"}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71</w:t>
      </w:r>
      <w:r w:rsidR="006A4942" w:rsidRPr="006A4942">
        <w:rPr>
          <w:rFonts w:eastAsiaTheme="minorHAnsi"/>
          <w14:ligatures w14:val="standardContextual"/>
        </w:rPr>
        <w:t>)</w:t>
      </w:r>
      <w:r>
        <w:fldChar w:fldCharType="end"/>
      </w:r>
      <w:r>
        <w:t xml:space="preserve">. </w:t>
      </w:r>
      <w:r w:rsidRPr="005B0F26">
        <w:t xml:space="preserve">This coordinated increase in nucleotide and translation-associated metabolism may reflect the consequences of redox imbalance at high temperatures because the accumulation of ROS can lead to DNA damage </w:t>
      </w:r>
      <w:r w:rsidRPr="005B0F26">
        <w:fldChar w:fldCharType="begin"/>
      </w:r>
      <w:r w:rsidR="006A4942">
        <w:instrText xml:space="preserve"> ADDIN ZOTERO_ITEM CSL_CITATION {"citationID":"De7gRBET","properties":{"formattedCitation":"({\\i{}72})","plainCitation":"(72)","noteIndex":0},"citationItems":[{"id":3368,"uris":["http://zotero.org/users/13901503/items/R3YTNYU9"],"itemData":{"id":3368,"type":"article-journal","abstract":"Excess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rsidRPr="005B0F26">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72</w:t>
      </w:r>
      <w:r w:rsidR="006A4942" w:rsidRPr="006A4942">
        <w:rPr>
          <w:rFonts w:eastAsiaTheme="minorHAnsi"/>
          <w14:ligatures w14:val="standardContextual"/>
        </w:rPr>
        <w:t>)</w:t>
      </w:r>
      <w:r w:rsidRPr="005B0F26">
        <w:fldChar w:fldCharType="end"/>
      </w:r>
      <w:r w:rsidRPr="005B0F26">
        <w:t>. Some pathways that support redox maintenance increased with rising</w:t>
      </w:r>
      <w:r>
        <w:t xml:space="preserve"> temperatures (Fig 3D), including the synthesis of antioxidant precursors and vitamin B12 </w:t>
      </w:r>
      <w:r>
        <w:fldChar w:fldCharType="begin"/>
      </w:r>
      <w:r w:rsidR="006A4942">
        <w:instrText xml:space="preserve"> ADDIN ZOTERO_ITEM CSL_CITATION {"citationID":"RysgoECv","properties":{"formattedCitation":"({\\i{}73})","plainCitation":"(73)","noteIndex":0},"citationItems":[{"id":3337,"uris":["http://zotero.org/users/13901503/items/ZQRDCT8W"],"itemData":{"id":3337,"type":"article-journal","abstract":"One of the most alluring and fascinating molecules in the world of science and medicine is vitamin B12 (cobalamin), which was originally discovered as the anti pernicious anemia factor and whose enigmatic complex structure is matched only by the beguiling chemistry that it mediates. The biosynthesis of this essential nutrient is intricate, involved and, remarkably, confined to certain members of the prokaryotic world, seemingly never have to have made the eukaryotic transition. In humans, the vitamin is required in trace amounts (approximately 1 µg/day) to assist the actions of only two enzymes, methionine synthase and (R)-methylmalonyl-CoA mutase; yet commercially more than 10 t of B12 are produced each year from a number of bacterial species. The rich scientific history of vitamin B12 research, its biological functions and the pathways employed by bacteria for its de novo synthesis are described. Current strategies for the improvement of vitamin B12 production using modern biotechnological techniques are outlined.","container-title":"Applied Microbiology and Biotechnology","DOI":"10.1007/s00253-001-0902-7","ISSN":"1432-0614","issue":"3","journalAbbreviation":"Appl Microbiol Biotechnol","language":"en","license":"2001 Springer-Verlag","note":"Company: Springer\nDistributor: Springer\nInstitution: Springer\nLabel: Springer\nnumber: 3\npublisher: Springer-Verlag","page":"275-285","source":"link-springer-com.proxy.lib.umich.edu","title":"Microbial production of vitamin B12","volume":"58","author":[{"family":"Martens","given":"J.-H."},{"family":"Barg","given":"H."},{"family":"Warren","given":"M."},{"family":"Jahn","given":"D."}],"issued":{"date-parts":[["2002",3,1]]}}}],"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73</w:t>
      </w:r>
      <w:r w:rsidR="006A4942" w:rsidRPr="006A4942">
        <w:rPr>
          <w:rFonts w:eastAsiaTheme="minorHAnsi"/>
          <w14:ligatures w14:val="standardContextual"/>
        </w:rPr>
        <w:t>)</w:t>
      </w:r>
      <w:r>
        <w:fldChar w:fldCharType="end"/>
      </w:r>
      <w:r>
        <w:t xml:space="preserve">, coenzyme metabolism </w:t>
      </w:r>
      <w:r>
        <w:fldChar w:fldCharType="begin"/>
      </w:r>
      <w:r w:rsidR="006A4942">
        <w:instrText xml:space="preserve"> ADDIN ZOTERO_ITEM CSL_CITATION {"citationID":"RUb5pm3b","properties":{"formattedCitation":"({\\i{}74})","plainCitation":"(74)","noteIndex":0},"citationItems":[{"id":3246,"uris":["http://zotero.org/users/13901503/items/SBMSGALS"],"itemData":{"id":3246,"type":"article-journal","container-title":"Trends in Biochemical Sciences","DOI":"10.1016/j.tibs.2006.11.006","ISSN":"0968-0004","issue":"1","journalAbbreviation":"Trends in Biochemical Sciences","language":"English","note":"publisher: Elsevier\nPMID: 17161604","page":"12-19","source":"www-cell-com.proxy.lib.umich.edu","title":"NAD+ metabolism in health and disease","volume":"32","author":[{"family":"Belenky","given":"Peter"},{"family":"Bogan","given":"Katrina L."},{"family":"Brenner","given":"Charles"}],"issued":{"date-parts":[["2007",1,1]]}}}],"schema":"https://github.com/citation-style-language/schema/raw/master/csl-citation.json"}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74</w:t>
      </w:r>
      <w:r w:rsidR="006A4942" w:rsidRPr="006A4942">
        <w:rPr>
          <w:rFonts w:eastAsiaTheme="minorHAnsi"/>
          <w14:ligatures w14:val="standardContextual"/>
        </w:rPr>
        <w:t>)</w:t>
      </w:r>
      <w:r>
        <w:fldChar w:fldCharType="end"/>
      </w:r>
      <w:r>
        <w:t xml:space="preserve">, and degradation of vitamin-like compounds </w:t>
      </w:r>
      <w:r>
        <w:fldChar w:fldCharType="begin"/>
      </w:r>
      <w:r w:rsidR="006A4942">
        <w:instrText xml:space="preserve"> ADDIN ZOTERO_ITEM CSL_CITATION {"citationID":"CONirrgu","properties":{"formattedCitation":"({\\i{}75})","plainCitation":"(75)","noteIndex":0},"citationItems":[{"id":3334,"uris":["http://zotero.org/users/13901503/items/68BGK4TV"],"itemData":{"id":3334,"type":"article-journal","abstract":"Vitamin C, a reducing agent and antioxidant, is a cofactor in reactions catalyzed by Cu+-dependent monooxygenases and Fe2+-dependent dioxygenases. It is synthesized, in vertebrates having this capacity, from d-glucuronate. The latter is formed through direct hydrolysis of uridine diphosphate (UDP)-glucuronate by enzyme(s) bound to the endoplasmic reticulum membrane, sharing many properties with, and most likely identical to, UDP-glucuronosyltransferases. Non-glucuronidable xenobiotics (aminopyrine, metyrapone, chloretone and others) stimulate the enzymatic hydrolysis of UDP-glucuronate, accounting for their effect to increase vitamin C formation in vivo. Glucuronate is converted to l-gulonate by aldehyde reductase, an enzyme of the aldo-keto reductase superfamily. l-Gulonate is converted to l-gulonolactone by a lactonase identified as SMP30 or regucalcin, whose absence in mice leads to vitamin C deficiency. The last step in the pathway of vitamin C synthesis is the oxidation of l-gulonolactone to l-ascorbic acid by l-gulonolactone oxidase, an enzyme associated with the endoplasmic reticulum membrane and deficient in man, guinea pig and other species due to mutations in its gene. Another fate of glucuronate is its conversion to d-xylulose in a five-step pathway, the pentose pathway, involving identified oxidoreductases and an unknown decarboxylase. Semidehydroascorbate, a major oxidation product of vitamin C, is reconverted to ascorbate in the cytosol by cytochrome b5 reductase and thioredoxin reductase in reactions involving NADH and NADPH, respectively. Transmembrane electron transfer systems using ascorbate or NADH as electron donors serve to reduce semidehydroascorbate present in neuroendocrine secretory vesicles and in the extracellular medium. Dehydroascorbate, the fully oxidized form of vitamin C, is reduced spontaneously by glutathione, as well as enzymatically in reactions using glutathione or NADPH. The degradation of vitamin C in mammals is initiated by the hydrolysis of dehydroascorbate to 2,3-diketo-l-gulonate, which is spontaneously degraded to oxalate, CO2 and l-erythrulose. This is at variance with bacteria such as Escherichia coli, which have enzymatic degradation pathways for ascorbate and probably also dehydroascorbate.","container-title":"The FEBS Journal","DOI":"10.1111/j.1742-4658.2006.05607.x","ISSN":"1742-4658","issue":"1","language":"en","note":"_eprint: https://febs.onlinelibrary.wiley.com/doi/pdf/10.1111/j.1742-4658.2006.05607.x","page":"1-22","source":"Wiley Online Library","title":"Vitamin C","volume":"274","author":[{"family":"Linster","given":"Carole L."},{"family":"Van Schaftingen","given":"Emile"}],"issued":{"date-parts":[["2007"]]}}}],"schema":"https://github.com/citation-style-language/schema/raw/master/csl-citation.json"}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75</w:t>
      </w:r>
      <w:r w:rsidR="006A4942" w:rsidRPr="006A4942">
        <w:rPr>
          <w:rFonts w:eastAsiaTheme="minorHAnsi"/>
          <w14:ligatures w14:val="standardContextual"/>
        </w:rPr>
        <w:t>)</w:t>
      </w:r>
      <w:r>
        <w:fldChar w:fldCharType="end"/>
      </w:r>
      <w:r>
        <w:t xml:space="preserve">, which may reflect a compensatory effort to restore redox balance. </w:t>
      </w:r>
    </w:p>
    <w:p w14:paraId="70235817" w14:textId="67E71F4F" w:rsidR="005B0F26" w:rsidRDefault="005B0F26" w:rsidP="005B0F26">
      <w:pPr>
        <w:ind w:firstLine="720"/>
      </w:pPr>
      <w:r>
        <w:t xml:space="preserve">Rising temperatures were also associated with a decline in </w:t>
      </w:r>
      <w:r w:rsidRPr="00183627">
        <w:t xml:space="preserve">pathways that </w:t>
      </w:r>
      <w:r>
        <w:t xml:space="preserve">produce metabolites known to support anti-inflammatory signaling (Fig 3E), including synthesis of the SCFAs butyrate and propanoate </w:t>
      </w:r>
      <w:r>
        <w:fldChar w:fldCharType="begin"/>
      </w:r>
      <w:r w:rsidR="006A4942">
        <w:instrText xml:space="preserve"> ADDIN ZOTERO_ITEM CSL_CITATION {"citationID":"BKbHZJDj","properties":{"formattedCitation":"({\\i{}42}, {\\i{}76})","plainCitation":"(42, 76)","noteIndex":0},"citationItems":[{"id":3266,"uris":["http://zotero.org/users/13901503/items/ZX3K6GKV"],"itemData":{"id":3266,"type":"article-journal","abstract":"In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42</w:t>
      </w:r>
      <w:r w:rsidR="006A4942" w:rsidRPr="006A4942">
        <w:rPr>
          <w:rFonts w:eastAsiaTheme="minorHAnsi"/>
          <w14:ligatures w14:val="standardContextual"/>
        </w:rPr>
        <w:t xml:space="preserve">, </w:t>
      </w:r>
      <w:r w:rsidR="006A4942" w:rsidRPr="006A4942">
        <w:rPr>
          <w:rFonts w:eastAsiaTheme="minorHAnsi"/>
          <w:i/>
          <w:iCs/>
          <w14:ligatures w14:val="standardContextual"/>
        </w:rPr>
        <w:t>76</w:t>
      </w:r>
      <w:r w:rsidR="006A4942" w:rsidRPr="006A4942">
        <w:rPr>
          <w:rFonts w:eastAsiaTheme="minorHAnsi"/>
          <w14:ligatures w14:val="standardContextual"/>
        </w:rPr>
        <w:t>)</w:t>
      </w:r>
      <w:r>
        <w:fldChar w:fldCharType="end"/>
      </w:r>
      <w:r>
        <w:t xml:space="preserve">, catabolism of monounsaturated fatty acids like oleate </w:t>
      </w:r>
      <w:r>
        <w:fldChar w:fldCharType="begin"/>
      </w:r>
      <w:r w:rsidR="006A4942">
        <w:instrText xml:space="preserve"> ADDIN ZOTERO_ITEM CSL_CITATION {"citationID":"wYIcCrwU","properties":{"formattedCitation":"({\\i{}77})","plainCitation":"(77)","noteIndex":0},"citationItems":[{"id":3176,"uris":["http://zotero.org/users/13901503/items/HTMPX6GE"],"itemData":{"id":3176,"type":"article-journal","abstract":"Monocytes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77</w:t>
      </w:r>
      <w:r w:rsidR="006A4942" w:rsidRPr="006A4942">
        <w:rPr>
          <w:rFonts w:eastAsiaTheme="minorHAnsi"/>
          <w14:ligatures w14:val="standardContextual"/>
        </w:rPr>
        <w:t>)</w:t>
      </w:r>
      <w:r>
        <w:fldChar w:fldCharType="end"/>
      </w:r>
      <w:r>
        <w:t xml:space="preserve">, and polyamine production from arginine degradation </w:t>
      </w:r>
      <w:r w:rsidRPr="001A4F55">
        <w:t xml:space="preserve">and ornithine synthesis </w:t>
      </w:r>
      <w:r w:rsidRPr="001A4F55">
        <w:fldChar w:fldCharType="begin"/>
      </w:r>
      <w:r w:rsidR="006A4942">
        <w:instrText xml:space="preserve"> ADDIN ZOTERO_ITEM CSL_CITATION {"citationID":"CTjLWKQl","properties":{"formattedCitation":"({\\i{}78})","plainCitation":"(78)","noteIndex":0},"citationItems":[{"id":3995,"uris":["http://zotero.org/users/13901503/items/3CHW39VH"],"itemData":{"id":3995,"type":"article-journal","abstract":"The intestinal epithelium is a rapidly self-renewing tissue; the rapid turnover prevents the invasion of pathogens and harmful components from the intestinal lumen, preventing inflammation and infectious diseases. Intestinal epithelial barrier function depends on the epithelial cell proliferation and junctions, as well as the state of the immune system in the lamina propria. Polyamines, particularly putrescine, spermidine, and spermine, are essential for many cell functions and play a crucial role in mammalian cellular homeostasis, such as that of cell growth, proliferation, differentiation, and maintenance, through multiple biological processes, including translation, transcription, and autophagy. Although the vital role of polyamines in normal intestinal epithelial cell growth and barrier function has been known since the 1980s, recent studies have provided new insights into this topic at the molecular level, such as eukaryotic initiation factor-5A hypusination and autophagy, with rapid advances in polyamine biology in normal cells using biological technologies. This review summarizes recent advances in our understanding of the role of polyamines in regulating normal, non-cancerous, intestinal epithelial barrier function, with a particular focus on intestinal epithelial renewal, cell junctions, and immune cell differentiation in the lamina propria.","container-title":"Seminars in Immunopathology","DOI":"10.1007/s00281-024-01035-4","ISSN":"1863-2300","issue":"1","journalAbbreviation":"Semin Immunopathol","language":"en","page":"9","source":"Springer Link","title":"Role of polyamines in intestinal mucosal barrier function","volume":"47","author":[{"family":"Nakamura","given":"Atsuo"},{"family":"Matsumoto","given":"Mitsuharu"}],"issued":{"date-parts":[["2025",1,21]]}}}],"schema":"https://github.com/citation-style-language/schema/raw/master/csl-citation.json"} </w:instrText>
      </w:r>
      <w:r w:rsidRPr="001A4F55">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78</w:t>
      </w:r>
      <w:r w:rsidR="006A4942" w:rsidRPr="006A4942">
        <w:rPr>
          <w:rFonts w:eastAsiaTheme="minorHAnsi"/>
          <w14:ligatures w14:val="standardContextual"/>
        </w:rPr>
        <w:t>)</w:t>
      </w:r>
      <w:r w:rsidRPr="001A4F55">
        <w:fldChar w:fldCharType="end"/>
      </w:r>
      <w:r>
        <w:t>.</w:t>
      </w:r>
      <w:r w:rsidRPr="00AD155B">
        <w:t xml:space="preserve"> </w:t>
      </w:r>
      <w:r>
        <w:t xml:space="preserve">However, these shifts were accompanied by an increase in select pathways that may help compensate for the loss of microbial immune regulation, including the synthesis of the </w:t>
      </w:r>
      <w:r w:rsidRPr="000C50E7">
        <w:t>saturated</w:t>
      </w:r>
      <w:r>
        <w:t xml:space="preserve"> fatty acids (5Z)-</w:t>
      </w:r>
      <w:proofErr w:type="spellStart"/>
      <w:r>
        <w:t>dodecenoate</w:t>
      </w:r>
      <w:proofErr w:type="spellEnd"/>
      <w:r>
        <w:t xml:space="preserve"> and L-tryptophan biosynthesis, which leads to the production of indole derivatives that suppress pro-inflammatory cytokine signaling </w:t>
      </w:r>
      <w:r>
        <w:fldChar w:fldCharType="begin"/>
      </w:r>
      <w:r w:rsidR="006A4942">
        <w:instrText xml:space="preserve"> ADDIN ZOTERO_ITEM CSL_CITATION {"citationID":"WbrfEbW1","properties":{"formattedCitation":"({\\i{}79})","plainCitation":"(79)","noteIndex":0},"citationItems":[{"id":3532,"uris":["http://zotero.org/users/13901503/items/X4GCYZZS"],"itemData":{"id":3532,"type":"article-journal","abstract":"Actions of symbiotic gut microbiota are in dynamic balance with the host’s organism to maintain homeostasis. Many different factors have an impact on this relationship, including bacterial metabolites. Several substrates for their synthesis have been established, including tryptophan, an exogenous amino acid. Many biological processes are influenced by the action of tryptophan and its endogenous metabolites, serotonin, and melatonin. Recent research findings also provide evidence that gut bacteria-derived metabolites of tryptophan share the biological effects of their precursor. Thus, this review aims to investigate the biological actions of indole-3-propionic acid (IPA), a gut microbiota-derived metabolite of tryptophan. We searched PUBMED and Google Scholar databases to identify pre-clinical and clinical studies evaluating the impact of IPA on the health and pathophysiology of the immune, nervous, gastrointestinal and cardiovascular system in mammals. IPA exhibits a similar impact on the energetic balance and cardiovascular system to its precursor, tryptophan. Additionally, IPA has a positive impact on a cellular level, by preventing oxidative stress injury, lipoperoxidation and inhibiting synthesis of proinflammatory cytokines. Its synthesis can be diminished in the presence of different risk factors of atherosclerosis. On the other hand, protective factors, such as the introduction of a Mediterranean diet, tend to increase its plasma concentration. IPA seems to be a promising new target, linking gut health with the cardiovascular system.","container-title":"International Journal of Molecular Sciences","DOI":"10.3390/ijms23031222","ISSN":"1422-0067","issue":"3","language":"en","license":"http://creativecommons.org/licenses/by/3.0/","note":"number: 3\npublisher: Multidisciplinary Digital Publishing Institute","page":"1222","source":"www.mdpi.com","title":"Biological Effects of Indole-3-Propionic Acid, a Gut Microbiota-Derived Metabolite, and Its Precursor Tryptophan in Mammals’ Health and Disease","volume":"23","author":[{"family":"Konopelski","given":"Piotr"},{"family":"Mogilnicka","given":"Izabella"}],"issued":{"date-parts":[["2022",1]]}}}],"schema":"https://github.com/citation-style-language/schema/raw/master/csl-citation.json"}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79</w:t>
      </w:r>
      <w:r w:rsidR="006A4942" w:rsidRPr="006A4942">
        <w:rPr>
          <w:rFonts w:eastAsiaTheme="minorHAnsi"/>
          <w14:ligatures w14:val="standardContextual"/>
        </w:rPr>
        <w:t>)</w:t>
      </w:r>
      <w:r>
        <w:fldChar w:fldCharType="end"/>
      </w:r>
      <w:r>
        <w:t>.</w:t>
      </w:r>
    </w:p>
    <w:p w14:paraId="70630EDE" w14:textId="77777777" w:rsidR="005B0F26" w:rsidRDefault="005B0F26" w:rsidP="005B0F26">
      <w:pPr>
        <w:ind w:firstLine="720"/>
      </w:pPr>
    </w:p>
    <w:p w14:paraId="35695237" w14:textId="77777777" w:rsidR="005B0F26" w:rsidRDefault="005B0F26" w:rsidP="005B0F26">
      <w:pPr>
        <w:rPr>
          <w:u w:val="single"/>
        </w:rPr>
      </w:pPr>
      <w:r>
        <w:rPr>
          <w:u w:val="single"/>
        </w:rPr>
        <w:t>Neopterin</w:t>
      </w:r>
      <w:r w:rsidRPr="00AE374C">
        <w:rPr>
          <w:u w:val="single"/>
        </w:rPr>
        <w:t xml:space="preserve"> is </w:t>
      </w:r>
      <w:r>
        <w:rPr>
          <w:u w:val="single"/>
        </w:rPr>
        <w:t xml:space="preserve">related to </w:t>
      </w:r>
      <w:r w:rsidRPr="00AE374C">
        <w:rPr>
          <w:u w:val="single"/>
        </w:rPr>
        <w:t xml:space="preserve">the gut microbiome’s </w:t>
      </w:r>
      <w:r>
        <w:rPr>
          <w:u w:val="single"/>
        </w:rPr>
        <w:t>response to</w:t>
      </w:r>
      <w:r w:rsidRPr="00AE374C">
        <w:rPr>
          <w:u w:val="single"/>
        </w:rPr>
        <w:t xml:space="preserve"> temperature</w:t>
      </w:r>
    </w:p>
    <w:p w14:paraId="32D2E834" w14:textId="72DE7C76" w:rsidR="005B0F26" w:rsidRDefault="005B0F26" w:rsidP="005B0F26">
      <w:pPr>
        <w:rPr>
          <w:i/>
          <w:iCs/>
        </w:rPr>
      </w:pPr>
      <w:r w:rsidRPr="00991E79">
        <w:rPr>
          <w:i/>
          <w:iCs/>
        </w:rPr>
        <w:t>Community-level</w:t>
      </w:r>
      <w:r>
        <w:rPr>
          <w:i/>
          <w:iCs/>
        </w:rPr>
        <w:t xml:space="preserve"> results</w:t>
      </w:r>
    </w:p>
    <w:p w14:paraId="702AE199" w14:textId="7606568B" w:rsidR="005B0F26" w:rsidRDefault="00CC61A6" w:rsidP="00CC61A6">
      <w:pPr>
        <w:ind w:firstLine="720"/>
      </w:pPr>
      <w:r>
        <w:t xml:space="preserve">To assess if neopterin concentration is associated with the gut microbiome’s relationship with temperature, we compared the temperature model that included known predictors of microbiome composition plus temperature to a model that included the baseline predictors and an interaction effect between temperature and neopterin concentration (Fig 1S). </w:t>
      </w:r>
      <w:r w:rsidR="005B0F26">
        <w:t xml:space="preserve">For taxonomic composition, the model including the interaction effect between temperature and neopterin concentration provided the best fit (controlling for complexity) for every principal component, accounting for at least 60% of the model weight (Fig </w:t>
      </w:r>
      <w:r w:rsidR="00F004F0">
        <w:t>3</w:t>
      </w:r>
      <w:r w:rsidR="005B0F26">
        <w:t xml:space="preserve">S). Principal component 1 was the only component with confidence intervals that did not include zero. This result, along with the high model weight for every principal component, suggests that the relationship between temperature and beta diversity is associated with neopterin. In contrast, the temperature model provided the best fit for both alpha diversity metrics, accounting for at least 86% of the model weight. These results, combined with the small effect sizes (Shannon </w:t>
      </w:r>
      <w:r w:rsidR="005B0F26" w:rsidRPr="00887114">
        <w:t>β</w:t>
      </w:r>
      <w:r w:rsidR="005B0F26">
        <w:rPr>
          <w:vertAlign w:val="subscript"/>
        </w:rPr>
        <w:t>temp*neopterin</w:t>
      </w:r>
      <w:r w:rsidR="005B0F26">
        <w:t xml:space="preserve"> = -0.10, Observed </w:t>
      </w:r>
      <w:r w:rsidR="005B0F26" w:rsidRPr="00887114">
        <w:t>β</w:t>
      </w:r>
      <w:r w:rsidR="005B0F26">
        <w:rPr>
          <w:vertAlign w:val="subscript"/>
        </w:rPr>
        <w:t>temp*neopterin</w:t>
      </w:r>
      <w:r w:rsidR="005B0F26">
        <w:t xml:space="preserve"> = -0.13) and confidence intervals that include zero (Fig </w:t>
      </w:r>
      <w:r w:rsidR="00F004F0">
        <w:t>3</w:t>
      </w:r>
      <w:r w:rsidR="005B0F26">
        <w:t>S),</w:t>
      </w:r>
      <w:r w:rsidR="005B0F26" w:rsidRPr="0081413B">
        <w:t xml:space="preserve"> </w:t>
      </w:r>
      <w:r w:rsidR="005B0F26">
        <w:t xml:space="preserve">suggest that the </w:t>
      </w:r>
      <w:r w:rsidR="005B0F26">
        <w:lastRenderedPageBreak/>
        <w:t>relationship between taxonomic alpha diversity and temperature is independent of neopterin concentration.</w:t>
      </w:r>
    </w:p>
    <w:p w14:paraId="381DAF48" w14:textId="091A889D" w:rsidR="005B0F26" w:rsidRDefault="005B0F26" w:rsidP="005B0F26">
      <w:pPr>
        <w:ind w:firstLine="720"/>
      </w:pPr>
      <w:r>
        <w:t xml:space="preserve">For metabolic functional composition, the interaction model provided the best fit for every principal component and observed pathways, accounting for at least 98% of the model weight, while the temperature model provided the best fit for Shannon diversity, accounting for 63% of the model weight (Fig </w:t>
      </w:r>
      <w:r w:rsidR="00F004F0">
        <w:t>3</w:t>
      </w:r>
      <w:r>
        <w:t xml:space="preserve">S). Even though principal component 3 was the only component where the confidence intervals did not include zero, the large effect sizes for all three components (PC1 </w:t>
      </w:r>
      <w:r w:rsidRPr="00887114">
        <w:t>β</w:t>
      </w:r>
      <w:r>
        <w:rPr>
          <w:vertAlign w:val="subscript"/>
        </w:rPr>
        <w:t>temp*neopterin</w:t>
      </w:r>
      <w:r>
        <w:t xml:space="preserve"> = 17.60, PC2 </w:t>
      </w:r>
      <w:r w:rsidRPr="00887114">
        <w:t>β</w:t>
      </w:r>
      <w:r>
        <w:rPr>
          <w:vertAlign w:val="subscript"/>
        </w:rPr>
        <w:t>temp*neopterin</w:t>
      </w:r>
      <w:r>
        <w:t xml:space="preserve"> = -7.66, PC3 </w:t>
      </w:r>
      <w:r w:rsidRPr="00887114">
        <w:t>β</w:t>
      </w:r>
      <w:r>
        <w:rPr>
          <w:vertAlign w:val="subscript"/>
        </w:rPr>
        <w:t>temp*neopterin</w:t>
      </w:r>
      <w:r>
        <w:t xml:space="preserve"> = -11.44) plus the model weights suggest that the interaction between neopterin and temperature has a meaningful influence on metabolic functional composition. The effect size and model weight for observed pathways (Observed </w:t>
      </w:r>
      <w:r w:rsidRPr="00887114">
        <w:t>β</w:t>
      </w:r>
      <w:r>
        <w:rPr>
          <w:vertAlign w:val="subscript"/>
        </w:rPr>
        <w:t>temp*neopterin</w:t>
      </w:r>
      <w:r>
        <w:t xml:space="preserve"> = 72.78) suggest that neopterin may be associated with the relationship between the total number of distinct metabolic pathways and temperature. However, it is unlikely that neopterin is associated with the relationship between temperature and pathway evenness due to the small effect size (Shannon </w:t>
      </w:r>
      <w:r w:rsidRPr="00887114">
        <w:t>β</w:t>
      </w:r>
      <w:r>
        <w:rPr>
          <w:vertAlign w:val="subscript"/>
        </w:rPr>
        <w:t>temp*neopterin</w:t>
      </w:r>
      <w:r>
        <w:t xml:space="preserve"> = 0.46), confidence intervals that include zero, and model weight for Shannon diversity.</w:t>
      </w:r>
    </w:p>
    <w:p w14:paraId="65DA2B01" w14:textId="77777777" w:rsidR="005B0F26" w:rsidRDefault="005B0F26" w:rsidP="005B0F26"/>
    <w:p w14:paraId="7DB0BAFF" w14:textId="77777777" w:rsidR="005B0F26" w:rsidRDefault="005B0F26" w:rsidP="005B0F26">
      <w:pPr>
        <w:rPr>
          <w:i/>
          <w:iCs/>
        </w:rPr>
      </w:pPr>
      <w:r>
        <w:rPr>
          <w:i/>
          <w:iCs/>
        </w:rPr>
        <w:t>Individual taxon and metabolic pathway results</w:t>
      </w:r>
    </w:p>
    <w:p w14:paraId="0002CF96" w14:textId="201898C8" w:rsidR="005B0F26" w:rsidRDefault="005B0F26" w:rsidP="005B0F26">
      <w:r>
        <w:t>Neopterin concentration was also associated with the relationship between</w:t>
      </w:r>
      <w:r w:rsidRPr="008852E2">
        <w:t xml:space="preserve"> </w:t>
      </w:r>
      <w:r>
        <w:t>temperature and the abundance of individual taxa. The interaction model provided the best fit for 20 of the 93 temperature-associated taxa, accounting for at least 50% of the model weight in each case (Table 3S). To interpret the interaction effect, we plotted the relationship between temperature and abundance across three discrete ranges of neopterin values (Fig 4). These results indicated two contrasting effects: (1) the relationship between temperature and abundance became more negative (i.e., the slopes decrease) at higher neopterin concentrations (Fig 4A), and (2)</w:t>
      </w:r>
      <w:r w:rsidRPr="009C62EC">
        <w:t xml:space="preserve"> </w:t>
      </w:r>
      <w:r>
        <w:t>the relationship between temperature and abundance became more</w:t>
      </w:r>
      <w:r w:rsidRPr="009C62EC">
        <w:t xml:space="preserve"> </w:t>
      </w:r>
      <w:r>
        <w:t>positive (i.e., the slopes increase) at higher neopterin concentrations (Fig 4B &amp; C).</w:t>
      </w:r>
      <w:r w:rsidRPr="007246CF">
        <w:t xml:space="preserve"> </w:t>
      </w:r>
      <w:r>
        <w:t xml:space="preserve">The majority of taxa (12 out of 20) exhibited decreasing slopes at higher neopterin concentrations. These taxa were almost exclusively from the phyla </w:t>
      </w:r>
      <w:proofErr w:type="spellStart"/>
      <w:r w:rsidRPr="00B24088">
        <w:t>Bacteroidota</w:t>
      </w:r>
      <w:proofErr w:type="spellEnd"/>
      <w:r>
        <w:t xml:space="preserve"> (5 taxa)</w:t>
      </w:r>
      <w:r w:rsidRPr="00B24088">
        <w:t xml:space="preserve"> and Firmicutes</w:t>
      </w:r>
      <w:r>
        <w:t xml:space="preserve"> (6 taxa), and included two known SCFA producers, </w:t>
      </w:r>
      <w:r w:rsidRPr="007D3406">
        <w:rPr>
          <w:i/>
          <w:iCs/>
        </w:rPr>
        <w:t>Parabacteroides</w:t>
      </w:r>
      <w:r>
        <w:t xml:space="preserve"> and </w:t>
      </w:r>
      <w:proofErr w:type="spellStart"/>
      <w:r w:rsidRPr="007D3406">
        <w:rPr>
          <w:i/>
          <w:iCs/>
        </w:rPr>
        <w:t>Alistipes</w:t>
      </w:r>
      <w:proofErr w:type="spellEnd"/>
      <w:r>
        <w:rPr>
          <w:rStyle w:val="Emphasis"/>
          <w:rFonts w:eastAsiaTheme="majorEastAsia"/>
        </w:rPr>
        <w:t xml:space="preserve"> </w:t>
      </w:r>
      <w:r>
        <w:fldChar w:fldCharType="begin"/>
      </w:r>
      <w:r w:rsidR="006A4942">
        <w:instrText xml:space="preserve"> ADDIN ZOTERO_ITEM CSL_CITATION {"citationID":"wESsU6it","properties":{"formattedCitation":"({\\i{}80}, {\\i{}81})","plainCitation":"(80, 81)","noteIndex":0},"citationItems":[{"id":2193,"uris":["http://zotero.org/users/13901503/items/TK9QBJNS"],"itemData":{"id":2193,"type":"article-journal","abstract":"Altered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80</w:t>
      </w:r>
      <w:r w:rsidR="006A4942" w:rsidRPr="006A4942">
        <w:rPr>
          <w:rFonts w:eastAsiaTheme="minorHAnsi"/>
          <w14:ligatures w14:val="standardContextual"/>
        </w:rPr>
        <w:t xml:space="preserve">, </w:t>
      </w:r>
      <w:r w:rsidR="006A4942" w:rsidRPr="006A4942">
        <w:rPr>
          <w:rFonts w:eastAsiaTheme="minorHAnsi"/>
          <w:i/>
          <w:iCs/>
          <w14:ligatures w14:val="standardContextual"/>
        </w:rPr>
        <w:t>81</w:t>
      </w:r>
      <w:r w:rsidR="006A4942" w:rsidRPr="006A4942">
        <w:rPr>
          <w:rFonts w:eastAsiaTheme="minorHAnsi"/>
          <w14:ligatures w14:val="standardContextual"/>
        </w:rPr>
        <w:t>)</w:t>
      </w:r>
      <w:r>
        <w:fldChar w:fldCharType="end"/>
      </w:r>
      <w:r>
        <w:t>. The taxa that exhibited increasing slopes (8 out of 20) showed two distinct patterns: one where a positive slope became steeper when neopterin was high, and another where a negative slope changed to positive when neopterin was high.</w:t>
      </w:r>
      <w:r w:rsidRPr="00367C74">
        <w:t xml:space="preserve"> </w:t>
      </w:r>
      <w:r>
        <w:t xml:space="preserve">These taxa included two SCFA producers, </w:t>
      </w:r>
      <w:proofErr w:type="spellStart"/>
      <w:r>
        <w:rPr>
          <w:rStyle w:val="Emphasis"/>
          <w:rFonts w:eastAsiaTheme="majorEastAsia"/>
        </w:rPr>
        <w:t>Phascolarctobacterium</w:t>
      </w:r>
      <w:proofErr w:type="spellEnd"/>
      <w:r>
        <w:t xml:space="preserve"> and </w:t>
      </w:r>
      <w:r w:rsidRPr="006841BE">
        <w:rPr>
          <w:rStyle w:val="Emphasis"/>
          <w:rFonts w:eastAsiaTheme="majorEastAsia"/>
        </w:rPr>
        <w:t>Eubacterium</w:t>
      </w:r>
      <w:r>
        <w:t xml:space="preserve"> </w:t>
      </w:r>
      <w:r>
        <w:fldChar w:fldCharType="begin"/>
      </w:r>
      <w:r w:rsidR="006A4942">
        <w:instrText xml:space="preserve"> ADDIN ZOTERO_ITEM CSL_CITATION {"citationID":"nc5nFo7O","properties":{"formattedCitation":"({\\i{}82}, {\\i{}83})","plainCitation":"(82, 83)","noteIndex":0},"citationItems":[{"id":3715,"uris":["http://zotero.org/users/13901503/items/6SAKEANZ"],"itemData":{"id":3715,"type":"article-journal","abstract":"Summary The human gut microbiota ferments dietary non-digestible carbohydrates into short-chain fatty acids (SCFA). These microbial products are utilized by the host and propionate and butyrate in particular exert a range of health-promoting functions. Here an overview of the metabolic pathways utilized by gut microbes to produce these two SCFA from dietary carbohydrates and from amino acids resulting from protein breakdown is provided. This overview emphasizes the important role played by cross-feeding of intermediary metabolites (in particular lactate, succinate and 1,2-propanediol) between different gut bacteria. The ecophysiology, including growth requirements and responses to environmental factors, of major propionate and butyrate producing bacteria are discussed in relation to dietary modulation of these metabolites. A detailed understanding of SCFA metabolism by the gut microbiota is necessary to underpin effective strategies to optimize SCFA supply to the host.","container-title":"Environmental Microbiology","DOI":"10.1111/1462-2920.13589","ISSN":"1462-2912","issue":"1","note":"publisher: John Wiley &amp; Sons, Ltd","page":"29-41","source":"enviromicro-journals-onlinelibrary-wiley-com.proxy.lib.umich.edu (Atypon)","title":"Formation of propionate and butyrate by the human colonic microbiota","volume":"19","author":[{"family":"Louis","given":"Petra"},{"family":"Flint","given":"Harry J."}],"issued":{"date-parts":[["2017",1]]}}},{"id":2168,"uris":["http://zotero.org/users/13901503/items/8KEM2KE5"],"itemData":{"id":2168,"type":"article-journal","abstract":"Phascolarctobacterium can produce short‑chain fatty acids, including acetate and propionate, and can be associated with the metabolic state and mood of the host. The present study investigated the colonization characteristics of Phascolarctobacterium faecium in healthy individuals &lt;1-80 years old in Southern China. A total of 150 fresh fecal samples were collected, and bacterial DNA was isolated from these samples for quantitative polymerase chain reaction analysis. Phascolarctobacterium faecium demonstrated a high colonization rate and abundant colonization in the human gastrointestinal tract. The colonization rate varied between 43.33‑93.33%, and the abundance of Phascolarctobacterium faecium ranged between 3.22‑5.76 log cells g‑1 (&lt;1 years old) and 3.06‑9.33 log cells g‑1 (&gt;1 year old). The permillage of Phascolarctobacterium faecium in total bacteria ranged between 0.004‑1.479. There was presence of Phascolarctobacterium faecium‑like bacteria in younger individuals with a gradual increase in the number of bacteria maintained at a high level with increasing ages (between 1 and 60 years old), but with a decrease in elderly individuals (&gt;60 years old). The results of the present study demonstrated that Phascolarctobacterium faecium is abundantly colonized in the human gastrointestinal tract.","container-title":"Experimental and Therapeutic Medicine","DOI":"10.3892/etm.2017.4878","ISSN":"1792-0981, 1792-1015","issue":"4","language":"en","page":"3122-3126","source":"DOI.org (Crossref)","title":"Phascolarctobacterium faecium abundant colonization in human gastrointestinal tract","volume":"14","author":[{"family":"Wu","given":"Feifan"},{"family":"Guo","given":"Xianfeng"},{"family":"Zhang","given":"Jiachun"},{"family":"Zhang","given":"Min"},{"family":"Ou","given":"Zihao"},{"family":"Peng","given":"Yongzheng"}],"issued":{"date-parts":[["2017",10]]}},"label":"page"}],"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82</w:t>
      </w:r>
      <w:r w:rsidR="006A4942" w:rsidRPr="006A4942">
        <w:rPr>
          <w:rFonts w:eastAsiaTheme="minorHAnsi"/>
          <w14:ligatures w14:val="standardContextual"/>
        </w:rPr>
        <w:t xml:space="preserve">, </w:t>
      </w:r>
      <w:r w:rsidR="006A4942" w:rsidRPr="006A4942">
        <w:rPr>
          <w:rFonts w:eastAsiaTheme="minorHAnsi"/>
          <w:i/>
          <w:iCs/>
          <w14:ligatures w14:val="standardContextual"/>
        </w:rPr>
        <w:t>83</w:t>
      </w:r>
      <w:r w:rsidR="006A4942" w:rsidRPr="006A4942">
        <w:rPr>
          <w:rFonts w:eastAsiaTheme="minorHAnsi"/>
          <w14:ligatures w14:val="standardContextual"/>
        </w:rPr>
        <w:t>)</w:t>
      </w:r>
      <w:r>
        <w:fldChar w:fldCharType="end"/>
      </w:r>
      <w:r>
        <w:t xml:space="preserve">, and the family </w:t>
      </w:r>
      <w:r w:rsidRPr="005B0F26">
        <w:rPr>
          <w:rStyle w:val="Strong"/>
          <w:rFonts w:eastAsiaTheme="majorEastAsia"/>
          <w:b w:val="0"/>
          <w:bCs w:val="0"/>
          <w:i/>
          <w:iCs/>
        </w:rPr>
        <w:t>Helicobacteraceae</w:t>
      </w:r>
      <w:r w:rsidRPr="005B0F26">
        <w:rPr>
          <w:rStyle w:val="Strong"/>
          <w:rFonts w:eastAsiaTheme="majorEastAsia"/>
          <w:b w:val="0"/>
          <w:bCs w:val="0"/>
        </w:rPr>
        <w:t xml:space="preserve">, which commonly includes facultative anaerobes </w:t>
      </w:r>
      <w:r w:rsidRPr="005B0F26">
        <w:rPr>
          <w:rStyle w:val="Strong"/>
          <w:rFonts w:eastAsiaTheme="majorEastAsia"/>
          <w:b w:val="0"/>
          <w:bCs w:val="0"/>
        </w:rPr>
        <w:fldChar w:fldCharType="begin"/>
      </w:r>
      <w:r w:rsidR="006A4942">
        <w:rPr>
          <w:rStyle w:val="Strong"/>
          <w:rFonts w:eastAsiaTheme="majorEastAsia"/>
          <w:b w:val="0"/>
          <w:bCs w:val="0"/>
        </w:rPr>
        <w:instrText xml:space="preserve"> ADDIN ZOTERO_ITEM CSL_CITATION {"citationID":"o9UAt3dv","properties":{"formattedCitation":"({\\i{}84})","plainCitation":"(84)","noteIndex":0},"citationItems":[{"id":3984,"uris":["http://zotero.org/users/13901503/items/PFZ9P5R3"],"itemData":{"id":3984,"type":"article-journal","abstract":"Helicobacter pylori (HP) is a facultative anaerobic bacterium. HP is a normal flora having immunomodulatingproperties. This bacterium is an example of a microorganism inducing gastric cancer. Itscarcinogenicity depends on bacteria-host related factors. The proper understanding of the biology of HPinducing gastric cancer offers the potential strategy in the managing of HP rather than eradicating it. Inthis article, we try to summarize the biology of HP-induced gastric cancer and discuss the currentpharmacological approach to treat and prevent its carcinogenicity.","container-title":"Frontiers in Oncology","DOI":"10.3389/fonc.2019.00075","ISSN":"2234-943X","journalAbbreviation":"Front. Oncol.","language":"English","note":"publisher: Frontiers","source":"Frontiers","title":"The Possible Role of Helicobacter pylori in Gastric Cancer and Its Management","URL":"https://www.frontiersin.org/journals/oncology/articles/10.3389/fonc.2019.00075/full","volume":"9","author":[{"family":"Alfarouk","given":"Khalid O."},{"family":"Bashir","given":"Adil H. H."},{"family":"Aljarbou","given":"Ahmed N."},{"family":"Ramadan","given":"AbdelRahman M."},{"family":"Muddathir","given":"Abdel Khalig"},{"family":"AlHoufie","given":"Sari T. S."},{"family":"Hifny","given":"Abdelhamid"},{"family":"Elhassan","given":"Gamal O."},{"family":"Ibrahim","given":"Muntaser E."},{"family":"Alqahtani","given":"Saad S."},{"family":"AlSharari","given":"Shakir D."},{"family":"Supuran","given":"Claudiu T."},{"family":"Rauch","given":"Cyril"},{"family":"Cardone","given":"Rosa Angela"},{"family":"Reshkin","given":"Stephan J."},{"family":"Fais","given":"Stefano"},{"family":"Harguindey","given":"Salvador"}],"accessed":{"date-parts":[["2025",7,2]]},"issued":{"date-parts":[["2019",2,22]]}}}],"schema":"https://github.com/citation-style-language/schema/raw/master/csl-citation.json"} </w:instrText>
      </w:r>
      <w:r w:rsidRPr="005B0F26">
        <w:rPr>
          <w:rStyle w:val="Strong"/>
          <w:rFonts w:eastAsiaTheme="majorEastAsia"/>
          <w:b w:val="0"/>
          <w:bCs w:val="0"/>
        </w:rP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84</w:t>
      </w:r>
      <w:r w:rsidR="006A4942" w:rsidRPr="006A4942">
        <w:rPr>
          <w:rFonts w:eastAsiaTheme="minorHAnsi"/>
          <w14:ligatures w14:val="standardContextual"/>
        </w:rPr>
        <w:t>)</w:t>
      </w:r>
      <w:r w:rsidRPr="005B0F26">
        <w:rPr>
          <w:rStyle w:val="Strong"/>
          <w:rFonts w:eastAsiaTheme="majorEastAsia"/>
          <w:b w:val="0"/>
          <w:bCs w:val="0"/>
        </w:rPr>
        <w:fldChar w:fldCharType="end"/>
      </w:r>
      <w:r w:rsidRPr="005B0F26">
        <w:rPr>
          <w:rStyle w:val="Strong"/>
          <w:rFonts w:eastAsiaTheme="majorEastAsia"/>
          <w:b w:val="0"/>
          <w:bCs w:val="0"/>
        </w:rPr>
        <w:t>.</w:t>
      </w:r>
      <w:r>
        <w:t xml:space="preserve"> </w:t>
      </w:r>
    </w:p>
    <w:p w14:paraId="06E26637" w14:textId="1D81C70B" w:rsidR="005B0F26" w:rsidRDefault="005B0F26" w:rsidP="005B0F26">
      <w:pPr>
        <w:ind w:firstLine="720"/>
      </w:pPr>
      <w:r>
        <w:t>Neopterin concentration was also associated with the relationship between</w:t>
      </w:r>
      <w:r w:rsidRPr="008852E2">
        <w:t xml:space="preserve"> </w:t>
      </w:r>
      <w:r>
        <w:t xml:space="preserve">temperature and the abundance of individual metabolic pathways. The interaction model provided a better fit for 65 out of 116 pathways tested, accounting for at least 50% of the model weight in each case (Table 4S). To interpret the interaction effect, we plotted the relationship between abundance and temperature across two discrete ranges of neopterin values. These results indicated the same two effects as the taxonomic analysis (1) where slopes decreased at higher neopterin (Fig 5A-C) and (2) where slopes increased at higher neopterin (Fig 5D &amp; E). The pathways that exhibited decreasing slopes showed three distinct patterns: one where a positive slope changed to negative, another where a positive slope became less positive, and one where a negative slope became steeper. This group included pathways involved in anti-inflammatory signaling, including synthesis of monounsaturated fatty acids </w:t>
      </w:r>
      <w:r>
        <w:fldChar w:fldCharType="begin"/>
      </w:r>
      <w:r w:rsidR="006A4942">
        <w:instrText xml:space="preserve"> ADDIN ZOTERO_ITEM CSL_CITATION {"citationID":"Yyg97aqJ","properties":{"formattedCitation":"({\\i{}77})","plainCitation":"(77)","noteIndex":0},"citationItems":[{"id":3176,"uris":["http://zotero.org/users/13901503/items/HTMPX6GE"],"itemData":{"id":3176,"type":"article-journal","abstract":"Monocytes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77</w:t>
      </w:r>
      <w:r w:rsidR="006A4942" w:rsidRPr="006A4942">
        <w:rPr>
          <w:rFonts w:eastAsiaTheme="minorHAnsi"/>
          <w14:ligatures w14:val="standardContextual"/>
        </w:rPr>
        <w:t>)</w:t>
      </w:r>
      <w:r>
        <w:fldChar w:fldCharType="end"/>
      </w:r>
      <w:r>
        <w:t xml:space="preserve"> and tryptophan, as well as those typically associated with obligate anaerobes, including complex carb fermentation </w:t>
      </w:r>
      <w:r w:rsidRPr="00AD7F54">
        <w:t>(Flint et al., 2012) and Gram-positive cell wall biosynthesis</w:t>
      </w:r>
      <w:r>
        <w:t xml:space="preserve"> characteristic of </w:t>
      </w:r>
      <w:r w:rsidRPr="00AD7F54">
        <w:t>obligate</w:t>
      </w:r>
      <w:r>
        <w:t xml:space="preserve"> anaerobes</w:t>
      </w:r>
      <w:r w:rsidRPr="00AD7F54">
        <w:t xml:space="preserve"> from the Firmicutes </w:t>
      </w:r>
      <w:r w:rsidRPr="00AD7F54">
        <w:lastRenderedPageBreak/>
        <w:t>phylum</w:t>
      </w:r>
      <w:r>
        <w:t xml:space="preserve"> </w:t>
      </w:r>
      <w:r>
        <w:rPr>
          <w:rStyle w:val="Strong"/>
          <w:rFonts w:eastAsiaTheme="majorEastAsia"/>
          <w:b w:val="0"/>
          <w:bCs w:val="0"/>
        </w:rPr>
        <w:fldChar w:fldCharType="begin"/>
      </w:r>
      <w:r w:rsidR="006A4942">
        <w:rPr>
          <w:rStyle w:val="Strong"/>
          <w:rFonts w:eastAsiaTheme="majorEastAsia"/>
        </w:rPr>
        <w:instrText xml:space="preserve"> ADDIN ZOTERO_ITEM CSL_CITATION {"citationID":"yCxgcM3a","properties":{"formattedCitation":"({\\i{}85})","plainCitation":"(85)","noteIndex":0},"citationItems":[{"id":3707,"uris":["http://zotero.org/users/13901503/items/DINXISI6"],"itemData":{"id":3707,"type":"article-journal","abstract":"The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Pr>
          <w:rStyle w:val="Strong"/>
          <w:rFonts w:eastAsiaTheme="majorEastAsia"/>
          <w:b w:val="0"/>
          <w:bCs w:val="0"/>
        </w:rP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85</w:t>
      </w:r>
      <w:r w:rsidR="006A4942" w:rsidRPr="006A4942">
        <w:rPr>
          <w:rFonts w:eastAsiaTheme="minorHAnsi"/>
          <w14:ligatures w14:val="standardContextual"/>
        </w:rPr>
        <w:t>)</w:t>
      </w:r>
      <w:r>
        <w:rPr>
          <w:rStyle w:val="Strong"/>
          <w:rFonts w:eastAsiaTheme="majorEastAsia"/>
          <w:b w:val="0"/>
          <w:bCs w:val="0"/>
        </w:rPr>
        <w:fldChar w:fldCharType="end"/>
      </w:r>
      <w:r>
        <w:t xml:space="preserve">. The majority of pathways (37 out of 65) exhibited increasing slopes at higher neopterin concentrations. There were two patterns of increasing slopes: one where a negative slope changed to positive when neopterin was high, and another where a positive slope became steeper when neopterin was high. These groups included pathways commonly associated with facultative anaerobes, including the </w:t>
      </w:r>
      <w:r w:rsidRPr="001261A1">
        <w:t>glyoxylate cycle</w:t>
      </w:r>
      <w:r>
        <w:t xml:space="preserve"> </w:t>
      </w:r>
      <w:r>
        <w:fldChar w:fldCharType="begin"/>
      </w:r>
      <w:r w:rsidR="006A4942">
        <w:instrText xml:space="preserve"> ADDIN ZOTERO_ITEM CSL_CITATION {"citationID":"MREWhKrM","properties":{"formattedCitation":"({\\i{}86})","plainCitation":"(86)","noteIndex":0},"citationItems":[{"id":3666,"uris":["http://zotero.org/users/13901503/items/787C6UND"],"itemData":{"id":3666,"type":"article-journal","abstract":"&lt;p&gt;The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86</w:t>
      </w:r>
      <w:r w:rsidR="006A4942" w:rsidRPr="006A4942">
        <w:rPr>
          <w:rFonts w:eastAsiaTheme="minorHAnsi"/>
          <w14:ligatures w14:val="standardContextual"/>
        </w:rPr>
        <w:t>)</w:t>
      </w:r>
      <w:r>
        <w:fldChar w:fldCharType="end"/>
      </w:r>
      <w:r>
        <w:t xml:space="preserve">, </w:t>
      </w:r>
      <w:r w:rsidRPr="001261A1">
        <w:t>Rubisco shunt</w:t>
      </w:r>
      <w:r>
        <w:t xml:space="preserve"> </w:t>
      </w:r>
      <w:r>
        <w:fldChar w:fldCharType="begin"/>
      </w:r>
      <w:r w:rsidR="006A4942">
        <w:instrText xml:space="preserve"> ADDIN ZOTERO_ITEM CSL_CITATION {"citationID":"8lsfxZT8","properties":{"formattedCitation":"({\\i{}87})","plainCitation":"(87)","noteIndex":0},"citationItems":[{"id":3661,"uris":["http://zotero.org/users/13901503/items/7EH7QSRX"],"itemData":{"id":3661,"type":"article-journal","abstract":"Rubisco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87</w:t>
      </w:r>
      <w:r w:rsidR="006A4942" w:rsidRPr="006A4942">
        <w:rPr>
          <w:rFonts w:eastAsiaTheme="minorHAnsi"/>
          <w14:ligatures w14:val="standardContextual"/>
        </w:rPr>
        <w:t>)</w:t>
      </w:r>
      <w:r>
        <w:fldChar w:fldCharType="end"/>
      </w:r>
      <w:r>
        <w:t xml:space="preserve">, ubiquinone biosynthesis </w:t>
      </w:r>
      <w:r>
        <w:fldChar w:fldCharType="begin"/>
      </w:r>
      <w:r w:rsidR="006A4942">
        <w:instrText xml:space="preserve"> ADDIN ZOTERO_ITEM CSL_CITATION {"citationID":"hub5pdYU","properties":{"formattedCitation":"({\\i{}88})","plainCitation":"(88)","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88</w:t>
      </w:r>
      <w:r w:rsidR="006A4942" w:rsidRPr="006A4942">
        <w:rPr>
          <w:rFonts w:eastAsiaTheme="minorHAnsi"/>
          <w14:ligatures w14:val="standardContextual"/>
        </w:rPr>
        <w:t>)</w:t>
      </w:r>
      <w:r>
        <w:fldChar w:fldCharType="end"/>
      </w:r>
      <w:r>
        <w:t xml:space="preserve">, </w:t>
      </w:r>
      <w:r w:rsidRPr="001261A1">
        <w:t>enterobacterial common antigen biosynthesis</w:t>
      </w:r>
      <w:r>
        <w:t xml:space="preserve"> </w:t>
      </w:r>
      <w:r>
        <w:fldChar w:fldCharType="begin"/>
      </w:r>
      <w:r w:rsidR="006A4942">
        <w:instrText xml:space="preserve"> ADDIN ZOTERO_ITEM CSL_CITATION {"citationID":"FvN60f2B","properties":{"formattedCitation":"({\\i{}89})","plainCitation":"(89)","noteIndex":0},"citationItems":[{"id":3712,"uris":["http://zotero.org/users/13901503/items/S8VNSY7N"],"itemData":{"id":3712,"type":"article-journal","abstract":"Enterobacterial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89</w:t>
      </w:r>
      <w:r w:rsidR="006A4942" w:rsidRPr="006A4942">
        <w:rPr>
          <w:rFonts w:eastAsiaTheme="minorHAnsi"/>
          <w14:ligatures w14:val="standardContextual"/>
        </w:rPr>
        <w:t>)</w:t>
      </w:r>
      <w:r>
        <w:fldChar w:fldCharType="end"/>
      </w:r>
      <w:r>
        <w:t xml:space="preserve">, and Lipid A biosynthesis </w:t>
      </w:r>
      <w:r>
        <w:fldChar w:fldCharType="begin"/>
      </w:r>
      <w:r w:rsidR="006A4942">
        <w:instrText xml:space="preserve"> ADDIN ZOTERO_ITEM CSL_CITATION {"citationID":"XLDjRCPa","properties":{"formattedCitation":"({\\i{}90})","plainCitation":"(90)","noteIndex":0},"citationItems":[{"id":3710,"uris":["http://zotero.org/users/13901503/items/7XBTXUWV"],"itemData":{"id":3710,"type":"article-journal","abstract":"Bacterial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90</w:t>
      </w:r>
      <w:r w:rsidR="006A4942" w:rsidRPr="006A4942">
        <w:rPr>
          <w:rFonts w:eastAsiaTheme="minorHAnsi"/>
          <w14:ligatures w14:val="standardContextual"/>
        </w:rPr>
        <w:t>)</w:t>
      </w:r>
      <w:r>
        <w:fldChar w:fldCharType="end"/>
      </w:r>
      <w:r>
        <w:t xml:space="preserve">. They also included pathways involved in redox maintenance, including the synthesis of B vitamins </w:t>
      </w:r>
      <w:r>
        <w:fldChar w:fldCharType="begin"/>
      </w:r>
      <w:r w:rsidR="006A4942">
        <w:instrText xml:space="preserve"> ADDIN ZOTERO_ITEM CSL_CITATION {"citationID":"UqKOmPfK","properties":{"formattedCitation":"({\\i{}62}, {\\i{}63})","plainCitation":"(62, 63)","noteIndex":0},"citationItems":[{"id":3227,"uris":["http://zotero.org/users/13901503/items/9DQLWAKU"],"itemData":{"id":3227,"type":"article-journal","abstract":"Vitamin B6 is an intriguing molecule that is involved in a wide range of metabolic, physiological and developmental processes. Based on its water solubility and high reactivity when phosphorylated, it is a suitable co-factor for many biochemical processes. Furthermore the vitamin is a potent antioxidant, rivaling carotenoids or tocopherols in its ability to quench reactive oxygen species. It is therefore not surprising that the vitamin is essential and unquestionably important for the cellular metabolism and well-being of all living organisms. The review briefly summarizes the biosynthetic pathways of vitamin B6 in pro- and eukaryotes and its diverse roles in enzymatic reactions. Finally, because in recent years the vitamin has often been considered beneficial for human health, the review will also sum up and critically reflect on current knowledge how human health can profit from vitamin B6.","container-title":"Molecules","DOI":"10.3390/molecules15010442","ISSN":"1420-3049","issue":"1","language":"en","license":"http://creativecommons.org/licenses/by/3.0/","note":"number: 1\npublisher: Molecular Diversity Preservation International","page":"442-459","source":"www.mdpi.com","title":"Vitamin B6: A Molecule for Human Health?","title-short":"Vitamin B6","volume":"15","author":[{"family":"Hellmann","given":"Hanjo"},{"family":"Mooney","given":"Sutton"}],"issued":{"date-parts":[["2010",1]]}}},{"id":3224,"uris":["http://zotero.org/users/13901503/items/W59CZMD8"],"itemData":{"id":3224,"type":"article-journal","abstract":"Riboflavin is unique among the water-soluble vitamins in that milk and dairy products make the greatest contribution to its intake in Western diets. Meat and fish are also good sources of riboflavin, and certain fruit and vegetables, especially dark-green vegetables, contain reasonably high concentrations. Biochemical signs of depletion arise within only a few days of dietary deprivation. Poor riboflavin status in Western countries seems to be of most concern for the elderly and adolescents, despite the diversity of riboflavin-rich foods available. However, discrepancies between dietary intake data and biochemical data suggest either that requirements are higher than hitherto thought or that biochemical thresholds for deficiency are inappropriate. This article reviews current evidence that diets low in riboflavin present specific health risks. There is reasonably good evidence that poor riboflavin status interferes with iron handling and contributes to the etiology of anemia when iron intakes are low. Various mechanisms for this have been proposed, including effects on the gastrointestinal tract that might compromise the handling of other nutrients. Riboflavin deficiency has been implicated as a risk factor for cancer, although this has not been satisfactorily established in humans. Current interest is focused on the role that riboflavin plays in determining circulating concentrations of homocysteine, a risk factor for cardiovascular disease. Other mechanisms have been proposed for a protective role of riboflavin in ischemia reperfusion injury; this requires further study. Riboflavin deficiency may exert some of its effects by reducing the metabolism of other B vitamins, notably folate and vitamin B-6.","container-title":"The American Journal of Clinical Nutrition","DOI":"10.1093/ajcn/77.6.1352","ISSN":"0002-9165","issue":"6","journalAbbreviation":"The American Journal of Clinical Nutrition","page":"1352-1360","source":"ScienceDirect","title":"Riboflavin (vitamin B-2) and health12","volume":"77","author":[{"family":"Powers","given":"Hilary J"}],"issued":{"date-parts":[["2003",6,1]]}}}],"schema":"https://github.com/citation-style-language/schema/raw/master/csl-citation.json"}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62</w:t>
      </w:r>
      <w:r w:rsidR="006A4942" w:rsidRPr="006A4942">
        <w:rPr>
          <w:rFonts w:eastAsiaTheme="minorHAnsi"/>
          <w14:ligatures w14:val="standardContextual"/>
        </w:rPr>
        <w:t xml:space="preserve">, </w:t>
      </w:r>
      <w:r w:rsidR="006A4942" w:rsidRPr="006A4942">
        <w:rPr>
          <w:rFonts w:eastAsiaTheme="minorHAnsi"/>
          <w:i/>
          <w:iCs/>
          <w14:ligatures w14:val="standardContextual"/>
        </w:rPr>
        <w:t>63</w:t>
      </w:r>
      <w:r w:rsidR="006A4942" w:rsidRPr="006A4942">
        <w:rPr>
          <w:rFonts w:eastAsiaTheme="minorHAnsi"/>
          <w14:ligatures w14:val="standardContextual"/>
        </w:rPr>
        <w:t>)</w:t>
      </w:r>
      <w:r>
        <w:fldChar w:fldCharType="end"/>
      </w:r>
      <w:r>
        <w:t xml:space="preserve">, </w:t>
      </w:r>
      <w:proofErr w:type="spellStart"/>
      <w:r>
        <w:t>menaquinol</w:t>
      </w:r>
      <w:proofErr w:type="spellEnd"/>
      <w:r>
        <w:t xml:space="preserve"> </w:t>
      </w:r>
      <w:r>
        <w:fldChar w:fldCharType="begin"/>
      </w:r>
      <w:r w:rsidR="006A4942">
        <w:instrText xml:space="preserve"> ADDIN ZOTERO_ITEM CSL_CITATION {"citationID":"DQoEAwSK","properties":{"formattedCitation":"({\\i{}64})","plainCitation":"(64)","noteIndex":0},"citationItems":[{"id":3237,"uris":["http://zotero.org/users/13901503/items/VLNZSILJ"],"itemData":{"id":3237,"type":"article-journal","abstract":"In a diverse family of cellular cofactors, coenzyme A (CoA) has a unique design to function in various biochemical processes. The presence of a highly reactive thiol group and a nucleotide moiety offers a diversity of chemical reactions and regulatory interactions. CoA employs them to activate carbonyl-containing molecules and to produce various thioester derivatives (e.g. acetyl CoA, malonyl CoA and 3-hydroxy-3-methylglutaryl CoA), which have well-established roles in cellular metabolism, production of neurotransmitters and the regulation of gene expression. A novel unconventional function of CoA in redox regulation, involving covalent attachment of this coenzyme to cellular proteins in response to oxidative and metabolic stress, has been recently discovered and termed protein CoAlation (S-thiolation by CoA or CoAthiolation). A diverse range of proteins was found to be CoAlated in mammalian cells and tissues under various experimental conditions. Protein CoAlation alters the molecular mass, charge and activity of modified proteins, and prevents them from irreversible sulfhydryl overoxidation. This review highlights the role of a key metabolic integrator CoA in redox regulation in mammalian cells and provides a perspective of the current status and future directions of the emerging field of protein CoAlation.","container-title":"Biochemical Society Transactions","DOI":"10.1042/BST20170506","ISSN":"0300-5127, 1470-8752","issue":"3","language":"en","page":"721-728","source":"DOI.org (Crossref)","title":"Coenzyme A, protein CoAlation and redox regulation in mammalian cells","volume":"46","author":[{"family":"Gout","given":"Ivan"}],"issued":{"date-parts":[["2018",6,19]]}}}],"schema":"https://github.com/citation-style-language/schema/raw/master/csl-citation.json"}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64</w:t>
      </w:r>
      <w:r w:rsidR="006A4942" w:rsidRPr="006A4942">
        <w:rPr>
          <w:rFonts w:eastAsiaTheme="minorHAnsi"/>
          <w14:ligatures w14:val="standardContextual"/>
        </w:rPr>
        <w:t>)</w:t>
      </w:r>
      <w:r>
        <w:fldChar w:fldCharType="end"/>
      </w:r>
      <w:r>
        <w:t xml:space="preserve">, and NADPH </w:t>
      </w:r>
      <w:r>
        <w:fldChar w:fldCharType="begin"/>
      </w:r>
      <w:r w:rsidR="006A4942">
        <w:instrText xml:space="preserve"> ADDIN ZOTERO_ITEM CSL_CITATION {"citationID":"ie0Y7lhz","properties":{"formattedCitation":"({\\i{}67})","plainCitation":"(67)","noteIndex":0},"citationItems":[{"id":3239,"uris":["http://zotero.org/users/13901503/items/F8CEHMIS"],"itemData":{"id":3239,"type":"article-journal","abstract":"Accumulating evidence has suggested that NAD (including NAD؉ and NADH) and NADP (including NADP؉ and NADPH) could belong to the fundamental common mediators of various biological processes, including energy metabolism, mitochondrial functions, calcium homeostasis, antioxidation/generation of oxidative stress, gene expression, immunological functions, aging, and cell death: First, it is established that NAD mediates energy metabolism and mitochondrial functions; second, NADPH is a key component in cellular antioxidation systems; and NADH-dependent reactive oxygen species (ROS) generation from mitochondria and NADPH oxidase-dependent ROS generation are two critical mechanisms of ROS generation; third, cyclic ADP-ribose and several other molecules that are generated from NAD and NADP could mediate calcium homeostasis; fourth, NAD and NADP modulate multiple key factors in cell death, such as mitochondrial permeability transition, energy state, poly(ADP-ribose) polymerase-1, and apoptosis-inducing factor; and fifth, NAD and NADP profoundly affect aging-influencing factors such as oxidative stress and mitochondrial activities, and NADdependent sirtuins also mediate the aging process. Moreover, many recent studies have suggested novel paradigms of NAD and NADP metabolism. Future investigation into the metabolism and biological functions of NAD and NADP may expose fundamental properties of life, and suggest new strategies for treating diseases and slowing the aging process. Antioxid. Redox Signal. 10, 179–206.","container-title":"Antioxidants &amp; Redox Signaling","DOI":"10.1089/ars.2007.1672","ISSN":"1523-0864, 1557-7716","issue":"2","journalAbbreviation":"Antioxidants &amp; Redox Signaling","language":"en","page":"179-206","source":"DOI.org (Crossref)","title":"NAD&lt;sup&gt;+&lt;/sup&gt; /NADH and NADP&lt;sup&gt;+&lt;/sup&gt; /NADPH in Cellular Functions and Cell Death: Regulation and Biological Consequences","title-short":"NAD&lt;sup&gt;+&lt;/sup&gt; /NADH and NADP&lt;sup&gt;+&lt;/sup&gt; /NADPH in Cellular Functions and Cell Death","volume":"10","author":[{"family":"Ying","given":"Weihai"}],"issued":{"date-parts":[["2008",2]]}}}],"schema":"https://github.com/citation-style-language/schema/raw/master/csl-citation.json"}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67</w:t>
      </w:r>
      <w:r w:rsidR="006A4942" w:rsidRPr="006A4942">
        <w:rPr>
          <w:rFonts w:eastAsiaTheme="minorHAnsi"/>
          <w14:ligatures w14:val="standardContextual"/>
        </w:rPr>
        <w:t>)</w:t>
      </w:r>
      <w:r>
        <w:fldChar w:fldCharType="end"/>
      </w:r>
      <w:r>
        <w:t xml:space="preserve">. </w:t>
      </w:r>
    </w:p>
    <w:p w14:paraId="0E444A17" w14:textId="77777777" w:rsidR="00BC1EDA" w:rsidRDefault="00BC1EDA" w:rsidP="005B0F26"/>
    <w:p w14:paraId="1B9A3BF5" w14:textId="3DE8279B" w:rsidR="005B0F26" w:rsidRDefault="005B0F26" w:rsidP="005B0F26">
      <w:r>
        <w:t xml:space="preserve">Discussion: </w:t>
      </w:r>
    </w:p>
    <w:p w14:paraId="4BD96ADC" w14:textId="0B502E5E" w:rsidR="004E622C" w:rsidRDefault="005B0F26" w:rsidP="004E622C">
      <w:r>
        <w:t>Our study had two main goals: (1) to assess how temperature influences gut microbiome composition and function in wild, white-faced capuchins, and (2) to evaluate whether temperature-driven changes to the gut microbiome are related to host immunity. We found strong evidence that temperature is associated with community-level diversity, taxonomic composition, and metabolic capacity</w:t>
      </w:r>
      <w:r w:rsidR="006E102A">
        <w:t xml:space="preserve"> that may indicate the capuchins are undergoing periods of heat stress. </w:t>
      </w:r>
      <w:r w:rsidRPr="002E2B9C">
        <w:t xml:space="preserve">Moreover, the microbiome’s taxonomic and functional </w:t>
      </w:r>
      <w:r w:rsidR="00AB141F" w:rsidRPr="002E2B9C">
        <w:t xml:space="preserve">responses to temperature are linked to differences in urinary neopterin concentrations, </w:t>
      </w:r>
      <w:r w:rsidR="004E622C" w:rsidRPr="002E2B9C">
        <w:t>suggesting that immunity is related to the gut microbiome’s response to heat.</w:t>
      </w:r>
      <w:r w:rsidR="004E622C">
        <w:t xml:space="preserve"> </w:t>
      </w:r>
    </w:p>
    <w:p w14:paraId="32E51D5F" w14:textId="3CDA8C0F" w:rsidR="00440E37" w:rsidRDefault="00440E37" w:rsidP="00494677"/>
    <w:p w14:paraId="7BB2973F" w14:textId="77777777" w:rsidR="00494677" w:rsidRDefault="00150BEB" w:rsidP="00494677">
      <w:pPr>
        <w:rPr>
          <w:u w:val="single"/>
        </w:rPr>
      </w:pPr>
      <w:r>
        <w:t xml:space="preserve"> </w:t>
      </w:r>
      <w:r w:rsidR="00494677" w:rsidRPr="00C64C3B">
        <w:rPr>
          <w:u w:val="single"/>
        </w:rPr>
        <w:t xml:space="preserve">Gut microbiome </w:t>
      </w:r>
      <w:r w:rsidR="00494677">
        <w:rPr>
          <w:u w:val="single"/>
        </w:rPr>
        <w:t>response to</w:t>
      </w:r>
      <w:r w:rsidR="00494677" w:rsidRPr="00C64C3B">
        <w:rPr>
          <w:u w:val="single"/>
        </w:rPr>
        <w:t xml:space="preserve"> temperature</w:t>
      </w:r>
    </w:p>
    <w:p w14:paraId="07C7E7DB" w14:textId="32E951BA" w:rsidR="00DF25ED" w:rsidRDefault="00494677" w:rsidP="00DF25ED">
      <w:pPr>
        <w:ind w:firstLine="720"/>
      </w:pPr>
      <w:r>
        <w:t xml:space="preserve">Our data suggest that the gut microbiome’s response to high temperatures may affect its role in conferring colonization resistance— the ability to protect the host from exogenous pathogens. Colonization resistance arises from direct competition of commensals with pathogens for resources and microbial support for host immunity </w:t>
      </w:r>
      <w:r>
        <w:fldChar w:fldCharType="begin"/>
      </w:r>
      <w:r w:rsidR="006A4942">
        <w:instrText xml:space="preserve"> ADDIN ZOTERO_ITEM CSL_CITATION {"citationID":"BOTDPuFp","properties":{"formattedCitation":"({\\i{}91})","plainCitation":"(91)","noteIndex":0},"citationItems":[{"id":1527,"uris":["http://zotero.org/users/13901503/items/2LNX23SB"],"itemData":{"id":1527,"type":"article-journal","abstract":"A dense and diverse microbial community inhabits the gut and many epithelial surfaces. Referred to as the microbiota, it co-evolved with the host and is beneficial for many host physiological processes. A major function of these symbiotic microorganisms is protection against pathogen colonization and overgrowth of indigenous pathobionts. Dysbiosis of the normal microbial community increases the risk of pathogen infection and overgrowth of harmful pathobionts. The protective mechanisms conferred by the microbiota are complex and include competitive microbial–microbial interactions and induction of host immune responses. Pathogens, in turn, have evolved multiple strategies to subvert colonization resistance conferred by the microbiota. Understanding the mechanisms by which microbial symbionts limit pathogen colonization should guide the development of new therapeutic approaches to prevent or treat disease.","container-title":"Nature Reviews Microbiology","DOI":"10.1038/s41579-022-00833-7","ISSN":"1740-1534","issue":"6","journalAbbreviation":"Nat Rev Microbiol","language":"en","license":"2022 Springer Nature Limited","note":"publisher: Nature Publishing Group","page":"347-360","source":"www.nature.com","title":"Microbiota-mediated colonization resistance: mechanisms and regulation","title-short":"Microbiota-mediated colonization resistance","volume":"21","author":[{"family":"Caballero-Flores","given":"Gustavo"},{"family":"Pickard","given":"Joseph M."},{"family":"Núñez","given":"Gabriel"}],"issued":{"date-parts":[["2023",6]]}}}],"schema":"https://github.com/citation-style-language/schema/raw/master/csl-citation.json"}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91</w:t>
      </w:r>
      <w:r w:rsidR="006A4942" w:rsidRPr="006A4942">
        <w:rPr>
          <w:rFonts w:eastAsiaTheme="minorHAnsi"/>
          <w14:ligatures w14:val="standardContextual"/>
        </w:rPr>
        <w:t>)</w:t>
      </w:r>
      <w:r>
        <w:fldChar w:fldCharType="end"/>
      </w:r>
      <w:r>
        <w:t>.</w:t>
      </w:r>
      <w:r w:rsidRPr="00D763E3">
        <w:t xml:space="preserve"> </w:t>
      </w:r>
      <w:r>
        <w:t xml:space="preserve">Community-level analysis reveals that taxonomic alpha diversity declines with increasing temperatures (Fig 2S), suggesting that heat may impair the gut microbiome’s ability to resist colonization by reducing the diversity of taxa that are available to compete with pathogens </w:t>
      </w:r>
      <w:r>
        <w:fldChar w:fldCharType="begin"/>
      </w:r>
      <w:r w:rsidR="006A4942">
        <w:instrText xml:space="preserve"> ADDIN ZOTERO_ITEM CSL_CITATION {"citationID":"t7jhlu8l","properties":{"formattedCitation":"({\\i{}92})","plainCitation":"(92)","noteIndex":0},"citationItems":[{"id":1008,"uris":["http://zotero.org/users/13901503/items/5W73TYRF"],"itemData":{"id":1008,"type":"article-journal","abstract":"The human gut microbiome plays an important role in resisting colonization of the host by pathogens, but we lack the ability to predict which communities will be protective. We studied how human gut bacteria influence colonization of two major bacterial pathogens, both in vitro and in gnotobiotic mice. Whereas single species alone had negligible effects, colonization resistance greatly increased with community diversity. Moreover, this community-level resistance rested critically upon certain species being present. We explained these ecological patterns through the collective ability of resistant communities to consume nutrients that overlap with those used by the pathogen. Furthermore, we applied our findings to successfully predict communities that resist a novel target strain. Our work provides a reason why microbiome diversity is beneficial and suggests a route for the rational design of pathogen-resistant communities.","container-title":"Science","DOI":"10.1126/science.adj3502","issue":"6676","note":"publisher: American Association for the Advancement of Science","page":"eadj3502","source":"science.org (Atypon)","title":"Microbiome diversity protects against pathogens by nutrient blocking","volume":"382","author":[{"family":"Spragge","given":"Frances"},{"family":"Bakkeren","given":"Erik"},{"family":"Jahn","given":"Martin T."},{"family":"B. N. Araujo","given":"Elizete"},{"family":"Pearson","given":"Claire F."},{"family":"Wang","given":"Xuedan"},{"family":"Pankhurst","given":"Louise"},{"family":"Cunrath","given":"Olivier"},{"family":"Foster","given":"Kevin R."}],"issued":{"date-parts":[["2023",12,15]]}}}],"schema":"https://github.com/citation-style-language/schema/raw/master/csl-citation.json"}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92</w:t>
      </w:r>
      <w:r w:rsidR="006A4942" w:rsidRPr="006A4942">
        <w:rPr>
          <w:rFonts w:eastAsiaTheme="minorHAnsi"/>
          <w14:ligatures w14:val="standardContextual"/>
        </w:rPr>
        <w:t>)</w:t>
      </w:r>
      <w:r>
        <w:fldChar w:fldCharType="end"/>
      </w:r>
      <w:r>
        <w:t xml:space="preserve">. High temperatures are also associated with the decline in the </w:t>
      </w:r>
      <w:proofErr w:type="spellStart"/>
      <w:r>
        <w:t>Bacteroidota</w:t>
      </w:r>
      <w:proofErr w:type="spellEnd"/>
      <w:r>
        <w:t xml:space="preserve"> and Firmicutes phyla, which contain taxa known to support host immunity such as </w:t>
      </w:r>
      <w:proofErr w:type="spellStart"/>
      <w:r w:rsidRPr="00A566A6">
        <w:rPr>
          <w:rStyle w:val="Emphasis"/>
          <w:rFonts w:eastAsiaTheme="majorEastAsia"/>
        </w:rPr>
        <w:t>Clostridiaceae</w:t>
      </w:r>
      <w:proofErr w:type="spellEnd"/>
      <w:r>
        <w:t>,</w:t>
      </w:r>
      <w:r w:rsidRPr="00A566A6">
        <w:t xml:space="preserve"> </w:t>
      </w:r>
      <w:r w:rsidRPr="00A566A6">
        <w:rPr>
          <w:rStyle w:val="Emphasis"/>
          <w:rFonts w:eastAsiaTheme="majorEastAsia"/>
        </w:rPr>
        <w:t>Lactococcus</w:t>
      </w:r>
      <w:r>
        <w:rPr>
          <w:rStyle w:val="Emphasis"/>
          <w:rFonts w:eastAsiaTheme="majorEastAsia"/>
        </w:rPr>
        <w:t>,</w:t>
      </w:r>
      <w:r w:rsidRPr="00A566A6">
        <w:t xml:space="preserve"> and </w:t>
      </w:r>
      <w:proofErr w:type="spellStart"/>
      <w:r w:rsidRPr="00A566A6">
        <w:rPr>
          <w:i/>
          <w:iCs/>
        </w:rPr>
        <w:t>Barnesiella</w:t>
      </w:r>
      <w:proofErr w:type="spellEnd"/>
      <w:r>
        <w:rPr>
          <w:i/>
          <w:iCs/>
        </w:rPr>
        <w:t xml:space="preserve"> </w:t>
      </w:r>
      <w:r w:rsidRPr="0089345D">
        <w:t xml:space="preserve">(Fig </w:t>
      </w:r>
      <w:r>
        <w:t>2</w:t>
      </w:r>
      <w:r w:rsidRPr="0089345D">
        <w:t>)</w:t>
      </w:r>
      <w:r>
        <w:fldChar w:fldCharType="begin"/>
      </w:r>
      <w:r w:rsidR="006A4942">
        <w:instrText xml:space="preserve"> ADDIN ZOTERO_ITEM CSL_CITATION {"citationID":"niRie4ap","properties":{"formattedCitation":"({\\i{}93})","plainCitation":"(93)","noteIndex":0},"citationItems":[{"id":1477,"uris":["http://zotero.org/users/13901503/items/HC276HZJ"],"itemData":{"id":1477,"type":"article-journal","abstract":"Antibiotic treatment disrupts the native intestinal microbiota and favours infection with and the proliferation of antibiotic-resistant intestinal pathogens. Clinically important antibiotic-resistant pathogens include vancomycin-resistant Enterococcus spp., various Enterobacteriaceae and Clostridium difficile.The intestinal microbiota influences the development, the maintenance and the function of the innate and adaptive immune systems. Host immune function is decreased in the intestines following antibiotic therapy, and antibiotic-treated hosts are susceptible to intestinal infection.Microbiota-derived bacterial populations and products that enhance immune defence against intestinal pathogens are being identified. However, the precise bacterial sources of many immunomodulatory molecules remain unclear and, conversely, the molecular mechanisms by which most probiotics restore immunity have yet to be elucidated.In addition to indirectly enhancing colonization resistance by stimulating host immune defences, bacterial populations can directly suppress intestinal pathogens by competitive exclusion and by antimicrobial activities. The commensal populations that are responsible for direct antagonism of pathogens and indirect, immune-mediated colonization resistance may be closely related and difficult to distinguish.Microbiota-derived bacterial populations and products, a subset of which enhance immune defence, can also promote intestinal inflammation, whereas other microbiota components restrain effector responses and promote tolerance.Manipulation of the intestinal microbiota to prevent and to treat some intestinal infections, such as C. difficile, shows promise in human patients and animal models of infection. However, the specific contributions of the individual bacterial populations that constitute the consortia transferred in such studies remain mostly undefined.","container-title":"Nature Reviews Immunology","DOI":"10.1038/nri3535","ISSN":"1474-1741","issue":"11","journalAbbreviation":"Nat Rev Immunol","language":"en","license":"2013 Springer Nature Limited","note":"publisher: Nature Publishing Group","page":"790-801","source":"www.nature.com","title":"Microbiota-mediated colonization resistance against intestinal pathogens","volume":"13","author":[{"family":"Buffie","given":"Charlie G."},{"family":"Pamer","given":"Eric G."}],"issued":{"date-parts":[["2013",11]]}}}],"schema":"https://github.com/citation-style-language/schema/raw/master/csl-citation.json"}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93</w:t>
      </w:r>
      <w:r w:rsidR="006A4942" w:rsidRPr="006A4942">
        <w:rPr>
          <w:rFonts w:eastAsiaTheme="minorHAnsi"/>
          <w14:ligatures w14:val="standardContextual"/>
        </w:rPr>
        <w:t>)</w:t>
      </w:r>
      <w:r>
        <w:fldChar w:fldCharType="end"/>
      </w:r>
      <w:r>
        <w:t xml:space="preserve">, which may leave hosts more vulnerable to infection. However, functional alpha diversity appears more resilient to increasing temperatures (Fig 1), likely due to functional redundancy— when taxonomically distinct microbes perform similar functional roles </w:t>
      </w:r>
      <w:r>
        <w:fldChar w:fldCharType="begin"/>
      </w:r>
      <w:r w:rsidR="006A4942">
        <w:instrText xml:space="preserve"> ADDIN ZOTERO_ITEM CSL_CITATION {"citationID":"hwQmyei2","properties":{"formattedCitation":"({\\i{}94})","plainCitation":"(94)","noteIndex":0},"citationItems":[{"id":3181,"uris":["http://zotero.org/users/13901503/items/N5RMCRXY"],"itemData":{"id":3181,"type":"article-journal","abstract":"Microbial communities often exhibit incredible taxonomic diversity, raising questions regarding the mechanisms enabling species coexistence and the role of this diversity in community functioning. On the one hand, many coexisting but taxonomically distinct microorganisms can encode the same energy-yielding metabolic functions, and this functional redundancy contrasts with the expectation that species should occupy distinct metabolic niches. On the other hand, the identity of taxa encoding each function can vary substantially across space or time with little effect on the function, and this taxonomic variability is frequently thought to result from ecological drift between equivalent organisms. Here, we synthesize the powerful paradigm emerging from these two patterns, connecting the roles of function, functional redundancy and taxonomy in microbial systems. We conclude that both patterns are unlikely to be the result of ecological drift, but are inevitable emergent properties of open microbial systems resulting mainly from biotic interactions and environmental and spatial processes.","container-title":"Nature Ecology &amp; Evolution","DOI":"10.1038/s41559-018-0519-1","ISSN":"2397-334X","issue":"6","journalAbbreviation":"Nat Ecol Evol","language":"en","license":"2018 The Author(s)","note":"publisher: Nature Publishing Group","page":"936-943","source":"www-nature-com.proxy.lib.umich.edu","title":"Function and functional redundancy in microbial systems","volume":"2","author":[{"family":"Louca","given":"Stilianos"},{"family":"Polz","given":"Martin F."},{"family":"Mazel","given":"Florent"},{"family":"Albright","given":"Michaeline B. N."},{"family":"Huber","given":"Julie A."},{"family":"O’Connor","given":"Mary I."},{"family":"Ackermann","given":"Martin"},{"family":"Hahn","given":"Aria S."},{"family":"Srivastava","given":"Diane S."},{"family":"Crowe","given":"Sean A."},{"family":"Doebeli","given":"Michael"},{"family":"Parfrey","given":"Laura Wegener"}],"issued":{"date-parts":[["2018",6]]}}}],"schema":"https://github.com/citation-style-language/schema/raw/master/csl-citation.json"}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94</w:t>
      </w:r>
      <w:r w:rsidR="006A4942" w:rsidRPr="006A4942">
        <w:rPr>
          <w:rFonts w:eastAsiaTheme="minorHAnsi"/>
          <w14:ligatures w14:val="standardContextual"/>
        </w:rPr>
        <w:t>)</w:t>
      </w:r>
      <w:r>
        <w:fldChar w:fldCharType="end"/>
      </w:r>
      <w:r>
        <w:t>.</w:t>
      </w:r>
      <w:r w:rsidRPr="008F1008">
        <w:t xml:space="preserve"> </w:t>
      </w:r>
      <w:r>
        <w:t>This redundancy may buffer the loss of taxonomic diversity and help preserve colonization resistance at high temperatures because remaining taxa fill enough functional niches to outcompete pathogens.</w:t>
      </w:r>
      <w:r>
        <w:rPr>
          <w:rStyle w:val="Emphasis"/>
        </w:rPr>
        <w:t xml:space="preserve"> </w:t>
      </w:r>
      <w:r>
        <w:t xml:space="preserve">Although we did not observe an increase in potentially pathogenic taxa, the phyla Proteobacteria and Campylobacteria, which are known to contain gut pathogens </w:t>
      </w:r>
      <w:r>
        <w:fldChar w:fldCharType="begin"/>
      </w:r>
      <w:r w:rsidR="006A4942">
        <w:instrText xml:space="preserve"> ADDIN ZOTERO_ITEM CSL_CITATION {"citationID":"08yGUd4c","properties":{"formattedCitation":"({\\i{}36}, {\\i{}95})","plainCitation":"(36, 95)","noteIndex":0},"citationItems":[{"id":3980,"uris":["http://zotero.org/users/13901503/items/D55I9RZZ"],"itemData":{"id":3980,"type":"article-journal","abstract":"SUMMARYCampylobacter jejuni infection is one of the most widespread infectious diseases of the last century. The incidence and prevalence of campylobacteriosis have increased in both developed and developing countries over the last 10 years. The dramatic increase in North America, Europe, and Australia is alarming, and data from parts of Africa, Asia, and the Middle East indicate that campylobacteriosis is endemic in these areas, especially in children. In addition to C. jejuni, there is increasing recognition of the clinical importance of emerging Campylobacter species, including Campylobacter concisus and Campylobacter ureolyticus. Poultry is a major reservoir and source of transmission of campylobacteriosis to humans. Other risk factors include consumption of animal products and water, contact with animals, and international travel. Strategic implementation of multifaceted biocontrol measures to reduce the transmission of this group of pathogens is paramount for public health. Overall, campylobacteriosis is still one of the most important infectious diseases that is likely to challenge global health in the years to come. This review provides a comprehensive overview of the global epidemiology, transmission, and clinical relevance of Campylobacter infection.","container-title":"Clinical Microbiology Reviews","DOI":"10.1128/cmr.00006-15","issue":"3","note":"publisher: American Society for Microbiology","page":"687-720","source":"journals-asm-org.proxy.lib.umich.edu (Atypon)","title":"Global Epidemiology of Campylobacter Infection","volume":"28","author":[{"family":"Kaakoush","given":"Nadeem O."},{"family":"Castaño-Rodríguez","given":"Natalia"},{"family":"Mitchell","given":"Hazel M."},{"family":"Man","given":"Si Ming"}],"issued":{"date-parts":[["2015",6,10]]}}},{"id":3636,"uris":["http://zotero.org/users/13901503/items/26FYIIWM"],"itemData":{"id":3636,"type":"article-journal","abstract":"Recent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36</w:t>
      </w:r>
      <w:r w:rsidR="006A4942" w:rsidRPr="006A4942">
        <w:rPr>
          <w:rFonts w:eastAsiaTheme="minorHAnsi"/>
          <w14:ligatures w14:val="standardContextual"/>
        </w:rPr>
        <w:t xml:space="preserve">, </w:t>
      </w:r>
      <w:r w:rsidR="006A4942" w:rsidRPr="006A4942">
        <w:rPr>
          <w:rFonts w:eastAsiaTheme="minorHAnsi"/>
          <w:i/>
          <w:iCs/>
          <w14:ligatures w14:val="standardContextual"/>
        </w:rPr>
        <w:t>95</w:t>
      </w:r>
      <w:r w:rsidR="006A4942" w:rsidRPr="006A4942">
        <w:rPr>
          <w:rFonts w:eastAsiaTheme="minorHAnsi"/>
          <w14:ligatures w14:val="standardContextual"/>
        </w:rPr>
        <w:t>)</w:t>
      </w:r>
      <w:r>
        <w:fldChar w:fldCharType="end"/>
      </w:r>
      <w:r>
        <w:t>, are less sensitive to heat compared to other phyla. Therefore, sustained high temperatures may continue to erode both taxonomic and functional diversity, eventually increasing the host’s vulnerability to infection</w:t>
      </w:r>
    </w:p>
    <w:p w14:paraId="14F7A2CF" w14:textId="558A68AE" w:rsidR="00DF25ED" w:rsidRDefault="00DF25ED" w:rsidP="00DF25ED">
      <w:pPr>
        <w:ind w:firstLine="720"/>
      </w:pPr>
      <w:r>
        <w:t xml:space="preserve">Metabolic restructuring in response to rising temperatures suggests that the gut microbiome undergoes functional shifts that may support community stability. For example, the increase in lipid synthesis and remodeling pathways (Fig 3A) could reflect cytoplasmic membrane restructuring, a process bacteria use to preserve membrane stability at high temperatures </w:t>
      </w:r>
      <w:r>
        <w:fldChar w:fldCharType="begin"/>
      </w:r>
      <w:r w:rsidR="006A4942">
        <w:instrText xml:space="preserve"> ADDIN ZOTERO_ITEM CSL_CITATION {"citationID":"SIOKOfLi","properties":{"formattedCitation":"({\\i{}58}, {\\i{}96})","plainCitation":"(58, 96)","noteIndex":0},"citationItems":[{"id":3378,"uris":["http://zotero.org/users/13901503/items/TZK8TZFH"],"itemData":{"id":3378,"type":"article-journal","container-title":"Journal of Bacteriology","DOI":"10.1128/jb.186.20.6681-6688.2004","issue":"20","note":"publisher: American Society for Microbiology","page":"6681-6688","source":"journals.asm.org (Atypon)","title":"Control of Membrane Lipid Fluidity by Molecular Thermosensors","volume":"186","author":[{"family":"Mansilla","given":"María C."},{"family":"Cybulski","given":"Larisa E."},{"family":"Albanesi","given":"Daniela"},{"family":"Mendoza","given":"Diego","non-dropping-particle":"de"}],"issued":{"date-parts":[["2004",10,15]]}}},{"id":3394,"uris":["http://zotero.org/users/13901503/items/BQ657FYY"],"itemData":{"id":3394,"type":"article-journal","container-title":"Proceedings of the National Academy of Sciences","DOI":"10.1073/pnas.1515607112","issue":"38","journalAbbreviation":"PNAS","language":"en","page":"11971–11976","title":"Hopanoids as functional analogues of cholesterol in bacterial membranes","volume":"112","author":[{"family":"Sáenz","given":"James"}],"issued":{"date-parts":[["2015"]]}}}],"schema":"https://github.com/citation-style-language/schema/raw/master/csl-citation.json"}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58</w:t>
      </w:r>
      <w:r w:rsidR="006A4942" w:rsidRPr="006A4942">
        <w:rPr>
          <w:rFonts w:eastAsiaTheme="minorHAnsi"/>
          <w14:ligatures w14:val="standardContextual"/>
        </w:rPr>
        <w:t xml:space="preserve">, </w:t>
      </w:r>
      <w:r w:rsidR="006A4942" w:rsidRPr="006A4942">
        <w:rPr>
          <w:rFonts w:eastAsiaTheme="minorHAnsi"/>
          <w:i/>
          <w:iCs/>
          <w14:ligatures w14:val="standardContextual"/>
        </w:rPr>
        <w:t>96</w:t>
      </w:r>
      <w:r w:rsidR="006A4942" w:rsidRPr="006A4942">
        <w:rPr>
          <w:rFonts w:eastAsiaTheme="minorHAnsi"/>
          <w14:ligatures w14:val="standardContextual"/>
        </w:rPr>
        <w:t>)</w:t>
      </w:r>
      <w:r>
        <w:fldChar w:fldCharType="end"/>
      </w:r>
      <w:r>
        <w:t xml:space="preserve">. However, these changes may be insufficient to maintain membrane integrity during extended periods of high temperatures because the observed decline in lipid catabolism and recycling pathways likely compromises membrane repair mechanisms </w:t>
      </w:r>
      <w:r>
        <w:fldChar w:fldCharType="begin"/>
      </w:r>
      <w:r w:rsidR="006A4942">
        <w:instrText xml:space="preserve"> ADDIN ZOTERO_ITEM CSL_CITATION {"citationID":"0Z2ejPon","properties":{"formattedCitation":"({\\i{}59})","plainCitation":"(59)","noteIndex":0},"citationItems":[{"id":3286,"uris":["http://zotero.org/users/13901503/items/VXSZL448"],"itemData":{"id":3286,"type":"article-journal","abstract":"The ability of bacteria to control the biophysical properties of their membrane phospholipids allows them to thrive in a wide range of physical environments.Fatty acid biosynthesis is an energy-intensive biosynthetic pathway, and the production of the building blocks for membrane phospholipids is precisely regulated to match the rate of cell division.Bacteria control the homeostasis of membrane lipid biophysical properties by altering the chain length of fatty acids, as well as the ratio of saturated:unsaturated fatty acids. The de novo, type II fatty acid biosynthetic pathway is a major focal point for the regulation of fatty acid composition.Bacteria can alter the physical properties of existing phospholipids by introducing cis double bonds into saturated acyl chains, thereby converting cis double bonds into cyclopropane rings and catalysing the isomerization of cis fatty acids to their trans conformations.Phospholipids are used as intermediates in the formation of major structural constituents of the cell. Managing the metabolism of the lipid by-products of these biosynthetic pathways is important to prevent the accumulation of membrane-disruptive lipids and to conserve the energy that is invested in the biosynthesis of the fatty acids.Modification of phosphatidylglycerol by the attachment of a lysine residue to the glycerol head group is an adaptive response that is used by pathogens to increase their resistance to cationic antibacterial peptides (defensins) that are produced by the innate immune system.","container-title":"Nature Reviews Microbiology","DOI":"10.1038/nrmicro1839","ISSN":"1740-1534","issue":"3","journalAbbreviation":"Nat Rev Microbiol","language":"en","license":"2008 Springer Nature Limited","note":"publisher: Nature Publishing Group","page":"222-233","source":"www-nature-com.proxy.lib.umich.edu","title":"Membrane lipid homeostasis in bacteria","volume":"6","author":[{"family":"Zhang","given":"Yong-Mei"},{"family":"Rock","given":"Charles O."}],"issued":{"date-parts":[["2008",3]]}}}],"schema":"https://github.com/citation-style-language/schema/raw/master/csl-citation.json"}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59</w:t>
      </w:r>
      <w:r w:rsidR="006A4942" w:rsidRPr="006A4942">
        <w:rPr>
          <w:rFonts w:eastAsiaTheme="minorHAnsi"/>
          <w14:ligatures w14:val="standardContextual"/>
        </w:rPr>
        <w:t>)</w:t>
      </w:r>
      <w:r>
        <w:fldChar w:fldCharType="end"/>
      </w:r>
      <w:r>
        <w:t>.</w:t>
      </w:r>
      <w:r w:rsidRPr="006B03C8">
        <w:t xml:space="preserve"> </w:t>
      </w:r>
      <w:r>
        <w:t xml:space="preserve">Limited repair capacity could leave gut microbes more vulnerable to peroxidative damage, a </w:t>
      </w:r>
      <w:r>
        <w:lastRenderedPageBreak/>
        <w:t xml:space="preserve">common consequence of heat stress driven by an accumulation of ROS that damages the lipid components of cell membranes </w:t>
      </w:r>
      <w:r>
        <w:fldChar w:fldCharType="begin"/>
      </w:r>
      <w:r w:rsidR="006A4942">
        <w:instrText xml:space="preserve"> ADDIN ZOTERO_ITEM CSL_CITATION {"citationID":"XWxqevTe","properties":{"formattedCitation":"({\\i{}21}, {\\i{}97})","plainCitation":"(21, 97)","noteIndex":0},"citationItems":[{"id":3717,"uris":["http://zotero.org/users/13901503/items/UEK27R7E"],"itemData":{"id":3717,"type":"article-journal","abstract":"In recent years there has been enormous interest in researching oxidative stress. Reactive oxygen species (ROS) are derived from the metabolism of oxygen as by-products of cell respiration, and are continuously produced in all aerobic organisms. Oxidative stress occurs as a consequence of an imbalance between ROS production and the available antioxidant defence against them. Nowadays, a variety of diseases and degenerative processes such as cancer, Alzheimer’s and autoimmune diseases are mediated by oxidative stress. Heat stress was suggested to be an environmental factor responsible for stimulating ROS production because of similarities in responses observed following heat stress compared with that occurring following exposure to oxidative stress. This manuscript describes the main mitochondrial sources of ROS and the antioxidant defences involved to prevent oxidative damage in all the mitochondrial compartments. It also deals with discussions concerning the cytotoxic effect of heat stress, mitochondrial heat-induced alterations, as well as heat shock protein (HSP) expression as a defence mechanism.","container-title":"International Journal of Hyperthermia","DOI":"10.3109/02656736.2014.971446","ISSN":"0265-6736","issue":"7","note":"publisher: Taylor &amp; Francis\n_eprint: https://doi.org/10.3109/02656736.2014.971446\nPMID: 25354680","page":"513-523","source":"Taylor and Francis+NEJM","title":"Reactive oxygen species, heat stress and oxidative-induced mitochondrial damage. A review","volume":"30","author":[{"family":"Belhadj Slimen","given":"Imen"},{"family":"Taha","given":"Najar"},{"family":"Abdeljelil","given":"Ghram"},{"family":"Hajer","given":"Dabbebi"},{"family":"Moncef","given":"Ben Mrad"},{"family":"Manef","given":"Abdrabbah"}],"issued":{"date-parts":[["2014",11,1]]}}},{"id":3669,"uris":["http://zotero.org/users/13901503/items/BF6XKP7S"],"itemData":{"id":3669,"type":"article-journal","abstract":"The stress responses and possible oxidative damage in plasma, liver and heart were investigated in broiler chickens acutely exposed to high temperature. Eighty 5-week old broiler chickens were exposed to 32°C for 6h. The extent of lipid peroxidation, activities of superoxide dismutase and total antioxidant power in plasma, liver and heart tissues were investigated. Meanwhile, the blood metabolites such as glucose, urate, triiodothyronine, thyroxine, corticosterone, ceruloplasmin and creatine kinase were measured before and after 3 and 6h of heat exposure. The results showed that oxidative stress could be induced in 5-week old broiler chickens by acute heat exposure (32°C, 6h). The results suggest that the elevated body temperature can induce the metabolic changes that are involved in the induction of oxidative stress. The liver is more susceptible to oxidative stress than heart during acute heat exposure in broiler chickens. The oxidative stress should be considered as part of the stress response of broiler chickens to heat exposure.","container-title":"Comparative Biochemistry and Physiology Part A: Molecular &amp; Integrative Physiology","DOI":"10.1016/j.cbpa.2006.01.032","ISSN":"1095-6433","issue":"1","journalAbbreviation":"Comparative Biochemistry and Physiology Part A: Molecular &amp; Integrative Physiology","page":"11-17","source":"ScienceDirect","title":"Acute heat stress induces oxidative stress in broiler chickens","volume":"144","author":[{"family":"Lin","given":"Hai"},{"family":"Decuypere","given":"Eddy"},{"family":"Buyse","given":"Johan"}],"issued":{"date-parts":[["2006",5,1]]}}}],"schema":"https://github.com/citation-style-language/schema/raw/master/csl-citation.json"}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21</w:t>
      </w:r>
      <w:r w:rsidR="006A4942" w:rsidRPr="006A4942">
        <w:rPr>
          <w:rFonts w:eastAsiaTheme="minorHAnsi"/>
          <w14:ligatures w14:val="standardContextual"/>
        </w:rPr>
        <w:t xml:space="preserve">, </w:t>
      </w:r>
      <w:r w:rsidR="006A4942" w:rsidRPr="006A4942">
        <w:rPr>
          <w:rFonts w:eastAsiaTheme="minorHAnsi"/>
          <w:i/>
          <w:iCs/>
          <w14:ligatures w14:val="standardContextual"/>
        </w:rPr>
        <w:t>97</w:t>
      </w:r>
      <w:r w:rsidR="006A4942" w:rsidRPr="006A4942">
        <w:rPr>
          <w:rFonts w:eastAsiaTheme="minorHAnsi"/>
          <w14:ligatures w14:val="standardContextual"/>
        </w:rPr>
        <w:t>)</w:t>
      </w:r>
      <w:r>
        <w:fldChar w:fldCharType="end"/>
      </w:r>
      <w:r>
        <w:t>. Similarly,</w:t>
      </w:r>
      <w:r w:rsidRPr="00E81C03">
        <w:t xml:space="preserve"> </w:t>
      </w:r>
      <w:r>
        <w:t>the observed increase in anaerobic metabolic pathways</w:t>
      </w:r>
      <w:r w:rsidRPr="00E81C03">
        <w:t xml:space="preserve"> </w:t>
      </w:r>
      <w:r>
        <w:t xml:space="preserve">and the decline in aerobic pathways (Fig 3B) likely reflect a response to maintain energy production under changing oxygen gradients due to redirected blood flow during heat exposure </w:t>
      </w:r>
      <w:r>
        <w:fldChar w:fldCharType="begin"/>
      </w:r>
      <w:r w:rsidR="006A4942">
        <w:instrText xml:space="preserve"> ADDIN ZOTERO_ITEM CSL_CITATION {"citationID":"MA64tDiH","properties":{"formattedCitation":"({\\i{}61})","plainCitation":"(61)","noteIndex":0},"citationItems":[{"id":3205,"uris":["http://zotero.org/users/13901503/items/CADITA73"],"itemData":{"id":3205,"type":"article-journal","abstract":"Exposure of conscious animals to environmental heat stress increases portal venous radical content. The nature of the observed heat stress-inducible radical molecules suggests that hyperthermia produces cellular hypoxic stress in liver and intestine. To investigate this hypothesis, conscious rats bearing in-dwelling portal venous and femoral artery catheters were exposed to normothermic or hyperthermic conditions. Blood gas levels were monitored during heat stress and for 24 h following heat exposure. Hyperthermia significantly increased arterial O2 saturation, splanchnic arterial-venous O2 difference, and venous</w:instrText>
      </w:r>
      <w:r w:rsidR="006A4942">
        <w:rPr>
          <w:rFonts w:ascii="Cambria Math" w:hAnsi="Cambria Math" w:cs="Cambria Math"/>
        </w:rPr>
        <w:instrText>𝑃</w:instrText>
      </w:r>
      <w:r w:rsidR="006A4942">
        <w:instrText xml:space="preserve">⁢CO2P⁢CO2, while decreasing venous O2 saturation and venous pH. One hour after heat exposure, liver glycogen levels were decreased </w:instrText>
      </w:r>
      <w:r w:rsidR="006A4942">
        <w:rPr>
          <w:rFonts w:ascii="Cambria Math" w:hAnsi="Cambria Math" w:cs="Cambria Math"/>
        </w:rPr>
        <w:instrText>∼</w:instrText>
      </w:r>
      <w:r w:rsidR="006A4942">
        <w:instrText xml:space="preserve">20%. Two hours after heat exposure, the splanchnic arterial-venous O2 difference remained elevated in heat-stressed animals despite normal Tc. A second group of rats was exposed to similar conditions while receiving intra-arterial injections of the hypoxic cell marker [3H]misonidazole. Liver and intestine were biopsied, and [3H]misonidazole content was quantified. Heat stress increased tissue [3H]misonidazole retention 80% in the liver and 29% in the small intestine. Cellular [3H]misonidazole levels were significantly elevated in intestinal epithelial cells and liver zone 2 and 3 hepatocytes and Kupffer cells. This effect was most prominent in the proximal small intestine and small liver lobi. These data provide evidence that hyperthermia produces cellular hypoxia and metabolic stress in splanchnic tissues and suggest that cellular metabolic stress may contribute to radical generation during heat stress.","container-title":"American Journal of Physiology-Gastrointestinal and Liver Physiology","DOI":"10.1152/ajpgi.1999.276.5.G1195","ISSN":"0193-1857","issue":"5","note":"publisher: American Physiological Society","page":"G1195-G1203","source":"journals.physiology.org (Atypon)","title":"Splanchnic tissues undergo hypoxic stress  during whole body hyperthermia","volume":"276","author":[{"family":"Hall","given":"David M."},{"family":"Baumgardner","given":"Kirk R."},{"family":"Oberley","given":"Terry D."},{"family":"Gisolfi","given":"Carl V."}],"issued":{"date-parts":[["1999",5]]}}}],"schema":"https://github.com/citation-style-language/schema/raw/master/csl-citation.json"}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61</w:t>
      </w:r>
      <w:r w:rsidR="006A4942" w:rsidRPr="006A4942">
        <w:rPr>
          <w:rFonts w:eastAsiaTheme="minorHAnsi"/>
          <w14:ligatures w14:val="standardContextual"/>
        </w:rPr>
        <w:t>)</w:t>
      </w:r>
      <w:r>
        <w:fldChar w:fldCharType="end"/>
      </w:r>
      <w:r>
        <w:t>.</w:t>
      </w:r>
      <w:r w:rsidRPr="00765ACF">
        <w:t xml:space="preserve"> </w:t>
      </w:r>
      <w:r>
        <w:t xml:space="preserve">However, these anaerobic pathways are primarily involved in simple carbohydrate metabolism typical of facultative taxa </w:t>
      </w:r>
      <w:r>
        <w:fldChar w:fldCharType="begin"/>
      </w:r>
      <w:r w:rsidR="006A4942">
        <w:instrText xml:space="preserve"> ADDIN ZOTERO_ITEM CSL_CITATION {"citationID":"mHntz9tf","properties":{"formattedCitation":"({\\i{}98}, {\\i{}99})","plainCitation":"(98, 99)","noteIndex":0},"citationItems":[{"id":3719,"uris":["http://zotero.org/users/13901503/items/ZGBKX69N"],"itemData":{"id":3719,"type":"article-journal","abstract":"Antibiotic treatment disturbs the commensal microbiota and is often followed by infection with enteric pathogens such as Salmonella typhimurium and Clostridium difficile; pathogen expansion is fuelled by antibiotic-driven accumulation of commensal-liberated host mucosal carbohydrates.","container-title":"Nature","DOI":"10.1038/nature12503","ISSN":"1476-4687","issue":"7469","language":"en","license":"2013 Springer Nature Limited","note":"publisher: Nature Publishing Group","page":"96-99","source":"www-nature-com.proxy.lib.umich.edu","title":"Microbiota-liberated host sugars facilitate post-antibiotic expansion of enteric pathogens","volume":"502","author":[{"family":"Ng","given":"Katharine M."},{"family":"Ferreyra","given":"Jessica A."},{"family":"Higginbottom","given":"Steven K."},{"family":"Lynch","given":"Jonathan B."},{"family":"Kashyap","given":"Purna C."},{"family":"Gopinath","given":"Smita"},{"family":"Naidu","given":"Natasha"},{"family":"Choudhury","given":"Biswa"},{"family":"Weimer","given":"Bart C."},{"family":"Monack","given":"Denise M."},{"family":"Sonnenburg","given":"Justin L."}],"issued":{"date-parts":[["2013",10]]}}},{"id":3721,"uris":["http://zotero.org/users/13901503/items/EJEGJAPG"],"itemData":{"id":3721,"type":"article-journal","abstract":"The gut microbiota has diverse and essential roles in host metabolism, development of the immune system and as resistance to pathogen colonization. Perturbations of the gut microbiota, termed gut dysbiosis, are commonly observed in diseases involving inflammation in the gut, including inflammatory bowel disease, infection, colorectal cancer and food allergies. Importantly, the inflamed microenvironment in the gut is particularly conducive to blooms of Enterobacteriaceae, which acquire fitness benefits while other families of symbiotic bacteria succumb to environmental changes inflicted by inflammation. Here we summarize studies that examined factors in the inflamed gut that contribute to blooms of Enterobacterieaceae, and highlight potential approaches to restrict Enterobacterial blooms in treating diseases that are otherwise complicated by overgrowth of virulent Enterobacterial species in the gut.","container-title":"Mucosal Immunology","DOI":"10.1038/mi.2016.75","ISSN":"1933-0219","issue":"1","journalAbbreviation":"Mucosal Immunology","page":"18-26","source":"ScienceDirect","title":"Mechanisms of inflammation-driven bacterial dysbiosis in the gut","volume":"10","author":[{"family":"Zeng","given":"M. Y."},{"family":"Inohara","given":"N."},{"family":"Nuñez","given":"G."}],"issued":{"date-parts":[["2017",1,1]]}}}],"schema":"https://github.com/citation-style-language/schema/raw/master/csl-citation.json"}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98</w:t>
      </w:r>
      <w:r w:rsidR="006A4942" w:rsidRPr="006A4942">
        <w:rPr>
          <w:rFonts w:eastAsiaTheme="minorHAnsi"/>
          <w14:ligatures w14:val="standardContextual"/>
        </w:rPr>
        <w:t xml:space="preserve">, </w:t>
      </w:r>
      <w:r w:rsidR="006A4942" w:rsidRPr="006A4942">
        <w:rPr>
          <w:rFonts w:eastAsiaTheme="minorHAnsi"/>
          <w:i/>
          <w:iCs/>
          <w14:ligatures w14:val="standardContextual"/>
        </w:rPr>
        <w:t>99</w:t>
      </w:r>
      <w:r w:rsidR="006A4942" w:rsidRPr="006A4942">
        <w:rPr>
          <w:rFonts w:eastAsiaTheme="minorHAnsi"/>
          <w14:ligatures w14:val="standardContextual"/>
        </w:rPr>
        <w:t>)</w:t>
      </w:r>
      <w:r>
        <w:fldChar w:fldCharType="end"/>
      </w:r>
      <w:r>
        <w:t xml:space="preserve">, and coincide with a decline in complex polysaccharide fermentation typical of obligate taxa </w:t>
      </w:r>
      <w:r>
        <w:fldChar w:fldCharType="begin"/>
      </w:r>
      <w:r>
        <w:instrText xml:space="preserve"> ADDIN ZOTERO_ITEM CSL_CITATION {"citationID":"6JZhxnlI","properties":{"formattedCitation":"({\\i{}37}\\uc0\\u8211{}{\\i{}39})","plainCitation":"(37–39)","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,Petra"},{"family":"Forano","given":"Evelyne","non-dropping-particle":"and"}],"issued":{"date-parts":[["2012",7,14]]}}},{"id":2223,"uris":["http://zotero.org/users/13901503/items/JD6FMNMK"],"itemData":{"id":2223,"type":"article-journal","abstract":"▪ Abstract Humans and other mammals are colonized by a vast, complex, and dynamic consortium of microorganisms. One evolutionary driving force for maintaining this metabolically active microbial society is to salvage energy from nutrients, particularly carbohydrates, that are otherwise nondigestible by the host. Much of our understanding of the molecular mechanisms by which members of the intestinal microbiota degrade complex polysaccharides comes from studies of Bacteroides thetaiotaomicron, a prominent and genetically manipulatable component of the normal human and mouse gut. Colonization of germ-free mice with B. thetaiotaomicron has shown how this anaerobe modifies many aspects of intestinal cellular differentiation/gene expression to benefit both host and microbe. These and other studies underscore the importance of understanding precisely how nutrient metabolism serves to establish and sustain symbiotic relationships between mammals and their bacterial partners.","container-title":"Annual Review of Nutrition","DOI":"10.1146/annurev.nutr.22.011602.092259","ISSN":"0199-9885, 1545-4312","issue":"Volume 22, 2002","language":"en","note":"publisher: Annual Reviews","page":"283-307","source":"www-annualreviews-org.proxy.lib.umich.edu","title":"How host-microbial interactions shape the nutrient environment of the mammalian intestine","volume":"22","author":[{"family":"Hooper","given":"Lora V."},{"family":"Midtvedt","given":"Tore"},{"family":"Gordon","given":"Jeffrey I."}],"issued":{"date-parts":[["2002",7,1]]}},"label":"page"},{"id":3537,"uris":["http://zotero.org/users/13901503/items/L2DTM48E"],"itemData":{"id":3537,"type":"article-journal","abstract":"The human gastrointestinal tract is colonised by trillions of commensal bacteria, most of which are obligate anaerobes residing in the large intestine. Appropriate bacterial colonisation is generally known to be critical for human health. In particular, the development and function of the immune system depends on microbial colonisation, and a regulated cross-talk between commensal bacteria, intestinal epithelial cells and immune cells is required to maintain mucosal immune homeostasis. This homeostasis is disturbed in various inflammatory disorders, such as inflammatory bowel diseases. Several in vitro and in vivo studies indicate a role for Faecalibacterium prausnitzii, Bacteroides thetaiotaomicron, Bacteroides fragilis, Akkermansia muciniphila and segmented filamentous bacteria in maintaining intestinal immune homeostasis. These obligate anaerobes are abundant in the healthy intestine but reduced in several inflammatory diseases, suggesting an association with protective effects on human health. However, knowledge of the mechanisms underlying the effects of obligate anaerobic intestinal bacteria remains limited, in part due to the difficulty of co-culturing obligate anaerobes together with oxygen-requiring human epithelial cells. By using novel dual-environment co-culture models, it will be possible to investigate the effects of the unstudied majority of intestinal microorganisms on the human epithelia. This knowledge will provide opportunities for improving human health and reducing the risk of inflammatory diseases.","container-title":"Nutrients","DOI":"10.3390/nu7010045","ISSN":"2072-6643","issue":"1","journalAbbreviation":"Nutrients","note":"PMID: 25545102\nPMCID: PMC4303826","page":"45-73","source":"PubMed Central","title":"Understanding How Commensal Obligate Anaerobic Bacteria Regulate Immune Functions in the Large Intestine","volume":"7","author":[{"family":"Maier","given":"Eva"},{"family":"Anderson","given":"Rachel C."},{"family":"Roy","given":"Nicole C."}],"issued":{"date-parts":[["2014",12,24]]}},"label":"page"}],"schema":"https://github.com/citation-style-language/schema/raw/master/csl-citation.json"} </w:instrText>
      </w:r>
      <w:r>
        <w:fldChar w:fldCharType="separate"/>
      </w:r>
      <w:r w:rsidRPr="00B52801">
        <w:t>(</w:t>
      </w:r>
      <w:r w:rsidRPr="00B52801">
        <w:rPr>
          <w:i/>
          <w:iCs/>
        </w:rPr>
        <w:t>37</w:t>
      </w:r>
      <w:r w:rsidRPr="00B52801">
        <w:t>–</w:t>
      </w:r>
      <w:r w:rsidRPr="00B52801">
        <w:rPr>
          <w:i/>
          <w:iCs/>
        </w:rPr>
        <w:t>39</w:t>
      </w:r>
      <w:r w:rsidRPr="00B52801">
        <w:t>)</w:t>
      </w:r>
      <w:r>
        <w:fldChar w:fldCharType="end"/>
      </w:r>
      <w:r>
        <w:t xml:space="preserve">. Therefore, this shift is likely driven by the relative persistence of facultative versus obligate anaerobes at high temperatures. Since fiber fermentation creates SCFAs, which are crucial energy sources </w:t>
      </w:r>
      <w:r>
        <w:fldChar w:fldCharType="begin"/>
      </w:r>
      <w:r w:rsidR="006A4942">
        <w:instrText xml:space="preserve"> ADDIN ZOTERO_ITEM CSL_CITATION {"citationID":"GyT07F19","properties":{"formattedCitation":"({\\i{}100})","plainCitation":"(100)","noteIndex":0},"citationItems":[{"id":3688,"uris":["http://zotero.org/users/13901503/items/45UWS9R3"],"itemData":{"id":3688,"type":"article-journal","container-title":"Cell Metabolism","DOI":"10.1016/j.cmet.2011.02.018","ISSN":"1550-4131","issue":"5","journalAbbreviation":"Cell Metabolism","language":"English","note":"publisher: Elsevier\nPMID: 21531334","page":"517-526","source":"www.cell.com","title":"The Microbiome and Butyrate Regulate Energy Metabolism and Autophagy in the Mammalian Colon","volume":"13","author":[{"family":"Donohoe","given":"Dallas R."},{"family":"Garge","given":"Nikhil"},{"family":"Zhang","given":"Xinxin"},{"family":"Sun","given":"Wei"},{"family":"O'Connell","given":"Thomas M."},{"family":"Bunger","given":"Maureen K."},{"family":"Bultman","given":"Scott J."}],"issued":{"date-parts":[["2011",5,4]]}}}],"schema":"https://github.com/citation-style-language/schema/raw/master/csl-citation.json"}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100</w:t>
      </w:r>
      <w:r w:rsidR="006A4942" w:rsidRPr="006A4942">
        <w:rPr>
          <w:rFonts w:eastAsiaTheme="minorHAnsi"/>
          <w14:ligatures w14:val="standardContextual"/>
        </w:rPr>
        <w:t>)</w:t>
      </w:r>
      <w:r>
        <w:fldChar w:fldCharType="end"/>
      </w:r>
      <w:r>
        <w:t xml:space="preserve"> and immunomodulators </w:t>
      </w:r>
      <w:r>
        <w:fldChar w:fldCharType="begin"/>
      </w:r>
      <w:r>
        <w:instrText xml:space="preserve"> ADDIN ZOTERO_ITEM CSL_CITATION {"citationID":"QFFOlCEu","properties":{"formattedCitation":"({\\i{}41}, {\\i{}42})","plainCitation":"(41, 42)","noteIndex":0},"citationItems":[{"id":3264,"uris":["http://zotero.org/users/13901503/items/8XXJ4CBR"],"itemData":{"id":3264,"type":"article-journal","abstract":"The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fldChar w:fldCharType="separate"/>
      </w:r>
      <w:r w:rsidRPr="00B52801">
        <w:t>(</w:t>
      </w:r>
      <w:r w:rsidRPr="00B52801">
        <w:rPr>
          <w:i/>
          <w:iCs/>
        </w:rPr>
        <w:t>41</w:t>
      </w:r>
      <w:r w:rsidRPr="00B52801">
        <w:t xml:space="preserve">, </w:t>
      </w:r>
      <w:r w:rsidRPr="00B52801">
        <w:rPr>
          <w:i/>
          <w:iCs/>
        </w:rPr>
        <w:t>42</w:t>
      </w:r>
      <w:r w:rsidRPr="00B52801">
        <w:t>)</w:t>
      </w:r>
      <w:r>
        <w:fldChar w:fldCharType="end"/>
      </w:r>
      <w:r>
        <w:t>, extended periods of high temperatures may eventually cause a decline in overall energy availability and affect immune function</w:t>
      </w:r>
      <w:r w:rsidRPr="00DF25ED">
        <w:t>. While these metabolic shifts suggest that capuchin gut microbes actively respond to heat in ways that may support community stability, the decline in membrane repair and inferred loss of obligate fermenters indicate that this response is unlikely to be sustainable over longer periods of high temperatures.</w:t>
      </w:r>
      <w:r>
        <w:t xml:space="preserve"> </w:t>
      </w:r>
    </w:p>
    <w:p w14:paraId="60229926" w14:textId="456CC4A5" w:rsidR="002B5CD8" w:rsidRDefault="002B5CD8" w:rsidP="000560CC">
      <w:pPr>
        <w:ind w:firstLine="720"/>
      </w:pPr>
      <w:r>
        <w:t xml:space="preserve">The taxonomic response to temperature suggests that changes in gut physiology at high temperatures affect the persistence of obligate anaerobes compared to facultative anaerobes. There are broad declines in two phyla known to include obligate anaerobes, </w:t>
      </w:r>
      <w:proofErr w:type="spellStart"/>
      <w:r>
        <w:t>Bacteroidota</w:t>
      </w:r>
      <w:proofErr w:type="spellEnd"/>
      <w:r>
        <w:t xml:space="preserve"> and Firmicutes, including </w:t>
      </w:r>
      <w:r w:rsidRPr="0096051B">
        <w:t xml:space="preserve">essential obligate taxa such as </w:t>
      </w:r>
      <w:r w:rsidRPr="0096051B">
        <w:rPr>
          <w:i/>
          <w:iCs/>
        </w:rPr>
        <w:t xml:space="preserve">Bacteroides, Parabacteroides, Clostridium, </w:t>
      </w:r>
      <w:proofErr w:type="spellStart"/>
      <w:r w:rsidRPr="0096051B">
        <w:rPr>
          <w:i/>
          <w:iCs/>
        </w:rPr>
        <w:t>Ruminococcus</w:t>
      </w:r>
      <w:proofErr w:type="spellEnd"/>
      <w:r w:rsidRPr="0096051B">
        <w:rPr>
          <w:i/>
          <w:iCs/>
        </w:rPr>
        <w:t xml:space="preserve">, Eubacterium, </w:t>
      </w:r>
      <w:proofErr w:type="spellStart"/>
      <w:r w:rsidRPr="0096051B">
        <w:rPr>
          <w:i/>
          <w:iCs/>
        </w:rPr>
        <w:t>Blautia</w:t>
      </w:r>
      <w:proofErr w:type="spellEnd"/>
      <w:r w:rsidRPr="0096051B">
        <w:rPr>
          <w:i/>
          <w:iCs/>
        </w:rPr>
        <w:t xml:space="preserve">, </w:t>
      </w:r>
      <w:proofErr w:type="spellStart"/>
      <w:r w:rsidRPr="0096051B">
        <w:rPr>
          <w:i/>
          <w:iCs/>
        </w:rPr>
        <w:t>Anaerostipes</w:t>
      </w:r>
      <w:proofErr w:type="spellEnd"/>
      <w:r w:rsidRPr="0096051B">
        <w:rPr>
          <w:i/>
          <w:iCs/>
        </w:rPr>
        <w:t xml:space="preserve">, </w:t>
      </w:r>
      <w:r w:rsidRPr="0096051B">
        <w:t>and</w:t>
      </w:r>
      <w:r w:rsidRPr="0096051B">
        <w:rPr>
          <w:i/>
          <w:iCs/>
        </w:rPr>
        <w:t xml:space="preserve"> </w:t>
      </w:r>
      <w:proofErr w:type="spellStart"/>
      <w:r w:rsidRPr="0096051B">
        <w:rPr>
          <w:i/>
          <w:iCs/>
        </w:rPr>
        <w:t>Alistipes</w:t>
      </w:r>
      <w:proofErr w:type="spellEnd"/>
      <w:r w:rsidRPr="0096051B">
        <w:rPr>
          <w:i/>
          <w:iCs/>
        </w:rPr>
        <w:t xml:space="preserve"> </w:t>
      </w:r>
      <w:r w:rsidRPr="0096051B">
        <w:t>(Fig 2).</w:t>
      </w:r>
      <w:r>
        <w:rPr>
          <w:i/>
          <w:iCs/>
        </w:rPr>
        <w:t xml:space="preserve"> </w:t>
      </w:r>
      <w:r>
        <w:t xml:space="preserve">In contrast, Proteobacteria, comprised of primarily facultative taxa </w:t>
      </w:r>
      <w:r>
        <w:fldChar w:fldCharType="begin"/>
      </w:r>
      <w:r>
        <w:instrText xml:space="preserve"> ADDIN ZOTERO_ITEM CSL_CITATION {"citationID":"5ZCM5sNZ","properties":{"formattedCitation":"({\\i{}35}, {\\i{}36})","plainCitation":"(35, 36)","noteIndex":0},"citationItems":[{"id":3399,"uris":["http://zotero.org/users/13901503/items/9SHPRSI6"],"itemData":{"id":3399,"type":"article-journal","abstract":"Background &amp; Aims\nThe gut microbiota is a complex and densely populated community in a dynamic environment determined by host physiology. We investigated how intestinal oxygen levels affect the composition of the fecal and mucosally adherent microbiota.\nMethods\nWe used the phosphorescence quenching method and a specially designed intraluminal oxygen probe to dynamically quantify gut luminal oxygen levels in mice. 16S ribosomal RNA gene sequencing was used to characterize the microbiota in intestines of mice exposed to hyperbaric oxygen, human rectal biopsy and mucosal swab samples, and paired human stool samples.\nResults\nAverage Po2 values in the lumen of the cecum were extremely low (&lt;1 mm Hg). In altering oxygenation of mouse intestines, we observed that oxygen diffused from intestinal tissue and established a radial gradient that extended from the tissue interface into the lumen. Increasing tissue oxygenation with hyperbaric oxygen altered the composition of the gut microbiota in mice. In human beings, 16S ribosomal RNA gene analyses showed an increased proportion of oxygen-tolerant organisms of the Proteobacteria and Actinobacteria phyla associated with rectal mucosa, compared with feces. A consortium of asaccharolytic bacteria of the Firmicute and Bacteroidetes phyla, which primarily metabolize peptones and amino acids, was associated primarily with mucus. This could be owing to the presence of proteinaceous substrates provided by mucus and the shedding of the intestinal epithelium.\nConclusions\nIn an analysis of intestinal microbiota of mice and human beings, we observed a radial gradient of microbes linked to the distribution of oxygen and nutrients provided by host tissue.","container-title":"Gastroenterology","DOI":"10.1053/j.gastro.2014.07.020","ISSN":"0016-5085","issue":"5","journalAbbreviation":"Gastroenterology","page":"1055-1063.e8","source":"ScienceDirect","title":"Correlation Between Intraluminal Oxygen Gradient and Radial Partitioning of Intestinal Microbiota","volume":"147","author":[{"family":"Albenberg","given":"Lindsey"},{"family":"Esipova","given":"Tatiana V."},{"family":"Judge","given":"Colleen P."},{"family":"Bittinger","given":"Kyle"},{"family":"Chen","given":"Jun"},{"family":"Laughlin","given":"Alice"},{"family":"Grunberg","given":"Stephanie"},{"family":"Baldassano","given":"Robert N."},{"family":"Lewis","given":"James D."},{"family":"Li","given":"Hongzhe"},{"family":"Thom","given":"Stephen R."},{"family":"Bushman","given":"Frederic D."},{"family":"Vinogradov","given":"Sergei A."},{"family":"Wu","given":"Gary D."}],"issued":{"date-parts":[["2014",11,1]]}}},{"id":3636,"uris":["http://zotero.org/users/13901503/items/26FYIIWM"],"itemData":{"id":3636,"type":"article-journal","abstract":"Recent advances in sequencing techniques, applied to the study of microbial communities, have provided compelling evidence that the mammalian intestinal tract harbors a complex microbial community whose composition is a critical determinant of host health in the context of metabolism and inflammation. Given that an imbalanced gut microbiota often arises from a sustained increase in abundance of the phylum Proteobacteria, the natural human gut flora normally contains only a minor proportion of this phylum. Here, we review studies that explored the association between an abnormal expansion of Proteobacteria and a compromised ability to maintain a balanced gut microbial community. We also propose that an increased prevalence of Proteobacteria is a potential diagnostic signature of dysbiosis and risk of disease.","container-title":"Trends in Biotechnology","DOI":"10.1016/j.tibtech.2015.06.011","ISSN":"0167-7799","issue":"9","journalAbbreviation":"Trends in Biotechnology","page":"496-503","source":"ScienceDirect","title":"&lt;i&gt;Proteobacteria&lt;/i&gt;: microbial signature of dysbiosis in gut microbiota","title-short":"&lt;i&gt;Proteobacteria&lt;/i&gt;","volume":"33","author":[{"family":"Shin","given":"Na-Ri"},{"family":"Whon","given":"Tae Woong"},{"family":"Bae","given":"Jin-Woo"}],"issued":{"date-parts":[["2015",9,1]]}}}],"schema":"https://github.com/citation-style-language/schema/raw/master/csl-citation.json"} </w:instrText>
      </w:r>
      <w:r>
        <w:fldChar w:fldCharType="separate"/>
      </w:r>
      <w:r w:rsidRPr="00B52801">
        <w:t>(</w:t>
      </w:r>
      <w:r w:rsidRPr="00B52801">
        <w:rPr>
          <w:i/>
          <w:iCs/>
        </w:rPr>
        <w:t>35</w:t>
      </w:r>
      <w:r w:rsidRPr="00B52801">
        <w:t xml:space="preserve">, </w:t>
      </w:r>
      <w:r w:rsidRPr="00B52801">
        <w:rPr>
          <w:i/>
          <w:iCs/>
        </w:rPr>
        <w:t>36</w:t>
      </w:r>
      <w:r w:rsidRPr="00B52801">
        <w:t>)</w:t>
      </w:r>
      <w:r>
        <w:fldChar w:fldCharType="end"/>
      </w:r>
      <w:r>
        <w:t xml:space="preserve">, are relatively stable in response to rising temperatures. These patterns mirror compositional changes in response to heat stress in a wide range of vertebrates [e.g., fish </w:t>
      </w:r>
      <w:r>
        <w:fldChar w:fldCharType="begin"/>
      </w:r>
      <w:r w:rsidR="006A4942">
        <w:instrText xml:space="preserve"> ADDIN ZOTERO_ITEM CSL_CITATION {"citationID":"25zGiPQC","properties":{"formattedCitation":"({\\i{}101}, {\\i{}102})","plainCitation":"(101, 102)","noteIndex":0},"citationItems":[{"id":2229,"uris":["http://zotero.org/users/13901503/items/J3568CMW"],"itemData":{"id":2229,"type":"article-journal","abstract":"We investigated the changes in the faecal microbial population of the hindgut of farmed Atlantic salmon fed two commercial diets (A and B) over a 10-month period. At each sampling round, hindgut contents of 40 fish (20 per diet) were pooled according to diet and cultivated on selective agar. The functional status of all microbiota was assessed against 48 substrates using the PhPlate generalized microplate, which also yielded a metabolic capacity (MC) value for each microbiota. Virulence gene profiles of each microbiota were also investigated. The number of different bacterial groups between two diets varied slightly and increased as water temperature peaked at 18.5°C during summer. This however, was associated with an increase in Vibrio numbers and a decrease in lactic acid bacterial numbers. A shift in the functional status of gut microbiota was observed as temperature increased, which was coupled with a decrease in the MC-value of the microbiota in both diets. Of the 35 virulence genes tested from total DNA extract of the microbiota, only cdt and east1 were detected. Results indicate that temperature is the main driver of changes to the gut microbiota in farmed Tasmanian Atlantic salmon receiving these two diets.","container-title":"Aquaculture Research","DOI":"10.1111/are.12522","ISSN":"1365-2109","issue":"2","language":"en","license":"© 2014 John Wiley &amp; Sons Ltd","note":"_eprint: https://onlinelibrary.wiley.com/doi/pdf/10.1111/are.12522","page":"660-672","source":"Wiley Online Library","title":"The effect of diet and environmental temperature on the faecal microbiota of farmed Tasmanian Atlantic Salmon (almo salar L.)","volume":"47","author":[{"family":"Neuman","given":"Christina"},{"family":"Hatje","given":"Eva"},{"family":"Zarkasi","given":"Kamarul Z"},{"family":"Smullen","given":"Richard"},{"family":"Bowman","given":"John P"},{"family":"Katouli","given":"Mohammad"}],"issued":{"date-parts":[["2016"]]}}},{"id":2232,"uris":["http://zotero.org/users/13901503/items/TL348YX4"],"itemData":{"id":2232,"type":"article-journal","abstract":"Gut microbiota plays a determining role in the health status of the host. In general, a beneficial bacterial community, associated with a greater metabolic capacity and wellbeing, shows high values of species richness and relative abundance. Because environmental temperature is a regulating factor in fish physiological and metabolic processes, it is very important to understand the effect of environmental temperature on diversity and richness of gut microbiota in poikilothermic organisms. This study analysed the reciprocal diet-temperature correlations in the faecal microbiota diversity in Seriola lalandi. Juveniles were acclimated at 20 °C and 26 °C for 30 days; in addition, the fish were fed three diets with three levels of lipid inclusion (7%, 14% and 21%). Faecal microbiota in S. lalandi was characterized using the high-throughput sequencing approach based on the V3 region of the 16S rRNA gene. The most abundant phyla identified in this study were Proteobacteria, Actinobacteria, Bacteroidetes and Firmicutes. A significant change was observed in faecal microbiota in relation to acclimation temperature. The results indicated that species richness was modified in relation to the environmental temperatures; the Operational Taxonomic Units (OTUs) identified in fish acclimated at 26 °C belonged to the families Pseudomonadacea, Alcaligenaceae and Microbacteriaceae whereas those identified at 20 °C were Micavibrio, Comamonadaceae and Saprospiraceae. Furthermore, significant differences were observed between the OTUs identified in the dietary treatments, in which Actinobacteria (7% lipid), Gammaproteobacteria (14% lipid), Betaproteobacteria (21% lipid), and Flavobacteria (skretting diet) were the phyla preferentially identified from each treatment. The results obtained in this study demonstrated the importance of environmental temperature to maintain a balance in intestinal microbiota, as well as the effects of diet composition on proliferation of different microbial groups with respect to thermal induction.","container-title":"Aquaculture","DOI":"10.1016/j.aquaculture.2018.07.065","ISSN":"0044-8486","journalAbbreviation":"Aquaculture","page":"269-277","source":"ScienceDirect","title":"Effect of temperature and dietary lipid proportion on gut microbiota in yellowtail kingfish &lt;i&gt;Seriola lalandi&lt;/i&gt; juveniles","volume":"497","author":[{"family":"Soriano","given":"Ernesto Larios"},{"family":"Ramírez","given":"Dariel Tovar"},{"family":"Araujo","given":"Denise Re"},{"family":"Gómez-Gil","given":"Bruno"},{"family":"Castro","given":"Leonardo Ibarra"},{"family":"Sánchez","given":"Clara Galindo"}],"issued":{"date-parts":[["2018",12,1]]}}}],"schema":"https://github.com/citation-style-language/schema/raw/master/csl-citation.json"}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101</w:t>
      </w:r>
      <w:r w:rsidR="006A4942" w:rsidRPr="006A4942">
        <w:rPr>
          <w:rFonts w:eastAsiaTheme="minorHAnsi"/>
          <w14:ligatures w14:val="standardContextual"/>
        </w:rPr>
        <w:t xml:space="preserve">, </w:t>
      </w:r>
      <w:r w:rsidR="006A4942" w:rsidRPr="006A4942">
        <w:rPr>
          <w:rFonts w:eastAsiaTheme="minorHAnsi"/>
          <w:i/>
          <w:iCs/>
          <w14:ligatures w14:val="standardContextual"/>
        </w:rPr>
        <w:t>102</w:t>
      </w:r>
      <w:r w:rsidR="006A4942" w:rsidRPr="006A4942">
        <w:rPr>
          <w:rFonts w:eastAsiaTheme="minorHAnsi"/>
          <w14:ligatures w14:val="standardContextual"/>
        </w:rPr>
        <w:t>)</w:t>
      </w:r>
      <w:r>
        <w:fldChar w:fldCharType="end"/>
      </w:r>
      <w:r>
        <w:t xml:space="preserve">, reptiles </w:t>
      </w:r>
      <w:r>
        <w:fldChar w:fldCharType="begin"/>
      </w:r>
      <w:r>
        <w:instrText xml:space="preserve"> ADDIN ZOTERO_ITEM CSL_CITATION {"citationID":"XZMcVBqo","properties":{"formattedCitation":"({\\i{}32}, {\\i{}48})","plainCitation":"(32, 48)","noteIndex":0},"citationItems":[{"id":1961,"uris":["http://zotero.org/users/13901503/items/UL2CLBKR"],"itemData":{"id":1961,"type":"article-journal","abstract":"Climate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 °C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sidRPr="00B52801">
        <w:t>(</w:t>
      </w:r>
      <w:r w:rsidRPr="00B52801">
        <w:rPr>
          <w:i/>
          <w:iCs/>
        </w:rPr>
        <w:t>32</w:t>
      </w:r>
      <w:r w:rsidRPr="00B52801">
        <w:t xml:space="preserve">, </w:t>
      </w:r>
      <w:r w:rsidRPr="00B52801">
        <w:rPr>
          <w:i/>
          <w:iCs/>
        </w:rPr>
        <w:t>48</w:t>
      </w:r>
      <w:r w:rsidRPr="00B52801">
        <w:t>)</w:t>
      </w:r>
      <w:r>
        <w:fldChar w:fldCharType="end"/>
      </w:r>
      <w:r>
        <w:t xml:space="preserve">, amphibians, birds </w:t>
      </w:r>
      <w:r>
        <w:fldChar w:fldCharType="begin"/>
      </w:r>
      <w:r>
        <w:instrText xml:space="preserve"> ADDIN ZOTERO_ITEM CSL_CITATION {"citationID":"o7W8eHcU","properties":{"formattedCitation":"({\\i{}20})","plainCitation":"(20)","noteIndex":0},"citationItems":[{"id":1972,"uris":["http://zotero.org/users/13901503/items/Z3WTZJPU"],"itemData":{"id":1972,"type":"article-journal","abstract":"Chicken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Pr="00B52801">
        <w:t>(</w:t>
      </w:r>
      <w:r w:rsidRPr="00B52801">
        <w:rPr>
          <w:i/>
          <w:iCs/>
        </w:rPr>
        <w:t>20</w:t>
      </w:r>
      <w:r w:rsidRPr="00B52801">
        <w:t>)</w:t>
      </w:r>
      <w:r>
        <w:fldChar w:fldCharType="end"/>
      </w:r>
      <w:r>
        <w:t xml:space="preserve">, and mammals </w:t>
      </w:r>
      <w:r>
        <w:fldChar w:fldCharType="begin"/>
      </w:r>
      <w:r w:rsidR="006A4942">
        <w:instrText xml:space="preserve"> ADDIN ZOTERO_ITEM CSL_CITATION {"citationID":"QftC6azE","properties":{"formattedCitation":"({\\i{}103})","plainCitation":"(103)","noteIndex":0},"citationItems":[{"id":1959,"uris":["http://zotero.org/users/13901503/items/ZXQ5TW3X"],"itemData":{"id":1959,"type":"article-journal","abstract":"Summary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103</w:t>
      </w:r>
      <w:r w:rsidR="006A4942" w:rsidRPr="006A4942">
        <w:rPr>
          <w:rFonts w:eastAsiaTheme="minorHAnsi"/>
          <w14:ligatures w14:val="standardContextual"/>
        </w:rPr>
        <w:t>)</w:t>
      </w:r>
      <w:r>
        <w:fldChar w:fldCharType="end"/>
      </w:r>
      <w:r>
        <w:t xml:space="preserve">]. The decrease in obligate anaerobes is likely due to redox imbalance induced by high temperatures, where the production of reactive oxygen species (ROS) exceeds the antioxidant capacity of the gut environment. Obligate anaerobes possess limited enzymatic defenses against ROS, and are therefore less able to tolerate changes in the oxygen environment compared to facultative taxa </w:t>
      </w:r>
      <w:r>
        <w:fldChar w:fldCharType="begin"/>
      </w:r>
      <w:r>
        <w:instrText xml:space="preserve"> ADDIN ZOTERO_ITEM CSL_CITATION {"citationID":"aCXnpG9t","properties":{"formattedCitation":"({\\i{}33}, {\\i{}34})","plainCitation":"(33, 34)","noteIndex":0},"citationItems":[{"id":3598,"uris":["http://zotero.org/users/13901503/items/AT42KT3B"],"itemData":{"id":3598,"type":"article-journal","abstract":"It has been unclear whether superoxide and/or hydrogen peroxide play important roles in the phenomenon of obligate anaerobiosis. This question was explored using Bacteroides thetaiotaomicron, a major fermentative bacterium in the human gastrointestinal tract. Aeration inactivated two enzyme families—[4Fe-4S] dehydratases and nonredox mononuclear iron enzymes—whose homologs, in contrast, remain active in aerobic Escherichia coli. Inactivation-rate measurements of one such enzyme, B. thetaiotaomicron fumarase, showed that it is no more intrinsically sensitive to oxidants than is an E. coli fumarase. Indeed, when the E. coli enzymes were expressed in B. thetaiotaomicron, they no longer could tolerate aeration; conversely, the B. thetaiotaomicron enzymes maintained full activity when expressed in aerobic E. coli. Thus, the aerobic inactivation of the B. thetaiotaomicron enzymes is a feature of their intracellular environment rather than of the enzymes themselves. B. thetaiotaomicron possesses superoxide dismutase and peroxidases, and it can repair damaged enzymes. However, measurements confirmed that the rate of reactive oxygen species production inside aerated B. thetaiotaomicron is far higher than in E. coli. Analysis of the damaged enzymes recovered from aerated B. thetaiotaomicron suggested that they had been inactivated by superoxide rather than by hydrogen peroxide. Accordingly, overproduction of superoxide dismutase substantially protected the enzymes from aeration. We conclude that when this anaerobe encounters oxygen, its internal superoxide levels rise high enough to inactivate key catabolic and biosynthetic enzymes. Superoxide thus comprises a major element of the oxygen sensitivity of this anaerobe. The extent to which molecular oxygen exerts additional direct effects remains to be determined.","container-title":"Proceedings of the National Academy of Sciences","DOI":"10.1073/pnas.1800120115","issue":"14","note":"publisher: Proceedings of the National Academy of Sciences","page":"E3266-E3275","source":"www-pnas-org.proxy.lib.umich.edu (Atypon)","title":"Endogenous superoxide is a key effector of the oxygen sensitivity of a model obligate anaerobe","volume":"115","author":[{"family":"Lu","given":"Zheng"},{"family":"Sethu","given":"Ramakrishnan"},{"family":"Imlay","given":"James A."}],"issued":{"date-parts":[["2018",4,3]]}}},{"id":3602,"uris":["http://zotero.org/users/13901503/items/XVIRKXQ2"],"itemData":{"id":3602,"type":"article-journal","abstract":"The distribution of catalase and superoxide dismutase has been examined in various micro-organisms. Strict anaerobes exhibited no superoxide dismutase and, generally, no catalase activity. All aerobic organisms containing cytochrome systems were found to contain both superoxide dismutase and catalase. Aerotolerant anaerobes, which survive exposure to air and metabolize oxygen to a limited extent but do not contain cytochrome systems, were found to be devoid of catalase activity but did exhibit superoxide dismutase activity. This distribution is consistent with the proposal that the prime physiological function of superoxide dismutase is protection of oxygen-metabolizing organisms against the potentially detrimental effects of the superoxide free radical, a biologically produced intermediate resulting from the univalent reduction of molecular oxygen.","container-title":"Proceedings of the National Academy of Sciences","DOI":"10.1073/pnas.68.5.1024","issue":"5","note":"publisher: Proceedings of the National Academy of Sciences","page":"1024-1027","source":"www-pnas-org.proxy.lib.umich.edu (Atypon)","title":"An Enzyme-Based Theory of Obligate Anaerobiosis: The Physiological Function of Superoxide Dismutase","title-short":"An Enzyme-Based Theory of Obligate Anaerobiosis","volume":"68","author":[{"family":"McCord","given":"Joe M."},{"family":"Keele","given":"Bernard B."},{"family":"Fridovich","given":"Irwin"}],"issued":{"date-parts":[["1971",5]]}}}],"schema":"https://github.com/citation-style-language/schema/raw/master/csl-citation.json"} </w:instrText>
      </w:r>
      <w:r>
        <w:fldChar w:fldCharType="separate"/>
      </w:r>
      <w:r w:rsidRPr="00B52801">
        <w:t>(</w:t>
      </w:r>
      <w:r w:rsidRPr="00B52801">
        <w:rPr>
          <w:i/>
          <w:iCs/>
        </w:rPr>
        <w:t>33</w:t>
      </w:r>
      <w:r w:rsidRPr="00B52801">
        <w:t xml:space="preserve">, </w:t>
      </w:r>
      <w:r w:rsidRPr="00B52801">
        <w:rPr>
          <w:i/>
          <w:iCs/>
        </w:rPr>
        <w:t>34</w:t>
      </w:r>
      <w:r w:rsidRPr="00B52801">
        <w:t>)</w:t>
      </w:r>
      <w:r>
        <w:fldChar w:fldCharType="end"/>
      </w:r>
      <w:r>
        <w:t xml:space="preserve">. Although direct markers of redox balance are needed to assess the gut’s redox environment, the observed decline in redox-maintenance pathways (Fig 3C) suggests that rising temperatures impair microbial antioxidant capacity, which can disrupt the redox environment </w:t>
      </w:r>
      <w:r>
        <w:fldChar w:fldCharType="begin"/>
      </w:r>
      <w:r>
        <w:instrText xml:space="preserve"> ADDIN ZOTERO_ITEM CSL_CITATION {"citationID":"zM9vvOjp","properties":{"formattedCitation":"({\\i{}25}\\uc0\\u8211{}{\\i{}27})","plainCitation":"(25–27)","noteIndex":0},"citationItems":[{"id":3255,"uris":["http://zotero.org/users/13901503/items/FQ9APYWZ"],"itemData":{"id":3255,"type":"article-journal","abstract":"The human gastrointestinal tract is home to a complex microbial community that plays an important role in the general well-being of the entire organism. The gut microbiota generates a variety of metabolites and thereby regulates many biological processes, such as the regulation of the immune system. In the gut, bacteria are in direct contact with the host. The major challenge here is to prevent unwanted inflammatory reactions on one hand and on the other hand to ensure that the immune system can be activated when pathogens invade. Here the REDOX equilibrium is of utmost importance. This REDOX equilibrium is controlled by the microbiota either directly or indirectly via bacterial-derived metabolites. A balanced microbiome sorts for a stable REDOX balance, whereas dysbiosis destabilizes this equilibrium. An imbalanced REDOX status directly affects the immune system by disrupting intracellular signaling and promoting inflammatory responses. Here we (i) focus on the most common reactive oxygen species (ROS) and (ii) define the transition from a balanced REDOX state to oxidative stress. Further, we (iii) describe the role of ROS in regulating the immune system and inflammatory responses. Thereafter, we (iv) examine the influence of microbiota on REDOX homeostasis and how shifts in pro- and anti-oxidative cellular conditions can suppress or promote immune responses or inflammation.","container-title":"Biomedicines","DOI":"10.3390/biomedicines11051388","ISSN":"2227-9059","issue":"5","journalAbbreviation":"Biomedicines","note":"PMID: 37239059\nPMCID: PMC10216031","page":"1388","source":"PubMed Central","title":"The Influence of Gut Microbiota on Oxidative Stress and the Immune System","volume":"11","author":[{"family":"Kunst","given":"Claudia"},{"family":"Schmid","given":"Stephan"},{"family":"Michalski","given":"Marlen"},{"family":"Tümen","given":"Deniz"},{"family":"Buttenschön","given":"Jonas"},{"family":"Müller","given":"Martina"},{"family":"Gülow","given":"Karsten"}],"issued":{"date-parts":[["2023",5,8]]}}},{"id":3297,"uris":["http://zotero.org/users/13901503/items/LKCDGAMP"],"itemData":{"id":3297,"type":"article-journal","abstract":"Recent studies have indicated that gut microbiota-mediated oxidative stress is significantly associated with intestinal diseases such as colorectal cancer, ulcerative colitis, and Crohn’s disease. The level of reactive oxygen species (ROS) has been reported to increase when the gut microbiota is dysregulated, especially when several gut bacterial metabolites are present. Although healthy gut microbiota plays a vital role in defending against excessive oxidative stress, intestinal disease is significantly influenced by excessive ROS, and this process is controlled by gut microbiota-mediated immunological responses, DNA damage, and intestinal inflammation. In this review, we discuss the relationship between gut microbiota and intestinal disease from an oxidative stress perspective. In addition, we also provide a summary of the most recent therapeutic approaches for preventing or treating intestinal diseases by modifying gut microbiota.","container-title":"Frontiers in Microbiology","DOI":"10.3389/fmicb.2024.1328324","ISSN":"1664-302X","journalAbbreviation":"Front. Microbiol.","language":"English","note":"publisher: Frontiers","source":"Frontiers","title":"The role of gut microbiota in intestinal disease: from an oxidative stress perspective","title-short":"The role of gut microbiota in intestinal disease","URL":"https://www.frontiersin.org/journals/microbiology/articles/10.3389/fmicb.2024.1328324/full","volume":"15","author":[{"family":"Sun","given":"Yiqi"},{"family":"Wang","given":"Xurui"},{"family":"Li","given":"Lei"},{"family":"Zhong","given":"Chao"},{"family":"Zhang","given":"Yu"},{"family":"Yang","given":"Xiangdong"},{"family":"Li","given":"Mingyue"},{"family":"Yang","given":"Chao"}],"accessed":{"date-parts":[["2025",5,12]]},"issued":{"date-parts":[["2024",2,14]]}}},{"id":3328,"uris":["http://zotero.org/users/13901503/items/R2W8Z2FT"],"itemData":{"id":3328,"type":"article-journal","abstract":"Changes in the gut microbiota and the mitochondrial genome are both linked with the development of disease. To investigate why, we examined the gut microbiota of mice harboring various mutations in genes that alter mitochondrial function. These studies revealed that mitochondrial genetic variations altered the composition of the gut microbiota community. In cross-fostering studies, we found that although the initial microbiota community of newborn mice was that obtained from the nursing mother, the microbiota community progressed toward that characteristic of the microbiome of unfostered pups of the same genotype within 2 months. Analysis of the mitochondrial DNA variants associated with altered gut microbiota suggested that microbiome species diversity correlated with host reactive oxygen species (ROS) production. To determine whether the abundance of ROS could alter the gut microbiota, mice were aged, treated with N-acetylcysteine, or engineered to express the ROS scavenger catalase specifically within the mitochondria. All three conditions altered the microbiota from that initially established. Thus, these data suggest that the mitochondrial genotype modulates both ROS production and the species diversity of the gut microbiome, implying that the connection between the gut microbiome and common disease phenotypes might be due to underlying changes in mitochondrial function.","container-title":"Science Signaling","DOI":"10.1126/scisignal.aaw3159","issue":"588","note":"publisher: American Association for the Advancement of Science","page":"eaaw3159","source":"www-science-org.proxy.lib.umich.edu (Atypon)","title":"Host mitochondria influence gut microbiome diversity: A role for ROS","title-short":"Host mitochondria influence gut microbiome diversity","volume":"12","author":[{"family":"Yardeni","given":"Tal"},{"family":"Tanes","given":"Ceylan E."},{"family":"Bittinger","given":"Kyle"},{"family":"Mattei","given":"Lisa M."},{"family":"Schaefer","given":"Patrick M."},{"family":"Singh","given":"Larry N."},{"family":"Wu","given":"Gary D."},{"family":"Murdock","given":"Deborah G."},{"family":"Wallace","given":"Douglas C."}],"issued":{"date-parts":[["2019",7,2]]}}}],"schema":"https://github.com/citation-style-language/schema/raw/master/csl-citation.json"} </w:instrText>
      </w:r>
      <w:r>
        <w:fldChar w:fldCharType="separate"/>
      </w:r>
      <w:r w:rsidRPr="00B52801">
        <w:t>(</w:t>
      </w:r>
      <w:r w:rsidRPr="00B52801">
        <w:rPr>
          <w:i/>
          <w:iCs/>
        </w:rPr>
        <w:t>25</w:t>
      </w:r>
      <w:r w:rsidRPr="00B52801">
        <w:t>–</w:t>
      </w:r>
      <w:r w:rsidRPr="00B52801">
        <w:rPr>
          <w:i/>
          <w:iCs/>
        </w:rPr>
        <w:t>27</w:t>
      </w:r>
      <w:r w:rsidRPr="00B52801">
        <w:t>)</w:t>
      </w:r>
      <w:r>
        <w:fldChar w:fldCharType="end"/>
      </w:r>
      <w:r>
        <w:t xml:space="preserve">. We also observe an increase in DNA repair pathways (Fig 3D) that suggests cellular damage from the accumulation of ROS </w:t>
      </w:r>
      <w:r>
        <w:fldChar w:fldCharType="begin"/>
      </w:r>
      <w:r w:rsidR="006A4942">
        <w:instrText xml:space="preserve"> ADDIN ZOTERO_ITEM CSL_CITATION {"citationID":"6OoDTMXc","properties":{"formattedCitation":"({\\i{}72})","plainCitation":"(72)","noteIndex":0},"citationItems":[{"id":3368,"uris":["http://zotero.org/users/13901503/items/R3YTNYU9"],"itemData":{"id":3368,"type":"article-journal","abstract":"Excess oxygen can disrupt the growth of most organisms, but the underlying mechanisms of damage have proved difficult to unravel. The model bacterium Escherichia coli represents the best understood organism in terms of the effects of and response to oxidative stress.Superoxide (O2−) and hydrogen peroxide (H2O2) are formed within cells when molecular oxygen (O2) adventitiously acquires electrons from the reduced cofactors of flavoproteins.Both O2− and H2O2 can oxidize the exposed Fe–S clusters of a family of dehydratases. This event destabilizes the clusters, and their consequent disintegration eliminates enzyme activity.O2− and H2O2 also inactivate a variety of non-redox enzymes that use single Fe2+ ions as catalytic cofactors.DNA is damaged when H2O2 reacts with the intracellular pool of unincorporated iron. The iron that is released from oxidized metalloproteins enlarges this pool and accelerates this process.The transcription factor OxyR detects modest increments in intracellular H2O2. It activates several responses that help preserve the activities of Fe–S and mononuclear metalloenzymes.The SoxRS system detects redox-active compounds that are released by plants and some bacteria. These compounds can generate toxic doses of O2−, and the SoxRS system acts primarily to minimize the amounts of these compounds inside the cell.Future studies should aim to determine whether the knowledge gained from studying oxidative stress in the facultative anaerobe E. coli is applicable to other organisms, such as strictly aerobic and microaerophilic bacteria.","container-title":"Nature Reviews Microbiology","DOI":"10.1038/nrmicro3032","ISSN":"1740-1534","issue":"7","journalAbbreviation":"Nat Rev Microbiol","language":"en","license":"2013 Springer Nature Limited","note":"publisher: Nature Publishing Group","page":"443-454","source":"www.nature.com","title":"The molecular mechanisms and physiological consequences of oxidative stress: lessons from a model bacterium","title-short":"The molecular mechanisms and physiological consequences of oxidative stress","volume":"11","author":[{"family":"Imlay","given":"James A."}],"issued":{"date-parts":[["2013",7]]}}}],"schema":"https://github.com/citation-style-language/schema/raw/master/csl-citation.json"} </w:instrText>
      </w:r>
      <w: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72</w:t>
      </w:r>
      <w:r w:rsidR="006A4942" w:rsidRPr="006A4942">
        <w:rPr>
          <w:rFonts w:eastAsiaTheme="minorHAnsi"/>
          <w14:ligatures w14:val="standardContextual"/>
        </w:rPr>
        <w:t>)</w:t>
      </w:r>
      <w:r>
        <w:fldChar w:fldCharType="end"/>
      </w:r>
      <w:r>
        <w:t>.</w:t>
      </w:r>
      <w:r w:rsidR="000560CC">
        <w:t xml:space="preserve"> </w:t>
      </w:r>
      <w:r w:rsidR="000560CC" w:rsidRPr="002B5CD8">
        <w:t xml:space="preserve">Together, these results provide compelling evidence that capuchins experience periods of redox imbalance at high temperatures that </w:t>
      </w:r>
      <w:r w:rsidR="006A0CCA">
        <w:t>may affect the</w:t>
      </w:r>
      <w:r w:rsidR="000560CC" w:rsidRPr="002B5CD8">
        <w:t xml:space="preserve"> relative abundance of facultative versus obligate anaerobes.</w:t>
      </w:r>
    </w:p>
    <w:p w14:paraId="56F9ABBE" w14:textId="64904218" w:rsidR="00E37B25" w:rsidRDefault="000560CC" w:rsidP="0032533A">
      <w:pPr>
        <w:ind w:firstLine="720"/>
      </w:pPr>
      <w:r>
        <w:t>Further, a</w:t>
      </w:r>
      <w:r w:rsidR="002B5CD8">
        <w:t xml:space="preserve"> decline in obligate anaerobes during heat stress may disrupt the gut microbiome’s ability to regulate host immunity by impairing key immunomodulatory functions. Obligate anaerobes are essential SCFA producers that help regulate intestinal immunity and maintain host tolerance towards gut microbiomes, including the promotion of anti-inflammatory regulatory T-cell activity</w:t>
      </w:r>
      <w:r w:rsidR="002B5CD8" w:rsidRPr="00E42C53">
        <w:t xml:space="preserve"> </w:t>
      </w:r>
      <w:r w:rsidR="002B5CD8">
        <w:fldChar w:fldCharType="begin"/>
      </w:r>
      <w:r w:rsidR="006A4942">
        <w:instrText xml:space="preserve"> ADDIN ZOTERO_ITEM CSL_CITATION {"citationID":"rUdKSzFd","properties":{"formattedCitation":"({\\i{}41}, {\\i{}76})","plainCitation":"(41, 76)","noteIndex":0},"citationItems":[{"id":3266,"uris":["http://zotero.org/users/13901503/items/ZX3K6GKV"],"itemData":{"id":3266,"type":"article-journal","abstract":"In mice, provision of butyrate—a short-chain fatty acid produced by commensal microorganisms during starch fermentation—facilitates extrathymic generation and differentiation of Foxp3+ regulatory T cells, demonstrating that metabolic by-products are sensed by cells of the immune system and affect the balance between pro- and anti-inflammatory cells.","container-title":"Nature","DOI":"10.1038/nature12726","ISSN":"1476-4687","issue":"7480","language":"en","license":"2013 Springer Nature Limited","note":"publisher: Nature Publishing Group","page":"451-455","source":"www.nature.com","title":"Metabolites produced by commensal bacteria promote peripheral regulatory T-cell generation","volume":"504","author":[{"family":"Arpaia","given":"Nicholas"},{"family":"Campbell","given":"Clarissa"},{"family":"Fan","given":"Xiying"},{"family":"Dikiy","given":"Stanislav"},{"family":"Veeken","given":"Joris","non-dropping-particle":"van der"},{"family":"deRoos","given":"Paul"},{"family":"Liu","given":"Hui"},{"family":"Cross","given":"Justin R."},{"family":"Pfeffer","given":"Klaus"},{"family":"Coffer","given":"Paul J."},{"family":"Rudensky","given":"Alexander Y."}],"issued":{"date-parts":[["2013",12]]}}},{"id":3264,"uris":["http://zotero.org/users/13901503/items/8XXJ4CBR"],"itemData":{"id":3264,"type":"article-journal","abstract":"The gut microbial metabolite butyrate is shown to induce the differentiation of colonic T regulatory cells in mice and to ameliorate the development of colitis; it also increases histone H3 acetylation at the Foxp3 promoter.","container-title":"Nature","DOI":"10.1038/nature12721","ISSN":"1476-4687","issue":"7480","language":"en","license":"2013 Springer Nature Limited","note":"publisher: Nature Publishing Group","page":"446-450","source":"www.nature.com","title":"Commensal microbe-derived butyrate induces the differentiation of colonic regulatory T cells","volume":"504","author":[{"family":"Furusawa","given":"Yukihiro"},{"family":"Obata","given":"Yuuki"},{"family":"Fukuda","given":"Shinji"},{"family":"Endo","given":"Takaho A."},{"family":"Nakato","given":"Gaku"},{"family":"Takahashi","given":"Daisuke"},{"family":"Nakanishi","given":"Yumiko"},{"family":"Uetake","given":"Chikako"},{"family":"Kato","given":"Keiko"},{"family":"Kato","given":"Tamotsu"},{"family":"Takahashi","given":"Masumi"},{"family":"Fukuda","given":"Noriko N."},{"family":"Murakami","given":"Shinnosuke"},{"family":"Miyauchi","given":"Eiji"},{"family":"Hino","given":"Shingo"},{"family":"Atarashi","given":"Koji"},{"family":"Onawa","given":"Satoshi"},{"family":"Fujimura","given":"Yumiko"},{"family":"Lockett","given":"Trevor"},{"family":"Clarke","given":"Julie M."},{"family":"Topping","given":"David L."},{"family":"Tomita","given":"Masaru"},{"family":"Hori","given":"Shohei"},{"family":"Ohara","given":"Osamu"},{"family":"Morita","given":"Tatsuya"},{"family":"Koseki","given":"Haruhiko"},{"family":"Kikuchi","given":"Jun"},{"family":"Honda","given":"Kenya"},{"family":"Hase","given":"Koji"},{"family":"Ohno","given":"Hiroshi"}],"issued":{"date-parts":[["2013",12]]}}}],"schema":"https://github.com/citation-style-language/schema/raw/master/csl-citation.json"} </w:instrText>
      </w:r>
      <w:r w:rsidR="002B5CD8">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41</w:t>
      </w:r>
      <w:r w:rsidR="006A4942" w:rsidRPr="006A4942">
        <w:rPr>
          <w:rFonts w:eastAsiaTheme="minorHAnsi"/>
          <w14:ligatures w14:val="standardContextual"/>
        </w:rPr>
        <w:t xml:space="preserve">, </w:t>
      </w:r>
      <w:r w:rsidR="006A4942" w:rsidRPr="006A4942">
        <w:rPr>
          <w:rFonts w:eastAsiaTheme="minorHAnsi"/>
          <w:i/>
          <w:iCs/>
          <w14:ligatures w14:val="standardContextual"/>
        </w:rPr>
        <w:t>76</w:t>
      </w:r>
      <w:r w:rsidR="006A4942" w:rsidRPr="006A4942">
        <w:rPr>
          <w:rFonts w:eastAsiaTheme="minorHAnsi"/>
          <w14:ligatures w14:val="standardContextual"/>
        </w:rPr>
        <w:t>)</w:t>
      </w:r>
      <w:r w:rsidR="002B5CD8">
        <w:fldChar w:fldCharType="end"/>
      </w:r>
      <w:r w:rsidR="002B5CD8">
        <w:t xml:space="preserve"> and the suppression of proinflammatory cytokine signaling </w:t>
      </w:r>
      <w:r w:rsidR="002B5CD8">
        <w:fldChar w:fldCharType="begin"/>
      </w:r>
      <w:r w:rsidR="006A4942">
        <w:instrText xml:space="preserve"> ADDIN ZOTERO_ITEM CSL_CITATION {"citationID":"5WMcbnWb","properties":{"formattedCitation":"({\\i{}42}, {\\i{}77})","plainCitation":"(42, 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id":2208,"uris":["http://zotero.org/users/13901503/items/CGJLGGCV"],"itemData":{"id":2208,"type":"article-journal","abstract":"The short chain fatty acid butyrate promotes proliferation and survival of normal epithelial cells, but induces G1 or G2-M arrest in transformed cells, which is coupled to differentiation and apoptosis. Local administration of butyrate has been shown to ameliorate inflammation in ulcerative colitis; however, the precise mechanism of its anti-inflammatory activity is not known. IFN-γ is one of the principle cytokines secreted by lamina propria cells in inflamed mucosa and elevated levels of the transcription factor required for IFN-γ signaling, STAT1 (signal transducer and activator of transcription 1), are present in the colonic mucosa of patients with ulcerative colitis and Crohn's disease. Here we report that butyrate is a strong inhibitor of signaling by IFN-γ. We demonstrated that this short chain fatty acid inhibits IFN-γ-induced tyrosine and serine phosphorylation of STAT1. IFN-γ-induced JAK2 activation was inhibited by butyrate, implicating JAK2 as a target of butyrate action. Accordingly, STAT1 nuclear translocation and its DNA binding were completely inhibited in butyrate-treated cells. Transient transfection experiments using a reporter gene construct containing eight GAS sites (γ-activated sites) revealed that butyrate inhibits IFN-γ induced, STAT1-dependent, transcriptional activation. Proinflammatory cytokines, including IFN-γ, play an important role in the pathogenesis of inflammatory bowel disease, and abnormal activity of STAT1 is associated with human malignancies and intestinal inflammatory diseases. Thus, our data suggest that butyrate negatively regulates mucosal inflammation through the inhibition of IFN-γ/STAT1 signaling.","container-title":"Molecular Cancer Research","ISSN":"1541-7786","issue":"11","journalAbbreviation":"Molecular Cancer Research","page":"855-862","source":"Silverchair","title":"Inhibition of Interferon γ Signaling by the Short Chain Fatty Acid Butyrate1","volume":"1","author":[{"family":"Klampfer","given":"Lidija"},{"family":"Huang","given":"Jie"},{"family":"Sasazuki","given":"Takehiko"},{"family":"Shirasawa","given":"Senji"},{"family":"Augenlicht","given":"Leonard"}],"issued":{"date-parts":[["2003",9,1]]}}}],"schema":"https://github.com/citation-style-language/schema/raw/master/csl-citation.json"} </w:instrText>
      </w:r>
      <w:r w:rsidR="002B5CD8">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42</w:t>
      </w:r>
      <w:r w:rsidR="006A4942" w:rsidRPr="006A4942">
        <w:rPr>
          <w:rFonts w:eastAsiaTheme="minorHAnsi"/>
          <w14:ligatures w14:val="standardContextual"/>
        </w:rPr>
        <w:t xml:space="preserve">, </w:t>
      </w:r>
      <w:r w:rsidR="006A4942" w:rsidRPr="006A4942">
        <w:rPr>
          <w:rFonts w:eastAsiaTheme="minorHAnsi"/>
          <w:i/>
          <w:iCs/>
          <w14:ligatures w14:val="standardContextual"/>
        </w:rPr>
        <w:t>77</w:t>
      </w:r>
      <w:r w:rsidR="006A4942" w:rsidRPr="006A4942">
        <w:rPr>
          <w:rFonts w:eastAsiaTheme="minorHAnsi"/>
          <w14:ligatures w14:val="standardContextual"/>
        </w:rPr>
        <w:t>)</w:t>
      </w:r>
      <w:r w:rsidR="002B5CD8">
        <w:fldChar w:fldCharType="end"/>
      </w:r>
      <w:r w:rsidR="002B5CD8">
        <w:t>.</w:t>
      </w:r>
      <w:r w:rsidR="002B5CD8" w:rsidRPr="00A835F8">
        <w:t xml:space="preserve"> </w:t>
      </w:r>
      <w:r w:rsidR="002B5CD8">
        <w:t>The decrease in SCFA-producing pathways, particularly butyrate and pyruvate (Fig 3E), likely reflects the loss of obligate anaerobes at high temperatures due to redox imbalance and may decrease host tolerance towards gut microbiomes.</w:t>
      </w:r>
      <w:r w:rsidR="002B5CD8" w:rsidRPr="00A835F8">
        <w:t xml:space="preserve"> </w:t>
      </w:r>
      <w:r w:rsidR="002B5CD8">
        <w:t xml:space="preserve">The resulting increase in immune activity may exacerbate redox imbalance because activated immune cells, particularly phagocytes, release ROS as part of the inflammatory response </w:t>
      </w:r>
      <w:r w:rsidR="002B5CD8">
        <w:fldChar w:fldCharType="begin"/>
      </w:r>
      <w:r w:rsidR="006A4942">
        <w:instrText xml:space="preserve"> ADDIN ZOTERO_ITEM CSL_CITATION {"citationID":"1C9evp4M","properties":{"formattedCitation":"({\\i{}104})","plainCitation":"(104)","noteIndex":0},"citationItems":[{"id":3724,"uris":["http://zotero.org/users/13901503/items/IM2TT9E8"],"itemData":{"id":3724,"type":"article-journal","abstract":"Reactive oxygen species (ROS) include superoxide, hydrogen peroxide, singlet oxygen, ozone, hypohalous acids and organic peroxides. They interact with and share some of the actions of other classes of small, reactive, endogenous signalling molecules — reactive nitrogen species such as NO• and NO2•; H2S or its anion, HS−; and carbon monoxide.ROS can both promote and prevent cell death, cancer, ageing and inflammation. For example, ROS mediate inflammasome activation, but patients with chronic granulomatous disease, who lack a functional form of a principal ROS-producing enzyme, NADPH oxidase 2 (NOX2), demonstrate considerable susceptibility to infection, as well as non-resolving inflammation.The numerous enzymatic sources of ROS include mitochondria and multiple isoforms of NOXs. The first NOX, now called NOX2, was discovered in neutrophils, but NOXs contribute to signal transduction in diverse cell types. ROS are produced following B and T cell receptor stimulation and can dictate whether T cell activation is fostered or impeded.Many antioxidant systems contribute to the regulation of ROS, including superoxide dismutases, catalases and the enzymes of the glutathione redox cycle, which reflects the widespread functional effects of ROS.Reactions involving ROS demonstrate atomic rather than molecular specificity. That is, ROS preferentially react with certain types of atoms and most readily with a subset of those atoms, but the atomic targets of ROS are distributed in many different macromolecules. For example, ROS preferentially react with the sulphur atom in some but not other cysteine residues; the cysteine thiols that are most susceptible include many that participate in enzyme active sites, such as in phosphatases. This kind of specificity equips ROS to influence many different signalling pathways simultaneously.The immunosuppressive capacity of myeloid-derived suppressor cells and regulatory T cells results in part from their production of ROS. Tumour cells also produce ROS, which can contribute to their immunosuppressive and metastatic potential.","container-title":"Nature Reviews Immunology","DOI":"10.1038/nri3423","ISSN":"1474-1741","issue":"5","journalAbbreviation":"Nat Rev Immunol","language":"en","license":"2013 Springer Nature Limited","note":"publisher: Nature Publishing Group","page":"349-361","source":"www-nature-com.proxy.lib.umich.edu","title":"Beyond oxidative stress: an immunologist's guide to reactive oxygen species","title-short":"Beyond oxidative stress","volume":"13","author":[{"family":"Nathan","given":"Carl"},{"family":"Cunningham-Bussel","given":"Amy"}],"issued":{"date-parts":[["2013",5]]}}}],"schema":"https://github.com/citation-style-language/schema/raw/master/csl-citation.json"} </w:instrText>
      </w:r>
      <w:r w:rsidR="002B5CD8">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104</w:t>
      </w:r>
      <w:r w:rsidR="006A4942" w:rsidRPr="006A4942">
        <w:rPr>
          <w:rFonts w:eastAsiaTheme="minorHAnsi"/>
          <w14:ligatures w14:val="standardContextual"/>
        </w:rPr>
        <w:t>)</w:t>
      </w:r>
      <w:r w:rsidR="002B5CD8">
        <w:fldChar w:fldCharType="end"/>
      </w:r>
      <w:r w:rsidR="002B5CD8">
        <w:t xml:space="preserve">. </w:t>
      </w:r>
    </w:p>
    <w:p w14:paraId="6D9DAB22" w14:textId="1A934D9E" w:rsidR="002E2B9C" w:rsidRPr="002E2B9C" w:rsidRDefault="004213D8" w:rsidP="002E2B9C">
      <w:pPr>
        <w:ind w:firstLine="720"/>
      </w:pPr>
      <w:r w:rsidRPr="002E2B9C">
        <w:t>These results may be driven by confounding variables related to seasonal ecology, such as changes in diet, ranging patterns, social structure, activity budgets, or water sources that can influence microbiome composition and function</w:t>
      </w:r>
      <w:r w:rsidR="00440E37" w:rsidRPr="002E2B9C">
        <w:fldChar w:fldCharType="begin"/>
      </w:r>
      <w:r w:rsidR="006A4942">
        <w:instrText xml:space="preserve"> ADDIN ZOTERO_ITEM CSL_CITATION {"citationID":"u5D6sbzn","properties":{"formattedCitation":"({\\i{}55}, {\\i{}105}, {\\i{}106})","plainCitation":"(55, 105, 106)","noteIndex":0},"citationItems":[{"id":700,"uris":["http://zotero.org/users/13901503/items/HCYVY6PR"],"itemData":{"id":700,"type":"article-journal","abstract":"Research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D"}],"issued":{"date-parts":[["2019",1,1]]}}},{"id":703,"uris":["http://zotero.org/users/13901503/items/6D6E98NC"],"itemData":{"id":703,"type":"article-journal","abstract":"The horizontal transmission of pathogenic and beneficial microbes has implications for health and development of socially living animals. Social group is repeatedly implicated as an important predictor of gut microbiome structure among primates, with individuals in neighboring social groups exhibiting distinct microbiomes. Here we examine whether group membership is a predictor of gut microbiome structure and diversity across three groups of white-faced capuchins (Cebus capucinus imitator) inhabiting a seasonal Costa Rican forest. We collected 62 fecal samples from 18 adult females during four sampling bouts. Sampling bouts spanned the dry-to-wet-to-dry seasonal transitions. To investigate gut microbial composition, we sequenced the V4 region of the 16S rRNA gene. We used the DADA2 pipeline to assign amplicon sequence variants and the RDP database to classify taxa. Our findings are: 1) gut microbiomes of capuchins clustered by social group in the late dry season, but this pattern was less evident in other sampling bouts; 2) social group was a significant variable in a PERMANOVA test of beta diversity, but it accounted for less variation than season; 3) social group was not an important predictor of abundance for the ten most abundant microbial taxa in capuchins; 4) when examining log2-fold abundances of microbes between social groups, there were significant differences in some pairwise comparisons. While this is suggestive of group-wide differences, individual variation may have a strong impact and should be assessed in future studies. Overall, we found a minor impact of social group membership on the gut microbiota of wild white-faced capuchins. Future research including home range overlap and resource use, as well as fine-scale investigation of individual variation, will further elucidate patterns of socially structured microbes.","container-title":"American Journal of Primatology","DOI":"10.1002/ajp.22985","ISSN":"1098-2345","issue":"10-11","language":"en","license":"© 2019 Wiley Periodicals, Inc.","note":"_eprint: https://onlinelibrary.wiley.com/doi/pdf/10.1002/ajp.22985","page":"e22985","source":"Wiley Online Library","title":"Small to modest impact of social group on the gut microbiome of wild Costa Rican capuchins in a seasonal forest","volume":"81","author":[{"family":"Orkin","given":"Joseph Daniel"},{"family":"Webb","given":"Shasta Ellen"},{"family":"Melin","given":"Amanda Dawn"}],"issued":{"date-parts":[["2019"]]}}},{"id":1636,"uris":["http://zotero.org/users/13901503/items/5NZP9HX7"],"itemData":{"id":1636,"type":"article-journal","abstract":"Objectives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S."}],"issued":{"date-parts":[["2018"]]}}}],"schema":"https://github.com/citation-style-language/schema/raw/master/csl-citation.json"} </w:instrText>
      </w:r>
      <w:r w:rsidR="00440E37" w:rsidRPr="002E2B9C">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55</w:t>
      </w:r>
      <w:r w:rsidR="006A4942" w:rsidRPr="006A4942">
        <w:rPr>
          <w:rFonts w:eastAsiaTheme="minorHAnsi"/>
          <w14:ligatures w14:val="standardContextual"/>
        </w:rPr>
        <w:t xml:space="preserve">, </w:t>
      </w:r>
      <w:r w:rsidR="006A4942" w:rsidRPr="006A4942">
        <w:rPr>
          <w:rFonts w:eastAsiaTheme="minorHAnsi"/>
          <w:i/>
          <w:iCs/>
          <w14:ligatures w14:val="standardContextual"/>
        </w:rPr>
        <w:t>105</w:t>
      </w:r>
      <w:r w:rsidR="006A4942" w:rsidRPr="006A4942">
        <w:rPr>
          <w:rFonts w:eastAsiaTheme="minorHAnsi"/>
          <w14:ligatures w14:val="standardContextual"/>
        </w:rPr>
        <w:t xml:space="preserve">, </w:t>
      </w:r>
      <w:r w:rsidR="006A4942" w:rsidRPr="006A4942">
        <w:rPr>
          <w:rFonts w:eastAsiaTheme="minorHAnsi"/>
          <w:i/>
          <w:iCs/>
          <w14:ligatures w14:val="standardContextual"/>
        </w:rPr>
        <w:t>106</w:t>
      </w:r>
      <w:r w:rsidR="006A4942" w:rsidRPr="006A4942">
        <w:rPr>
          <w:rFonts w:eastAsiaTheme="minorHAnsi"/>
          <w14:ligatures w14:val="standardContextual"/>
        </w:rPr>
        <w:t>)</w:t>
      </w:r>
      <w:r w:rsidR="00440E37" w:rsidRPr="002E2B9C">
        <w:fldChar w:fldCharType="end"/>
      </w:r>
      <w:r w:rsidRPr="002E2B9C">
        <w:t xml:space="preserve">. However, many of our results </w:t>
      </w:r>
      <w:r w:rsidRPr="002E2B9C">
        <w:lastRenderedPageBreak/>
        <w:t>mirror those from experimental studies evaluating the effects of high temperature on the microbiome</w:t>
      </w:r>
      <w:r w:rsidR="00440E37" w:rsidRPr="002E2B9C">
        <w:t>, indicating that we have likely captured a true temperature effect rather than an indirect signature of seasonal ecology.</w:t>
      </w:r>
      <w:r w:rsidR="002E2B9C">
        <w:t xml:space="preserve"> </w:t>
      </w:r>
      <w:r w:rsidR="00440E37" w:rsidRPr="002E2B9C">
        <w:t xml:space="preserve">This is likely because we </w:t>
      </w:r>
      <w:r w:rsidR="002E2B9C">
        <w:t xml:space="preserve">assessed </w:t>
      </w:r>
      <w:r w:rsidR="00440E37" w:rsidRPr="002E2B9C">
        <w:t>cumulative exposure to high temperatures</w:t>
      </w:r>
      <w:r w:rsidR="002E2B9C">
        <w:t xml:space="preserve"> </w:t>
      </w:r>
      <w:r w:rsidR="00440E37" w:rsidRPr="002E2B9C">
        <w:t>rather than short-term fluctuations that</w:t>
      </w:r>
      <w:r w:rsidR="00804D7A" w:rsidRPr="002E2B9C">
        <w:t xml:space="preserve"> are more likely to</w:t>
      </w:r>
      <w:r w:rsidR="00440E37" w:rsidRPr="002E2B9C">
        <w:t xml:space="preserve"> covary with other ecological variables.</w:t>
      </w:r>
      <w:r w:rsidR="00E37B25" w:rsidRPr="002E2B9C">
        <w:t xml:space="preserve"> </w:t>
      </w:r>
      <w:r w:rsidR="0032533A" w:rsidRPr="002E2B9C">
        <w:t xml:space="preserve">We also focused on </w:t>
      </w:r>
      <w:r w:rsidR="000D1A59" w:rsidRPr="002E2B9C">
        <w:t>interpreting</w:t>
      </w:r>
      <w:r w:rsidR="0032533A" w:rsidRPr="002E2B9C">
        <w:t xml:space="preserve"> broad patterns across taxonomic groups and metabolic pathways</w:t>
      </w:r>
      <w:r w:rsidR="000D1A59" w:rsidRPr="002E2B9C">
        <w:t xml:space="preserve"> (Figs. 2 &amp; 3)</w:t>
      </w:r>
      <w:r w:rsidR="0032533A" w:rsidRPr="002E2B9C">
        <w:t xml:space="preserve"> rather than interpreting individual features that may be more sensitive to ecological confounds.</w:t>
      </w:r>
      <w:r w:rsidR="00D237ED" w:rsidRPr="002E2B9C">
        <w:t xml:space="preserve"> </w:t>
      </w:r>
    </w:p>
    <w:p w14:paraId="777C97A6" w14:textId="51622602" w:rsidR="005F69FD" w:rsidRDefault="00D237ED" w:rsidP="005F69FD">
      <w:pPr>
        <w:ind w:firstLine="720"/>
      </w:pPr>
      <w:r w:rsidRPr="002E2B9C">
        <w:t>Importantly, our results resemble those associated with heat stress in experimental work</w:t>
      </w:r>
      <w:r w:rsidR="00033021" w:rsidRPr="002E2B9C">
        <w:t>,</w:t>
      </w:r>
      <w:r w:rsidRPr="002E2B9C">
        <w:t xml:space="preserve"> including a decrease in obligate anaerobes relative to facultative anaerobes </w:t>
      </w:r>
      <w:r w:rsidRPr="002E2B9C">
        <w:fldChar w:fldCharType="begin"/>
      </w:r>
      <w:r w:rsidRPr="002E2B9C">
        <w:instrText xml:space="preserve"> ADDIN ZOTERO_ITEM CSL_CITATION {"citationID":"WH23QP2G","properties":{"formattedCitation":"({\\i{}16})","plainCitation":"(16)","noteIndex":0},"citationItems":[{"id":960,"uris":["http://zotero.org/users/13901503/items/KQS25QFF"],"itemData":{"id":960,"type":"article-journal","abstract":"Temperature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Pr="002E2B9C">
        <w:fldChar w:fldCharType="separate"/>
      </w:r>
      <w:r w:rsidRPr="002E2B9C">
        <w:t>(</w:t>
      </w:r>
      <w:r w:rsidRPr="002E2B9C">
        <w:rPr>
          <w:i/>
          <w:iCs/>
        </w:rPr>
        <w:t>16</w:t>
      </w:r>
      <w:r w:rsidRPr="002E2B9C">
        <w:t>)</w:t>
      </w:r>
      <w:r w:rsidRPr="002E2B9C">
        <w:fldChar w:fldCharType="end"/>
      </w:r>
      <w:r w:rsidRPr="002E2B9C">
        <w:t xml:space="preserve">, evidence of redox imbalance </w:t>
      </w:r>
      <w:r w:rsidRPr="002E2B9C">
        <w:fldChar w:fldCharType="begin"/>
      </w:r>
      <w:r w:rsidRPr="002E2B9C">
        <w:instrText xml:space="preserve"> ADDIN ZOTERO_ITEM CSL_CITATION {"citationID":"rVBKu8ac","properties":{"formattedCitation":"({\\i{}28}, {\\i{}29})","plainCitation":"(28, 29)","noteIndex":0},"citationItems":[{"id":3187,"uris":["http://zotero.org/users/13901503/items/DHD4XMP5"],"itemData":{"id":3187,"type":"article-journal","abstract":"Tsinling lenok trout (Brachymystax lenok tsinlingensis Li) is a species of cold-water salmon that faces serious challenges due to global warming. High temperature stress has been found to damage the gut integrity of coldwater fish, impacting their growth and immunity. However, limited research exists on the causal relationship between gut microbial disturbance and metabolic dysfunction in cold-water fish induced by high temperature stress. To address this gap, we conducted a study to investigate the effects of high temperature stress (24 ◦C) on the gut tissue structure, antioxidant capacity, gut microorganisms, and metabolome reactions of tsinling lenok trout. Our analysis using 16 S rDNA gene sequencing revealed significant changes in the gut microbial composition and metabolic profile. Specifically, the abundance of Firmicutes and Gemmatimonadetes decreased significantly with increasing temperature, while the abundance of Bacteroidetes increased significantly. Meta­ bolic analysis revealed a significant decrease in the abundance of glutathione, which is synthesized from glutamate and glycine, under high temperature stress. Additionally, there was a notable reduction in the levels of adenosine, inosine, xanthine, guanosine, and deoxyguanosine, which are essential for DNA/RNA synthesis. Conversely, there was a significant increase in the abundance of D-glucose 6 P. Furthermore, high temperature stress adversely affects intestinal structure and barrier function. Our findings provide valuable insights into the mechanism of high temperature stress in cold-water fish and serve as a foundation for future research aimed at mitigating the decline in production performance caused by such stress.","container-title":"Ecotoxicology and Environmental Safety","DOI":"10.1016/j.ecoenv.2023.115607","ISSN":"01476513","journalAbbreviation":"Ecotoxicology and Environmental Safety","language":"en","page":"115607","source":"DOI.org (Crossref)","title":"High temperature stress induced oxidative stress, gut inflammation and disordered metabolome and microbiome in tsinling lenok trout","volume":"266","author":[{"family":"Fang","given":"M."},{"family":"Lei","given":"Z."},{"family":"Ruilin","given":"M."},{"family":"Jing","given":"W."},{"family":"Leqiang","given":"D."}],"issued":{"date-parts":[["2023",11]]}},"label":"page"},{"id":3362,"uris":["http://zotero.org/users/13901503/items/IXQSNCGD"],"itemData":{"id":3362,"type":"article-journal","abstract":"Introduction\nHeat stress can affect the production of poultry through complex interactions between genes, metabolites and microorganisms. At present, it is unclear how heat stress affects genetic, metabolic and microbial changes in poultry, as well as the complex interactions between them.\n\nMethods\nThus, at 28 days of age a total of 200 Arbor Acres broilers with similar body weights were randomly divided into the control (CON) and heat stress treatment (HS). There were 5 replicates in CON and HS, respectively, 20 per replication. From the 28–42 days, the HS was kept at 31 ± 1°C (9:00–17:00, 8 h) and other time was maintained at 21 ± 1°C as in the CON. At the 42nd day experiment, we calculated the growth performance (n = 8) of broilers and collected 3 and 6 cecal tissues for transcriptomic and metabolomic investigation and 4 cecal contents for metagenomic investigation of each treatment.\n\nResults and discussion\nThe results indicate that heat stress significantly reduced the average daily gain and body weight of broilers (value of p &amp;lt; 0.05). Transcriptome KEGG enrichment showed that the differential genes were mainly enriched in the NF-kB signaling pathway. Metabolomics results showed that KEGG enrichment showed that the differential metabolites were mainly enriched in the mTOR signaling pathway. 16S rDNA amplicon sequencing results indicated that heat stress increased the relative abundance of Proteobacteria decreased the relative abundance of Firmicutes. Multi-omics analysis showed that the co-participating pathway of differential genes, metabolites and microorganisms KEGG enrichment was purine metabolism. Pearson correlation analysis found that ornithine was positively correlated with SULT1C3, GSTT1L and g_Lactobacillus, and negatively correlated with CALB1. PE was negatively correlated with CALB1 and CHAC1, and positively with g_Alistipes. In conclusion, heat stress can generate large amounts of reactive oxygen and increase the types of harmful bacteria, reduce intestinal nutrient absorption and antioxidant capacity, and thereby damage intestinal health and immune function, and reduce growth performance indicators. This biological process is manifested in the complex regulation, providing a foundational theoretical basis for solving the problem of heat stress.","container-title":"Frontiers in Microbiology","DOI":"10.3389/fmicb.2023.1244004","ISSN":"1664-302X","journalAbbreviation":"Front. Microbiol.","language":"English","note":"publisher: Frontiers","source":"Frontiers","title":"Heat stress exposure cause alterations in intestinal microbiota, transcriptome, and metabolome of broilers","URL":"https://www.frontiersin.org/journals/microbiology/articles/10.3389/fmicb.2023.1244004/full","volume":"14","author":[{"family":"Liu","given":"Xuan"},{"family":"Ma","given":"Zhenhua"},{"family":"Wang","given":"Yanfei"},{"family":"Jia","given":"Hao"},{"family":"Wang","given":"Zheng"},{"family":"Zhang","given":"Lihuan"}],"accessed":{"date-parts":[["2025",5,13]]},"issued":{"date-parts":[["2023",9,19]]}}}],"schema":"https://github.com/citation-style-language/schema/raw/master/csl-citation.json"} </w:instrText>
      </w:r>
      <w:r w:rsidRPr="002E2B9C">
        <w:fldChar w:fldCharType="separate"/>
      </w:r>
      <w:r w:rsidRPr="002E2B9C">
        <w:t>(</w:t>
      </w:r>
      <w:r w:rsidRPr="002E2B9C">
        <w:rPr>
          <w:i/>
          <w:iCs/>
        </w:rPr>
        <w:t>28</w:t>
      </w:r>
      <w:r w:rsidRPr="002E2B9C">
        <w:t xml:space="preserve">, </w:t>
      </w:r>
      <w:r w:rsidRPr="002E2B9C">
        <w:rPr>
          <w:i/>
          <w:iCs/>
        </w:rPr>
        <w:t>29</w:t>
      </w:r>
      <w:r w:rsidRPr="002E2B9C">
        <w:t>)</w:t>
      </w:r>
      <w:r w:rsidRPr="002E2B9C">
        <w:fldChar w:fldCharType="end"/>
      </w:r>
      <w:r w:rsidRPr="002E2B9C">
        <w:t xml:space="preserve">, and changes in </w:t>
      </w:r>
      <w:r w:rsidR="0032533A" w:rsidRPr="002E2B9C">
        <w:t xml:space="preserve">immunomodulatory function </w:t>
      </w:r>
      <w:bookmarkStart w:id="0" w:name="_Hlk212808190"/>
      <w:r w:rsidRPr="002E2B9C">
        <w:fldChar w:fldCharType="begin"/>
      </w:r>
      <w:r w:rsidR="00EB13C3" w:rsidRPr="002E2B9C">
        <w:instrText xml:space="preserve"> ADDIN ZOTERO_ITEM CSL_CITATION {"citationID":"0Wn5DKmj","properties":{"formattedCitation":"({\\i{}17}, {\\i{}19}, {\\i{}44})","plainCitation":"(17, 19, 44)","noteIndex":0},"citationItems":[{"id":3108,"uris":["http://zotero.org/users/13901503/items/989JE4MX"],"itemData":{"id":3108,"type":"article-journal","abstract":"Abstract\n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rsidRPr="002E2B9C">
        <w:fldChar w:fldCharType="separate"/>
      </w:r>
      <w:r w:rsidR="00EB13C3" w:rsidRPr="002E2B9C">
        <w:rPr>
          <w:rFonts w:eastAsiaTheme="minorHAnsi"/>
          <w14:ligatures w14:val="standardContextual"/>
        </w:rPr>
        <w:t>(</w:t>
      </w:r>
      <w:r w:rsidR="00EB13C3" w:rsidRPr="002E2B9C">
        <w:rPr>
          <w:rFonts w:eastAsiaTheme="minorHAnsi"/>
          <w:i/>
          <w:iCs/>
          <w14:ligatures w14:val="standardContextual"/>
        </w:rPr>
        <w:t>17</w:t>
      </w:r>
      <w:r w:rsidR="00EB13C3" w:rsidRPr="002E2B9C">
        <w:rPr>
          <w:rFonts w:eastAsiaTheme="minorHAnsi"/>
          <w14:ligatures w14:val="standardContextual"/>
        </w:rPr>
        <w:t xml:space="preserve">, </w:t>
      </w:r>
      <w:r w:rsidR="00EB13C3" w:rsidRPr="002E2B9C">
        <w:rPr>
          <w:rFonts w:eastAsiaTheme="minorHAnsi"/>
          <w:i/>
          <w:iCs/>
          <w14:ligatures w14:val="standardContextual"/>
        </w:rPr>
        <w:t>19</w:t>
      </w:r>
      <w:r w:rsidR="00EB13C3" w:rsidRPr="002E2B9C">
        <w:rPr>
          <w:rFonts w:eastAsiaTheme="minorHAnsi"/>
          <w14:ligatures w14:val="standardContextual"/>
        </w:rPr>
        <w:t xml:space="preserve">, </w:t>
      </w:r>
      <w:r w:rsidR="00EB13C3" w:rsidRPr="002E2B9C">
        <w:rPr>
          <w:rFonts w:eastAsiaTheme="minorHAnsi"/>
          <w:i/>
          <w:iCs/>
          <w14:ligatures w14:val="standardContextual"/>
        </w:rPr>
        <w:t>44</w:t>
      </w:r>
      <w:r w:rsidR="00EB13C3" w:rsidRPr="002E2B9C">
        <w:rPr>
          <w:rFonts w:eastAsiaTheme="minorHAnsi"/>
          <w14:ligatures w14:val="standardContextual"/>
        </w:rPr>
        <w:t>)</w:t>
      </w:r>
      <w:r w:rsidRPr="002E2B9C">
        <w:fldChar w:fldCharType="end"/>
      </w:r>
      <w:bookmarkEnd w:id="0"/>
      <w:r w:rsidRPr="002E2B9C">
        <w:t>. Together, these findings suggest that the capuchins may be experiencing heat stress at the upper limit of their thermal range</w:t>
      </w:r>
      <w:r w:rsidR="002C7F8C" w:rsidRPr="002E2B9C">
        <w:t xml:space="preserve"> that could compromise essential microbiome functions. </w:t>
      </w:r>
      <w:r w:rsidR="005F69FD" w:rsidRPr="002E2B9C">
        <w:t xml:space="preserve">These effects also likely reinforce one another during extended periods of high temperatures via reciprocal interactions linking redox balance, microbial composition, and immune function </w:t>
      </w:r>
      <w:r w:rsidR="005F69FD" w:rsidRPr="002E2B9C">
        <w:fldChar w:fldCharType="begin"/>
      </w:r>
      <w:r w:rsidR="006A4942">
        <w:instrText xml:space="preserve"> ADDIN ZOTERO_ITEM CSL_CITATION {"citationID":"ZVo4Iuph","properties":{"formattedCitation":"({\\i{}107}, {\\i{}108})","plainCitation":"(107, 108)","noteIndex":0},"citationItems":[{"id":3497,"uris":["http://zotero.org/users/13901503/items/RMY7RJ4R"],"itemData":{"id":3497,"type":"article-journal","abstract":"Inflammatory bowel disease (IBD) is a long-term, progressive, and recurrent intestinal inflammatory disorder. The pathogenic mechanisms of IBD are multifaceted and associated with oxidative stress, unbalanced gut microbiota, and aberrant immune response. Indeed, oxidative stress can affect the progression and development of IBD by regulating the homeostasis of the gut microbiota and immune response. Therefore, redox-targeted therapy is a promising treatment option for IBD. Recent evidence has verified that Chinese herbal medicine (CHM)-derived polyphenols, natural antioxidants, are able to maintain redox equilibrium in the intestinal tract to prevent abnormal gut microbiota and radical inflammatory responses. Here, we provide a comprehensive perspective for implementing natural antioxidants as potential IBD candidate medications. In addition, we demonstrate novel technologies and stratagems for promoting the antioxidative properties of CHM-derived polyphenols, including novel delivery systems, chemical modifications, and combination strategies.","container-title":"Antioxidants","DOI":"10.3390/antiox12040967","ISSN":"2076-3921","issue":"4","language":"en","license":"http://creativecommons.org/licenses/by/3.0/","note":"number: 4\npublisher: Multidisciplinary Digital Publishing Institute","page":"967","source":"www-mdpi-com.proxy.lib.umich.edu","title":"Oxidative Stress, Inflammation, Gut Dysbiosis: What Can Polyphenols Do in Inflammatory Bowel Disease?","title-short":"Oxidative Stress, Inflammation, Gut Dysbiosis","volume":"12","author":[{"family":"Li","given":"Lei"},{"family":"Peng","given":"Peilan"},{"family":"Ding","given":"Ning"},{"family":"Jia","given":"Wenhui"},{"family":"Huang","given":"Canhua"},{"family":"Tang","given":"Yong"}],"issued":{"date-parts":[["2023",4]]}}},{"id":3251,"uris":["http://zotero.org/users/13901503/items/RA2W4N37"],"itemData":{"id":3251,"type":"article-journal","abstract":"Gut dysbiosis, resulting from an imbalance in the gut microbiome, can induce excessive production of reactive oxygen species (ROS), leading to inflammation, DNA damage, activation of the immune system, and epigenetic alterations of critical genes involved in the metabolic pathways. Gut dysbiosis-induced inflammation can also disrupt the gut barrier integrity and increase intestinal permeability, which allows gut-derived toxic products to enter the liver and systemic circulation, further triggering oxidative stress, inflammation, and epigenetic alterations associated with metabolic diseases. However, specific gut-derived metabolites, such as short-chain fatty acids (SCFAs), lactate, and vitamins, can modulate oxidative stress and the immune system through epigenetic mechanisms, thereby improving metabolic function. Gut microbiota and diet-induced metabolic diseases, such as obesity, insulin resistance, dyslipidemia, and hypertension, can transfer to the next generation, involving epigenetic mechanisms. In this review, we will introduce the key epigenetic alterations that, along with gut dysbiosis and ROS, are engaged in developing metabolic diseases. Finally, we will discuss potential therapeutic interventions such as dietary modifications, prebiotics, probiotics, postbiotics, and fecal microbiota transplantation, which may reduce oxidative stress and inflammation associated with metabolic syndrome by altering gut microbiota and epigenetic alterations. In summary, this review highlights the crucial role of gut microbiota dysbiosis, oxidative stress, and inflammation in the pathogenesis of metabolic diseases, with a particular focus on epigenetic alterations (including histone modifications, DNA methylomics, and RNA interference) and potential interventions that may prevent or improve metabolic diseases.","container-title":"Antioxidants","DOI":"10.3390/antiox13080985","ISSN":"2076-3921","issue":"8","language":"en","license":"http://creativecommons.org/licenses/by/3.0/","note":"number: 8\npublisher: Multidisciplinary Digital Publishing Institute","page":"985","source":"www-mdpi-com.proxy.lib.umich.edu","title":"Gut Microbiota Dysbiosis, Oxidative Stress, Inflammation, and Epigenetic Alterations in Metabolic Diseases","volume":"13","author":[{"family":"Mostafavi Abdolmaleky","given":"Hamid"},{"family":"Zhou","given":"Jin-Rong"}],"issued":{"date-parts":[["2024",8]]}}}],"schema":"https://github.com/citation-style-language/schema/raw/master/csl-citation.json"} </w:instrText>
      </w:r>
      <w:r w:rsidR="005F69FD" w:rsidRPr="002E2B9C">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107</w:t>
      </w:r>
      <w:r w:rsidR="006A4942" w:rsidRPr="006A4942">
        <w:rPr>
          <w:rFonts w:eastAsiaTheme="minorHAnsi"/>
          <w14:ligatures w14:val="standardContextual"/>
        </w:rPr>
        <w:t xml:space="preserve">, </w:t>
      </w:r>
      <w:r w:rsidR="006A4942" w:rsidRPr="006A4942">
        <w:rPr>
          <w:rFonts w:eastAsiaTheme="minorHAnsi"/>
          <w:i/>
          <w:iCs/>
          <w14:ligatures w14:val="standardContextual"/>
        </w:rPr>
        <w:t>108</w:t>
      </w:r>
      <w:r w:rsidR="006A4942" w:rsidRPr="006A4942">
        <w:rPr>
          <w:rFonts w:eastAsiaTheme="minorHAnsi"/>
          <w14:ligatures w14:val="standardContextual"/>
        </w:rPr>
        <w:t>)</w:t>
      </w:r>
      <w:r w:rsidR="005F69FD" w:rsidRPr="002E2B9C">
        <w:fldChar w:fldCharType="end"/>
      </w:r>
      <w:r w:rsidR="005F69FD" w:rsidRPr="002E2B9C">
        <w:t>(Fig 3F).</w:t>
      </w:r>
    </w:p>
    <w:p w14:paraId="2667DCD6" w14:textId="01C7362B" w:rsidR="00D237ED" w:rsidRDefault="00D237ED" w:rsidP="0032533A"/>
    <w:p w14:paraId="31DE4463" w14:textId="6498BC86" w:rsidR="00D237ED" w:rsidRDefault="00D237ED" w:rsidP="00D237ED">
      <w:pPr>
        <w:rPr>
          <w:u w:val="single"/>
        </w:rPr>
      </w:pPr>
      <w:r w:rsidRPr="00C64C3B">
        <w:rPr>
          <w:u w:val="single"/>
        </w:rPr>
        <w:t xml:space="preserve">Gut microbiome </w:t>
      </w:r>
      <w:r>
        <w:rPr>
          <w:u w:val="single"/>
        </w:rPr>
        <w:t xml:space="preserve">response to temperature is related to microbiome-immune </w:t>
      </w:r>
      <w:r w:rsidR="00AB141F">
        <w:rPr>
          <w:u w:val="single"/>
        </w:rPr>
        <w:t>interactions</w:t>
      </w:r>
    </w:p>
    <w:p w14:paraId="26AB897A" w14:textId="027842C0" w:rsidR="00F06D13" w:rsidRDefault="006F1050" w:rsidP="004F5B78">
      <w:pPr>
        <w:ind w:firstLine="720"/>
      </w:pPr>
      <w:r w:rsidRPr="002E2B9C">
        <w:t xml:space="preserve">Declines in the abundance of obligate </w:t>
      </w:r>
      <w:r w:rsidR="00033021" w:rsidRPr="002E2B9C">
        <w:t xml:space="preserve">anaerobes </w:t>
      </w:r>
      <w:r w:rsidRPr="002E2B9C">
        <w:t xml:space="preserve">with temperature </w:t>
      </w:r>
      <w:r w:rsidR="00033021" w:rsidRPr="002E2B9C">
        <w:t xml:space="preserve">may </w:t>
      </w:r>
      <w:r w:rsidR="006F07A1" w:rsidRPr="002E2B9C">
        <w:t>impact</w:t>
      </w:r>
      <w:r w:rsidR="00033021" w:rsidRPr="002E2B9C">
        <w:t xml:space="preserve"> </w:t>
      </w:r>
      <w:r w:rsidR="00950571" w:rsidRPr="002E2B9C">
        <w:t>host immunity.</w:t>
      </w:r>
      <w:r w:rsidR="00033021" w:rsidRPr="002E2B9C">
        <w:t xml:space="preserve"> For example, stronger declines in obligate anaerobes</w:t>
      </w:r>
      <w:r w:rsidR="006F07A1" w:rsidRPr="002E2B9C">
        <w:t xml:space="preserve"> at high temperatures</w:t>
      </w:r>
      <w:r w:rsidR="00033021" w:rsidRPr="002E2B9C">
        <w:t xml:space="preserve">, such as </w:t>
      </w:r>
      <w:r w:rsidR="00033021" w:rsidRPr="002E2B9C">
        <w:rPr>
          <w:rStyle w:val="Emphasis"/>
          <w:rFonts w:eastAsiaTheme="majorEastAsia"/>
        </w:rPr>
        <w:t>Parabacteroides</w:t>
      </w:r>
      <w:r w:rsidR="00033021" w:rsidRPr="002E2B9C">
        <w:t xml:space="preserve"> and </w:t>
      </w:r>
      <w:proofErr w:type="spellStart"/>
      <w:r w:rsidR="00033021" w:rsidRPr="002E2B9C">
        <w:rPr>
          <w:rStyle w:val="Emphasis"/>
          <w:rFonts w:eastAsiaTheme="majorEastAsia"/>
        </w:rPr>
        <w:t>Alistipes</w:t>
      </w:r>
      <w:proofErr w:type="spellEnd"/>
      <w:r w:rsidR="00033021" w:rsidRPr="002E2B9C">
        <w:rPr>
          <w:rStyle w:val="Emphasis"/>
          <w:rFonts w:eastAsiaTheme="majorEastAsia"/>
        </w:rPr>
        <w:t>,</w:t>
      </w:r>
      <w:r w:rsidR="00033021" w:rsidRPr="002E2B9C">
        <w:t xml:space="preserve"> are associated with higher neopterin levels (Fig 4A). These taxa contribute to anti-inflammatory signaling through the production of SCFAs</w:t>
      </w:r>
      <w:r w:rsidR="00033021" w:rsidRPr="002E2B9C">
        <w:rPr>
          <w:rStyle w:val="Emphasis"/>
          <w:rFonts w:eastAsiaTheme="majorEastAsia"/>
        </w:rPr>
        <w:t xml:space="preserve"> </w:t>
      </w:r>
      <w:r w:rsidR="00033021" w:rsidRPr="002E2B9C">
        <w:fldChar w:fldCharType="begin"/>
      </w:r>
      <w:r w:rsidR="006A4942">
        <w:instrText xml:space="preserve"> ADDIN ZOTERO_ITEM CSL_CITATION {"citationID":"56Usf7sy","properties":{"formattedCitation":"({\\i{}80}, {\\i{}81})","plainCitation":"(80, 81)","noteIndex":0},"citationItems":[{"id":2193,"uris":["http://zotero.org/users/13901503/items/TK9QBJNS"],"itemData":{"id":2193,"type":"article-journal","abstract":"Altered intestinal microbiota is associated with systemic and intestinal diseases, such as inflammatory bowel disease (IBD). Dysbiotic microbiota with enhanced proinflammatory capacity is characterized by depletion of anaerobic commensals, increased proportion of facultatively anaerobic bacteria, as well as reduced diversity and stability. In this study, we developed a high-throughput in vitro screening assay to isolate intestinal commensal bacteria with anti-inflammatory capacity from a healthy fecal microbiota transplantation donor. Freshly isolated gut bacteria were screened for their capacity to attenuate Escherichia coli lipopolysaccharide (LPS)-induced interleukin 8 (IL-8) release from HT-29 cells. The screen yielded a number of Bacteroides and Parabacteroides isolates, which were identified as P. distasonis, B. caccae, B. intestinalis, B. uniformis, B. fragilis, B. vulgatus and B. ovatus using whole genome sequencing. We observed that a cell-cell contact with the epithelium was not necessary to alleviate in vitro inflammation as spent culture media from the isolates were also effective and the anti-inflammatory action did not correlate with the enterocyte adherence capacity of the isolates. The anti-inflammatory isolates also exerted enterocyte monolayer reinforcing action and lacked essential genes to synthetize hexa-acylated, proinflammatory lipid A, part of LPS. Yet, the anti-inflammatory effector molecules remain to be identified. The Bacteroides strains isolated and characterized in this study have potential to be used as so-called next-generation probiotics.","container-title":"Nutrients","DOI":"10.3390/nu12040935","ISSN":"2072-6643","issue":"4","language":"en","license":"http://creativecommons.org/licenses/by/3.0/","note":"number: 4\npublisher: Multidisciplinary Digital Publishing Institute","page":"935","source":"www-mdpi-com.proxy.lib.umich.edu","title":"Isolation of Anti-Inflammatory and Epithelium Reinforcing Bacteroides and Parabacteroides Spp. from A Healthy Fecal Donor","volume":"12","author":[{"family":"Hiippala","given":"Kaisa"},{"family":"Kainulainen","given":"Veera"},{"family":"Suutarinen","given":"Maiju"},{"family":"Heini","given":"Tuomas"},{"family":"Bowers","given":"Jolene R."},{"family":"Jasso-Selles","given":"Daniel"},{"family":"Lemmer","given":"Darrin"},{"family":"Valentine","given":"Michael"},{"family":"Barnes","given":"Riley"},{"family":"Engelthaler","given":"David M."},{"family":"Satokari","given":"Reetta"}],"issued":{"date-parts":[["2020",4]]}}},{"id":2197,"uris":["http://zotero.org/users/13901503/items/QJXBZMS7"],"itemData":{"id":2197,"type":"article-journal","abstract":"&lt;p&gt;&lt;italic&gt;Alistipes&lt;/italic&gt; is a relatively new genus of bacteria isolated primarily from medical clinical samples, although at a low rate compared to other genus members of the &lt;italic&gt;Bacteroidetes&lt;/italic&gt; phylum, which are highly relevant in dysbiosis and disease. According to the taxonomy database at The National Center for Biotechnology Information, the genus consists of 13 species: &lt;italic&gt;Alistipes finegoldii, Alistipes putredinis, Alistipes onderdonkii, Alistipes shahii, Alistipes indistinctus, Alistipes senegalensis, Alistipes timonensis, Alistipes obesi, Alistipes ihumii, Alistipes inops, Alistipes megaguti, Alistipes provencensis&lt;/italic&gt;, and &lt;italic&gt;Alistipes massiliensis. Alistipes communis&lt;/italic&gt; and &lt;italic&gt;A. dispar&lt;/italic&gt;, and the subspecies &lt;italic&gt;A. Onderdonkii&lt;/italic&gt; subspecies vulgaris (vs. &lt;italic&gt;onderdonkii&lt;/italic&gt; subsp.) are the newest strains featured outside that list. Although typically isolated from the human gut microbiome various species of this genus have been isolated from patients suffering from appendicitis, and abdominal and rectal abscess. It is possible that as &lt;italic&gt;Alistipes&lt;/italic&gt; spp. emerge, their identification in clinical samples may be underrepresented as novel MS-TOF methods may not be fully capable to discriminate distinct species as separate since it will require the upgrading of MS-TOF identification databases. In terms of pathogenicity, there is contrasting evidence indicating that &lt;italic&gt;Alistipes&lt;/italic&gt; may have protective effects against some diseases, including liver fibrosis, colitis, cancer immunotherapy, and cardiovascular disease. In contrast, other studies indicate &lt;italic&gt;Alistipes&lt;/italic&gt; is pathogenic in colorectal cancer and is associated with mental signs of depression. Gut dysbiosis seems to play a role in determining the compositional abundance of &lt;italic&gt;Alistipes&lt;/italic&gt; in the feces (&lt;italic&gt;e.g&lt;/italic&gt;., in non-alcoholic steatohepatitis, hepatic encephalopathy, and liver fibrosis). Since &lt;italic&gt;Alistipes&lt;/italic&gt; is a relatively recent sub-branch genus of the &lt;italic&gt;Bacteroidetes&lt;/italic&gt; phylum, and since &lt;italic&gt;Bacteroidetes&lt;/italic&gt; are commonly associated with chronic intestinal inflammation, this narrative review illustrates emerging immunological and mechanistic implications by which &lt;italic&gt;Alistipes&lt;/italic&gt; spp. correlate with human health.&lt;/p&gt;","container-title":"Frontiers in Immunology","DOI":"10.3389/fimmu.2020.00906","ISSN":"1664-3224","journalAbbreviation":"Front. Immunol.","language":"English","note":"publisher: Frontiers","source":"Frontiers","title":"The Genus Alistipes: Gut Bacteria With Emerging Implications to Inflammation, Cancer, and Mental Health","title-short":"The Genus Alistipes","URL":"https://www.frontiersin.org/journals/immunology/articles/10.3389/fimmu.2020.00906/full","volume":"11","author":[{"family":"Parker","given":"Bianca J."},{"family":"Wearsch","given":"Pamela A."},{"family":"Veloo","given":"Alida C. M."},{"family":"Rodriguez-Palacios","given":"Alex"}],"accessed":{"date-parts":[["2025",3,31]]},"issued":{"date-parts":[["2020",6,9]]}}}],"schema":"https://github.com/citation-style-language/schema/raw/master/csl-citation.json"} </w:instrText>
      </w:r>
      <w:r w:rsidR="00033021" w:rsidRPr="002E2B9C">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80</w:t>
      </w:r>
      <w:r w:rsidR="006A4942" w:rsidRPr="006A4942">
        <w:rPr>
          <w:rFonts w:eastAsiaTheme="minorHAnsi"/>
          <w14:ligatures w14:val="standardContextual"/>
        </w:rPr>
        <w:t xml:space="preserve">, </w:t>
      </w:r>
      <w:r w:rsidR="006A4942" w:rsidRPr="006A4942">
        <w:rPr>
          <w:rFonts w:eastAsiaTheme="minorHAnsi"/>
          <w:i/>
          <w:iCs/>
          <w14:ligatures w14:val="standardContextual"/>
        </w:rPr>
        <w:t>81</w:t>
      </w:r>
      <w:r w:rsidR="006A4942" w:rsidRPr="006A4942">
        <w:rPr>
          <w:rFonts w:eastAsiaTheme="minorHAnsi"/>
          <w14:ligatures w14:val="standardContextual"/>
        </w:rPr>
        <w:t>)</w:t>
      </w:r>
      <w:r w:rsidR="00033021" w:rsidRPr="002E2B9C">
        <w:fldChar w:fldCharType="end"/>
      </w:r>
      <w:r w:rsidR="00033021" w:rsidRPr="002E2B9C">
        <w:t xml:space="preserve">, </w:t>
      </w:r>
      <w:r w:rsidR="00033021" w:rsidRPr="002E2B9C">
        <w:rPr>
          <w:rStyle w:val="Emphasis"/>
          <w:rFonts w:eastAsiaTheme="majorEastAsia"/>
          <w:i w:val="0"/>
          <w:iCs w:val="0"/>
        </w:rPr>
        <w:t xml:space="preserve">suggesting that their loss </w:t>
      </w:r>
      <w:r w:rsidR="006F07A1" w:rsidRPr="002E2B9C">
        <w:rPr>
          <w:rStyle w:val="Emphasis"/>
          <w:rFonts w:eastAsiaTheme="majorEastAsia"/>
          <w:i w:val="0"/>
          <w:iCs w:val="0"/>
        </w:rPr>
        <w:t>may affect</w:t>
      </w:r>
      <w:r w:rsidR="00033021" w:rsidRPr="002E2B9C">
        <w:rPr>
          <w:rStyle w:val="Emphasis"/>
          <w:rFonts w:eastAsiaTheme="majorEastAsia"/>
          <w:i w:val="0"/>
          <w:iCs w:val="0"/>
        </w:rPr>
        <w:t xml:space="preserve"> immune tolerance towards gut microbes.</w:t>
      </w:r>
      <w:r w:rsidR="006F07A1" w:rsidRPr="002E2B9C">
        <w:rPr>
          <w:rStyle w:val="Emphasis"/>
          <w:rFonts w:eastAsiaTheme="majorEastAsia"/>
          <w:i w:val="0"/>
          <w:iCs w:val="0"/>
        </w:rPr>
        <w:t xml:space="preserve"> Similarly, stronger declines in metabolic pathways that produce anti-inflammatory immunomodulators are also associated with higher neopterin</w:t>
      </w:r>
      <w:r w:rsidR="006F07A1" w:rsidRPr="002E2B9C">
        <w:rPr>
          <w:i/>
          <w:iCs/>
        </w:rPr>
        <w:t xml:space="preserve">. </w:t>
      </w:r>
      <w:r w:rsidR="006F07A1" w:rsidRPr="002E2B9C">
        <w:t xml:space="preserve">This includes </w:t>
      </w:r>
      <w:r w:rsidR="006F07A1" w:rsidRPr="002E2B9C">
        <w:rPr>
          <w:rStyle w:val="Emphasis"/>
          <w:rFonts w:eastAsiaTheme="majorEastAsia"/>
          <w:i w:val="0"/>
          <w:iCs w:val="0"/>
        </w:rPr>
        <w:t xml:space="preserve">the </w:t>
      </w:r>
      <w:r w:rsidR="006F07A1" w:rsidRPr="002E2B9C">
        <w:t xml:space="preserve">synthesis of monounsaturated fatty acids </w:t>
      </w:r>
      <w:r w:rsidR="006F07A1" w:rsidRPr="002E2B9C">
        <w:fldChar w:fldCharType="begin"/>
      </w:r>
      <w:r w:rsidR="006A4942">
        <w:instrText xml:space="preserve"> ADDIN ZOTERO_ITEM CSL_CITATION {"citationID":"mhDvr5M0","properties":{"formattedCitation":"({\\i{}77})","plainCitation":"(77)","noteIndex":0},"citationItems":[{"id":3176,"uris":["http://zotero.org/users/13901503/items/HTMPX6GE"],"itemData":{"id":3176,"type":"article-journal","abstract":"Monocytes are a major population of circulating immune cells that play a crucial role in producing pro-inflammatory cytokines in the body. The actions of monocytes are known to be influenced by the combinations and concentrations of certain fatty acids (FAs) in blood and dietary fats. However, systemic comparisons of the effects of FAs on cytokine secretion by monocytes have not be performed. In this study, we compared how six saturated FAs (SFAs), two monounsaturated FAs (MUFAs), and seven polyunsaturated FAs (PUFAs) modulate human THP-1 monocyte secretion of TNF, IL-1β, and IL-6 in the absence or presence of lipopolysaccharide. SFAs generally stimulated resting THP-1 cells to secrete pro-inflammatory cytokines, with stearic acid being the most potent species. In contrast, MUFAs and PUFAs inhibited lipopolysaccharide-induced secretion of pro-inflammatory cytokines. Interestingly, the inhibitory potentials of MUFAs and PUFAs followed U-shaped (TNF and IL-1β) or inverted U-shaped (IL-6) dose–response curves. Among the MUFAs and PUFAs that were analyzed, docosahexaenoic acid (C22:6 n-3) exhibited the largest number of double bonds and was found to be the most potent anti-inflammatory compound. Together, our findings reveal that the chemical compositions and concentrations of dietary FAs are key factors in the intricate regulation of monocyte-mediated inflammation.","container-title":"Scientific Reports","DOI":"10.1038/s41598-023-32710-5","ISSN":"2045-2322","issue":"1","journalAbbreviation":"Sci Rep","language":"en","license":"2023 The Author(s)","note":"publisher: Nature Publishing Group","page":"5511","source":"www.nature.com","title":"Dietary fatty acids differentially affect secretion of pro-inflammatory cytokines in human THP-1 monocytes","volume":"13","author":[{"family":"Hung","given":"Hao-Chang"},{"family":"Tsai","given":"Sheng-Feng"},{"family":"Chou","given":"Hsuan-Wen"},{"family":"Tsai","given":"Ming-Jun"},{"family":"Hsu","given":"Pei-Ling"},{"family":"Kuo","given":"Yu-Min"}],"issued":{"date-parts":[["2023",4,4]]}}}],"schema":"https://github.com/citation-style-language/schema/raw/master/csl-citation.json"} </w:instrText>
      </w:r>
      <w:r w:rsidR="006F07A1" w:rsidRPr="002E2B9C">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77</w:t>
      </w:r>
      <w:r w:rsidR="006A4942" w:rsidRPr="006A4942">
        <w:rPr>
          <w:rFonts w:eastAsiaTheme="minorHAnsi"/>
          <w14:ligatures w14:val="standardContextual"/>
        </w:rPr>
        <w:t>)</w:t>
      </w:r>
      <w:r w:rsidR="006F07A1" w:rsidRPr="002E2B9C">
        <w:fldChar w:fldCharType="end"/>
      </w:r>
      <w:r w:rsidR="006F07A1" w:rsidRPr="002E2B9C">
        <w:t xml:space="preserve"> and tryptophan, a compound primarily synthesized by obligate anaerobes </w:t>
      </w:r>
      <w:r w:rsidR="006F07A1" w:rsidRPr="002E2B9C">
        <w:fldChar w:fldCharType="begin"/>
      </w:r>
      <w:r w:rsidR="006A4942">
        <w:instrText xml:space="preserve"> ADDIN ZOTERO_ITEM CSL_CITATION {"citationID":"0vbqoJY6","properties":{"formattedCitation":"({\\i{}109}, {\\i{}110})","plainCitation":"(109, 110)","noteIndex":0},"citationItems":[{"id":3659,"uris":["http://zotero.org/users/13901503/items/WFUC2V8A"],"itemData":{"id":3659,"type":"article-journal","abstract":"A pathway for the production of aromatic amino acid metabolites in Clostridium sporogenes is described; modulation of serum levels of these metabolites in gnotobiotic mice affects intestinal permeability and systemic immunity.","container-title":"Nature","DOI":"10.1038/nature24661","ISSN":"1476-4687","issue":"7682","language":"en","license":"2017 Macmillan Publishers Limited, part of Springer Nature. All rights reserved.","note":"publisher: Nature Publishing Group","page":"648-652","source":"www-nature-com.proxy.lib.umich.edu","title":"A gut bacterial pathway metabolizes aromatic amino acids into nine circulating metabolites","volume":"551","author":[{"family":"Dodd","given":"Dylan"},{"family":"Spitzer","given":"Matthew H."},{"family":"Van Treuren","given":"William"},{"family":"Merrill","given":"Bryan D."},{"family":"Hryckowian","given":"Andrew J."},{"family":"Higginbottom","given":"Steven K."},{"family":"Le","given":"Anthony"},{"family":"Cowan","given":"Tina M."},{"family":"Nolan","given":"Garry P."},{"family":"Fischbach","given":"Michael A."},{"family":"Sonnenburg","given":"Justin L."}],"issued":{"date-parts":[["2017",11]]}}},{"id":3657,"uris":["http://zotero.org/users/13901503/items/6BWMVY9X"],"itemData":{"id":3657,"type":"article-journal","container-title":"Immunity","DOI":"10.1016/j.immuni.2013.08.003","ISSN":"1074-7613","issue":"2","journalAbbreviation":"Immunity","language":"English","note":"publisher: Elsevier","page":"372-385","source":"www-cell-com.proxy.lib.umich.edu","title":"Tryptophan Catabolites from Microbiota Engage Aryl Hydrocarbon Receptor and Balance Mucosal Reactivity via Interleukin-22","volume":"39","author":[{"family":"Zelante","given":"Teresa"},{"family":"Iannitti","given":"Rossana G."},{"family":"Cunha","given":"Cristina"},{"family":"De Luca","given":"Antonella"},{"family":"Giovannini","given":"Gloria"},{"family":"Pieraccini","given":"Giuseppe"},{"family":"Zecchi","given":"Riccardo"},{"family":"D’Angelo","given":"Carmen"},{"family":"Massi-Benedetti","given":"Cristina"},{"family":"Fallarino","given":"Francesca"},{"family":"Carvalho","given":"Agostinho"},{"family":"Puccetti","given":"Paolo"},{"family":"Romani","given":"Luigina"}],"issued":{"date-parts":[["2013",8,22]]}}}],"schema":"https://github.com/citation-style-language/schema/raw/master/csl-citation.json"} </w:instrText>
      </w:r>
      <w:r w:rsidR="006F07A1" w:rsidRPr="002E2B9C">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109</w:t>
      </w:r>
      <w:r w:rsidR="006A4942" w:rsidRPr="006A4942">
        <w:rPr>
          <w:rFonts w:eastAsiaTheme="minorHAnsi"/>
          <w14:ligatures w14:val="standardContextual"/>
        </w:rPr>
        <w:t xml:space="preserve">, </w:t>
      </w:r>
      <w:r w:rsidR="006A4942" w:rsidRPr="006A4942">
        <w:rPr>
          <w:rFonts w:eastAsiaTheme="minorHAnsi"/>
          <w:i/>
          <w:iCs/>
          <w14:ligatures w14:val="standardContextual"/>
        </w:rPr>
        <w:t>110</w:t>
      </w:r>
      <w:r w:rsidR="006A4942" w:rsidRPr="006A4942">
        <w:rPr>
          <w:rFonts w:eastAsiaTheme="minorHAnsi"/>
          <w14:ligatures w14:val="standardContextual"/>
        </w:rPr>
        <w:t>)</w:t>
      </w:r>
      <w:r w:rsidR="006F07A1" w:rsidRPr="002E2B9C">
        <w:fldChar w:fldCharType="end"/>
      </w:r>
      <w:r w:rsidR="006F07A1" w:rsidRPr="002E2B9C">
        <w:t xml:space="preserve"> (Fig 5A &amp; B). </w:t>
      </w:r>
      <w:r w:rsidR="004F5B78" w:rsidRPr="002E2B9C">
        <w:t>Conversely, h</w:t>
      </w:r>
      <w:r w:rsidR="006F07A1" w:rsidRPr="002E2B9C">
        <w:t xml:space="preserve">igh neopterin </w:t>
      </w:r>
      <w:r w:rsidR="00950571" w:rsidRPr="002E2B9C">
        <w:t>could also</w:t>
      </w:r>
      <w:r w:rsidR="006F07A1" w:rsidRPr="002E2B9C">
        <w:t xml:space="preserve"> contribute to a stronger decline in obligate anaerobes at high temperatures</w:t>
      </w:r>
      <w:r w:rsidR="004F5B78" w:rsidRPr="002E2B9C">
        <w:t xml:space="preserve">, likely because increased macrophage activity exacerbates heat-driven redox imbalance. </w:t>
      </w:r>
      <w:r w:rsidR="00950571" w:rsidRPr="002E2B9C">
        <w:t>T</w:t>
      </w:r>
      <w:r w:rsidR="006F07A1" w:rsidRPr="002E2B9C">
        <w:t xml:space="preserve">axa that exhibit stronger declines when neopterin is high are primarily from the </w:t>
      </w:r>
      <w:proofErr w:type="spellStart"/>
      <w:r w:rsidR="006F07A1" w:rsidRPr="002E2B9C">
        <w:t>Bacteroidota</w:t>
      </w:r>
      <w:proofErr w:type="spellEnd"/>
      <w:r w:rsidR="006F07A1" w:rsidRPr="002E2B9C">
        <w:t xml:space="preserve"> and Firmicutes phyla, which include many obligate anaerobes (Fig 4A). We also observed a stronger decline in pathways commonly associated with obligate anaerobes including complex carb fermentation </w:t>
      </w:r>
      <w:r w:rsidR="006F07A1" w:rsidRPr="002E2B9C">
        <w:rPr>
          <w:rStyle w:val="Strong"/>
          <w:rFonts w:eastAsiaTheme="majorEastAsia"/>
          <w:b w:val="0"/>
          <w:bCs w:val="0"/>
        </w:rPr>
        <w:fldChar w:fldCharType="begin"/>
      </w:r>
      <w:r w:rsidR="006F07A1" w:rsidRPr="002E2B9C">
        <w:rPr>
          <w:rStyle w:val="Strong"/>
          <w:rFonts w:eastAsiaTheme="majorEastAsia"/>
        </w:rPr>
        <w:instrText xml:space="preserve"> ADDIN ZOTERO_ITEM CSL_CITATION {"citationID":"tuESI0A9","properties":{"formattedCitation":"({\\i{}37})","plainCitation":"(37)","noteIndex":0},"citationItems":[{"id":3409,"uris":["http://zotero.org/users/13901503/items/73VRZX5M"],"itemData":{"id":3409,"type":"article-journal","abstract":"Bacteria that colonize the mammalian intestine collectively possess a far larger repertoire of degradative enzymes and metabolic capabilities than their hosts. Microbial fermentation of complex non-digestible dietary carbohydrates and host–derived glycans in the human intestine has important consequences for health. Certain dominant species, notably among the Bacteroidetes, are known to possess very large numbers of genes that encode carbohydrate active enzymes and can switch readily between different energy sources in the gut depending on availability. Nevertheless, more nutritionally specialized bacteria appear to play critical roles in the community by initiating the degradation of complex substrates such as plant cell walls, starch particles and mucin. Examples are emerging from the Firmicutes, Actinobacteria and Verrucomicrobium phyla, but more information is needed on these little studied groups. The impact of dietary carbohydrates, including prebiotics, on human health requires understanding of the complex relationship between diet composition, the gut microbiota and metabolic outputs.","container-title":"Gut Microbes","DOI":"10.4161/gmic.19897","ISSN":"1949-0976","issue":"4","note":"publisher: Taylor &amp; Francis\n_eprint: https://doi.org/10.4161/gmic.19897\nPMID: 22572875","page":"289-306","source":"Taylor and Francis+NEJM","title":"Microbial degradation of complex carbohydrates in the gut","volume":"3","author":[{"family":"Flint","given":"Harry J."},{"family":"","given":"Scott ,Karen P."},{"family":"","given":"Duncan ,Sylvia H."},{"family":"","given":"Louis ,Petra"},{"family":"Forano","given":"Evelyne","non-dropping-particle":"and"}],"issued":{"date-parts":[["2012",7,14]]}}}],"schema":"https://github.com/citation-style-language/schema/raw/master/csl-citation.json"} </w:instrText>
      </w:r>
      <w:r w:rsidR="006F07A1" w:rsidRPr="002E2B9C">
        <w:rPr>
          <w:rStyle w:val="Strong"/>
          <w:rFonts w:eastAsiaTheme="majorEastAsia"/>
          <w:b w:val="0"/>
          <w:bCs w:val="0"/>
        </w:rPr>
        <w:fldChar w:fldCharType="separate"/>
      </w:r>
      <w:r w:rsidR="006F07A1" w:rsidRPr="002E2B9C">
        <w:t>(37)</w:t>
      </w:r>
      <w:r w:rsidR="006F07A1" w:rsidRPr="002E2B9C">
        <w:rPr>
          <w:rStyle w:val="Strong"/>
          <w:rFonts w:eastAsiaTheme="majorEastAsia"/>
          <w:b w:val="0"/>
          <w:bCs w:val="0"/>
        </w:rPr>
        <w:fldChar w:fldCharType="end"/>
      </w:r>
      <w:r w:rsidR="006F07A1" w:rsidRPr="002E2B9C">
        <w:rPr>
          <w:b/>
          <w:bCs/>
        </w:rPr>
        <w:t xml:space="preserve"> </w:t>
      </w:r>
      <w:r w:rsidR="006F07A1" w:rsidRPr="002E2B9C">
        <w:t xml:space="preserve">and Gram-positive cell wall biosynthesis characteristic of obligates from the Firmicutes </w:t>
      </w:r>
      <w:r w:rsidR="006F07A1" w:rsidRPr="002E2B9C">
        <w:rPr>
          <w:rStyle w:val="Strong"/>
          <w:rFonts w:eastAsiaTheme="majorEastAsia"/>
          <w:b w:val="0"/>
          <w:bCs w:val="0"/>
        </w:rPr>
        <w:t>phylum</w:t>
      </w:r>
      <w:r w:rsidR="006F07A1" w:rsidRPr="002E2B9C">
        <w:rPr>
          <w:rStyle w:val="Strong"/>
          <w:rFonts w:eastAsiaTheme="majorEastAsia"/>
        </w:rPr>
        <w:t xml:space="preserve"> </w:t>
      </w:r>
      <w:r w:rsidR="006F07A1" w:rsidRPr="002E2B9C">
        <w:rPr>
          <w:rStyle w:val="Strong"/>
          <w:rFonts w:eastAsiaTheme="majorEastAsia"/>
          <w:b w:val="0"/>
          <w:bCs w:val="0"/>
        </w:rPr>
        <w:fldChar w:fldCharType="begin"/>
      </w:r>
      <w:r w:rsidR="006A4942">
        <w:rPr>
          <w:rStyle w:val="Strong"/>
          <w:rFonts w:eastAsiaTheme="majorEastAsia"/>
        </w:rPr>
        <w:instrText xml:space="preserve"> ADDIN ZOTERO_ITEM CSL_CITATION {"citationID":"M9J7IkJO","properties":{"formattedCitation":"({\\i{}85})","plainCitation":"(85)","noteIndex":0},"citationItems":[{"id":3707,"uris":["http://zotero.org/users/13901503/items/DINXISI6"],"itemData":{"id":3707,"type":"article-journal","abstract":"The microorganisms that inhabit the human gastrointestinal tract comprise a complex ecosystem with functions that significantly contribute to our systemic metabolism and have an impact on health and disease. In line with its importance, the human gastrointestinal microbiota has been extensively studied. Despite the fact that a significant part of the intestinal microorganisms has not yet been cultured, presently over 1000 different microbial species that can reside in the human gastrointestinal tract have been identified. This review provides a systematic overview and detailed references of the total of 1057 intestinal species of Eukarya (92), Archaea (8) and Bacteria (957), based on the phylogenetic framework of their small subunit ribosomal RNA gene sequences. Moreover, it unifies knowledge about the prevalence, abundance, stability, physiology, genetics and the association with human health of these gastrointestinal microorganisms, which is currently scattered over a vast amount of literature published in the last 150 years. This detailed physiological and genetic information is expected to be instrumental in advancing our knowledge of the gastrointestinal microbiota. Moreover, it opens avenues for future comparative and functional metagenomic and other high-throughput approaches that need a systematic and physiological basis to have an impact.","container-title":"FEMS Microbiology Reviews","DOI":"10.1111/1574-6976.12075","ISSN":"0168-6445","issue":"5","journalAbbreviation":"FEMS Microbiology Reviews","page":"996-1047","source":"Silverchair","title":"The first 1000 cultured species of the human gastrointestinal microbiota","volume":"38","author":[{"family":"Rajilić-Stojanović","given":"Mirjana"},{"family":"Vos","given":"Willem M.","non-dropping-particle":"de"}],"issued":{"date-parts":[["2014",9,1]]}}}],"schema":"https://github.com/citation-style-language/schema/raw/master/csl-citation.json"} </w:instrText>
      </w:r>
      <w:r w:rsidR="006F07A1" w:rsidRPr="002E2B9C">
        <w:rPr>
          <w:rStyle w:val="Strong"/>
          <w:rFonts w:eastAsiaTheme="majorEastAsia"/>
          <w:b w:val="0"/>
          <w:bCs w:val="0"/>
        </w:rPr>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85</w:t>
      </w:r>
      <w:r w:rsidR="006A4942" w:rsidRPr="006A4942">
        <w:rPr>
          <w:rFonts w:eastAsiaTheme="minorHAnsi"/>
          <w14:ligatures w14:val="standardContextual"/>
        </w:rPr>
        <w:t>)</w:t>
      </w:r>
      <w:r w:rsidR="006F07A1" w:rsidRPr="002E2B9C">
        <w:rPr>
          <w:rStyle w:val="Strong"/>
          <w:rFonts w:eastAsiaTheme="majorEastAsia"/>
          <w:b w:val="0"/>
          <w:bCs w:val="0"/>
        </w:rPr>
        <w:fldChar w:fldCharType="end"/>
      </w:r>
      <w:r w:rsidR="006F07A1" w:rsidRPr="002E2B9C">
        <w:rPr>
          <w:rStyle w:val="Strong"/>
          <w:rFonts w:eastAsiaTheme="majorEastAsia"/>
        </w:rPr>
        <w:t>(</w:t>
      </w:r>
      <w:r w:rsidR="006F07A1" w:rsidRPr="002E2B9C">
        <w:t>Fig 5A).</w:t>
      </w:r>
      <w:r w:rsidR="00804D7A">
        <w:t xml:space="preserve"> </w:t>
      </w:r>
    </w:p>
    <w:p w14:paraId="06326755" w14:textId="1DC90DD2" w:rsidR="00992CB0" w:rsidRDefault="004F5B78" w:rsidP="00190DE4">
      <w:pPr>
        <w:ind w:firstLine="720"/>
      </w:pPr>
      <w:r>
        <w:t xml:space="preserve">In contrast, facultative anaerobes may be more resilient to these conditions. </w:t>
      </w:r>
      <w:r w:rsidR="00F06D13">
        <w:t xml:space="preserve">For example, </w:t>
      </w:r>
      <w:r w:rsidR="00F06D13" w:rsidRPr="00F06D13">
        <w:rPr>
          <w:rStyle w:val="Strong"/>
          <w:rFonts w:eastAsiaTheme="majorEastAsia"/>
          <w:b w:val="0"/>
          <w:bCs w:val="0"/>
          <w:i/>
          <w:iCs/>
        </w:rPr>
        <w:t>Helicobacteraceae</w:t>
      </w:r>
      <w:r w:rsidR="00F06D13" w:rsidRPr="00455FE7">
        <w:t xml:space="preserve"> </w:t>
      </w:r>
      <w:r w:rsidR="00F06D13">
        <w:t>exhibits a stronger increase in abundance when neopterin is high (Fig 4B), suggesting they are better able to tolerate redox imbalance, and may exploit niches vacated by the loss of obligates. Similarly, several pathways commonly associated with facultative anaerobes exhibit a stronger increase at high neopterin levels and may help these taxa actively respond to changes in the gut environment (Fig 5D). For example, the glyoxylate cycle and Rubisco shunt both increase under high neopterin, which likely supports energy conservation</w:t>
      </w:r>
      <w:r w:rsidR="00F06D13" w:rsidRPr="009647C8">
        <w:t xml:space="preserve"> </w:t>
      </w:r>
      <w:r w:rsidR="00F06D13">
        <w:t xml:space="preserve">under oxygen and energy-limited conditions </w:t>
      </w:r>
      <w:r w:rsidR="00F06D13">
        <w:fldChar w:fldCharType="begin"/>
      </w:r>
      <w:r w:rsidR="006A4942">
        <w:instrText xml:space="preserve"> ADDIN ZOTERO_ITEM CSL_CITATION {"citationID":"PvilTIb8","properties":{"formattedCitation":"({\\i{}86}, {\\i{}87})","plainCitation":"(86, 87)","noteIndex":0},"citationItems":[{"id":3666,"uris":["http://zotero.org/users/13901503/items/787C6UND"],"itemData":{"id":3666,"type":"article-journal","abstract":"&lt;p&gt;The glyoxylate shunt (GS) is a two-step metabolic pathway (isocitrate lyase, &lt;i&gt;aceA&lt;/i&gt;; and malate synthase, &lt;i&gt;glcB&lt;/i&gt;) that serves as an alternative to the tricarboxylic acid cycle. The GS bypasses the carbon dioxide-producing steps of the tricarboxylic acid cycle and is essential for acetate and fatty acid metabolism in bacteria. GS can be up-regulated under conditions of oxidative stress, antibiotic stress, and host infection, which implies that it plays important but poorly explored roles in stress defense and pathogenesis. In many bacterial species, including &lt;i&gt;Pseudomonas aeruginosa&lt;/i&gt;, &lt;i&gt;aceA&lt;/i&gt; and &lt;i&gt;glcB&lt;/i&gt; are not in an operon, unlike in &lt;i&gt;Escherichia coli&lt;/i&gt;. In &lt;i&gt;P. aeruginosa&lt;/i&gt;, we explored relationships between GS genes and growth, transcription profiles, and biofilm formation. Contrary to our expectations, deletion of &lt;i&gt;aceA&lt;/i&gt; in &lt;i&gt;P. aeruginosa&lt;/i&gt; improved cell growth under conditions of oxidative and antibiotic stress. Transcriptome data suggested that &lt;i&gt;aceA&lt;/i&gt; mutants underwent a metabolic shift toward aerobic denitrification; this was supported by additional evidence, including up-regulation of denitrification-related genes, decreased oxygen consumption without lowering ATP yield, increased production of denitrification intermediates (NO and N&lt;sub&gt;2&lt;/sub&gt;O), and increased cyanide resistance. The &lt;i&gt;aceA&lt;/i&gt; mutants also produced a thicker exopolysaccharide layer; that is, a phenotype consistent with aerobic denitrification. A bioinformatic survey across known bacterial genomes showed that only microorganisms capable of aerobic metabolism possess the glyoxylate shunt. This trend is consistent with the hypothesis that the GS plays a previously unrecognized role in allowing bacteria to tolerate oxidative stress.&lt;/p&gt;","container-title":"Journal of Biological Chemistry","DOI":"10.1074/jbc.M115.708149","ISSN":"0021-9258, 1083-351X","issue":"22","journalAbbreviation":"Journal of Biological Chemistry","language":"English","note":"publisher: Elsevier","page":"11928-11938","source":"www-jbc-org.proxy.lib.umich.edu","title":"Role of Glyoxylate Shunt in Oxidative Stress Response","volume":"291","author":[{"family":"Ahn","given":"Sungeun"},{"family":"Jung","given":"Jaejoon"},{"family":"Jang","given":"In-Ae"},{"family":"Madsen","given":"Eugene L."},{"family":"Park","given":"Woojun"}],"issued":{"date-parts":[["2016",5,27]]}}},{"id":3661,"uris":["http://zotero.org/users/13901503/items/7EH7QSRX"],"itemData":{"id":3661,"type":"article-journal","abstract":"Rubisco is the predominant enzymatic mechanism in the biosphere by which autotrophic bacteria, algae, and terrestrial plants fix CO2 into organic biomass via the Calvin–Benson–Basham reductive pentose phosphate pathway. Rubisco is not a perfect catalyst, suffering from low turnover rates, a low affinity for its CO2 substrate, and a competitive inhibition by O2 as an alternative substrate. As a consequence of changing environmental conditions over the past 3.5 billion years, with decreasing CO2 and increasing O2 in the atmosphere, Rubisco has evolved into multiple enzymatic forms with a range of kinetic properties, as well as co-evolving with CO2-concentrating mechanisms to cope with the different environmental contexts in which it must operate. The most dramatic evidence of this is the occurrence of multiple forms of Rubisco within autotrophic proteobacteria, where Forms II, IC, IBc, IAc, and IAq can be found either singly or in multiple combinations within a particular bacterial genome. Over the past few years there has been increasing availability of genomic sequence data for bacteria and this has allowed us to gain more extensive insights into the functional significance of this diversification. This paper is focused on summarizing what is known about the diversity of Rubisco forms, their kinetic properties, development of bacterial CO2-concentrating mechanisms, and correlations with metabolic flexibility and inorganic carbon environments in which proteobacteria perform various types of obligate and facultative chemo- and photoautotrophic CO2 fixation.","container-title":"Journal of Experimental Botany","DOI":"10.1093/jxb/erm297","ISSN":"0022-0957","issue":"7","journalAbbreviation":"Journal of Experimental Botany","page":"1525-1541","source":"Silverchair","title":"Multiple Rubisco forms in proteobacteria: their functional significance in relation to CO2 acquisition by the CBB cycle","title-short":"Multiple Rubisco forms in proteobacteria","volume":"59","author":[{"family":"Badger","given":"Murray Ronald"},{"family":"Bek","given":"Emily Jane"}],"issued":{"date-parts":[["2008",5,1]]}}}],"schema":"https://github.com/citation-style-language/schema/raw/master/csl-citation.json"} </w:instrText>
      </w:r>
      <w:r w:rsidR="00F06D13">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86</w:t>
      </w:r>
      <w:r w:rsidR="006A4942" w:rsidRPr="006A4942">
        <w:rPr>
          <w:rFonts w:eastAsiaTheme="minorHAnsi"/>
          <w14:ligatures w14:val="standardContextual"/>
        </w:rPr>
        <w:t xml:space="preserve">, </w:t>
      </w:r>
      <w:r w:rsidR="006A4942" w:rsidRPr="006A4942">
        <w:rPr>
          <w:rFonts w:eastAsiaTheme="minorHAnsi"/>
          <w:i/>
          <w:iCs/>
          <w14:ligatures w14:val="standardContextual"/>
        </w:rPr>
        <w:t>87</w:t>
      </w:r>
      <w:r w:rsidR="006A4942" w:rsidRPr="006A4942">
        <w:rPr>
          <w:rFonts w:eastAsiaTheme="minorHAnsi"/>
          <w14:ligatures w14:val="standardContextual"/>
        </w:rPr>
        <w:t>)</w:t>
      </w:r>
      <w:r w:rsidR="00F06D13">
        <w:fldChar w:fldCharType="end"/>
      </w:r>
      <w:r w:rsidR="00F06D13">
        <w:t xml:space="preserve">. In addition, redox maintenance </w:t>
      </w:r>
      <w:r w:rsidR="00F06D13" w:rsidRPr="002E2B9C">
        <w:t xml:space="preserve">pathways such as ubiquinone biosynthesis also increase which helps facultative anaerobes neutralize ROS </w:t>
      </w:r>
      <w:r w:rsidR="00F06D13" w:rsidRPr="002E2B9C">
        <w:fldChar w:fldCharType="begin"/>
      </w:r>
      <w:r w:rsidR="006A4942">
        <w:instrText xml:space="preserve"> ADDIN ZOTERO_ITEM CSL_CITATION {"citationID":"Fk5o5734","properties":{"formattedCitation":"({\\i{}88})","plainCitation":"(88)","noteIndex":0},"citationItems":[{"id":3665,"uris":["http://zotero.org/users/13901503/items/NVUGIX64"],"itemData":{"id":3665,"type":"article-journal","container-title":"Microbiology","DOI":"10.1099/mic.0.2007/006098-0","ISSN":"1350-0872, 1465-2080","issue":"6","language":"en","page":"1974-1980","source":"DOI.org (Crossref)","title":"Changes in the redox state and composition of the quinone pool of Escherichia coli during aerobic batch-culture growth","volume":"153","author":[{"family":"Bekker","given":"M"},{"family":"Kramer","given":"G"},{"family":"Hartog","given":"A. F"},{"family":"Wagner","given":"M. J"},{"family":"De Koster","given":"C. G"},{"family":"Hellingwerf","given":"K. J"},{"family":"Teixeira De Mattos","given":"M. J"}],"issued":{"date-parts":[["2007",6,1]]}}}],"schema":"https://github.com/citation-style-language/schema/raw/master/csl-citation.json"} </w:instrText>
      </w:r>
      <w:r w:rsidR="00F06D13" w:rsidRPr="002E2B9C">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88</w:t>
      </w:r>
      <w:r w:rsidR="006A4942" w:rsidRPr="006A4942">
        <w:rPr>
          <w:rFonts w:eastAsiaTheme="minorHAnsi"/>
          <w14:ligatures w14:val="standardContextual"/>
        </w:rPr>
        <w:t>)</w:t>
      </w:r>
      <w:r w:rsidR="00F06D13" w:rsidRPr="002E2B9C">
        <w:fldChar w:fldCharType="end"/>
      </w:r>
      <w:r w:rsidR="00F06D13" w:rsidRPr="002E2B9C">
        <w:t xml:space="preserve">. Synthesis of enterobacterial common antigen (ECA) also increases, which is characteristic of </w:t>
      </w:r>
      <w:r w:rsidR="00F06D13" w:rsidRPr="002E2B9C">
        <w:rPr>
          <w:i/>
          <w:iCs/>
        </w:rPr>
        <w:t>Enterobacteriaceae</w:t>
      </w:r>
      <w:r w:rsidR="00F06D13" w:rsidRPr="002E2B9C">
        <w:t xml:space="preserve"> </w:t>
      </w:r>
      <w:r w:rsidR="00F06D13" w:rsidRPr="002E2B9C">
        <w:fldChar w:fldCharType="begin"/>
      </w:r>
      <w:r w:rsidR="006A4942">
        <w:instrText xml:space="preserve"> ADDIN ZOTERO_ITEM CSL_CITATION {"citationID":"run2xhG6","properties":{"formattedCitation":"({\\i{}89})","plainCitation":"(89)","noteIndex":0},"citationItems":[{"id":3712,"uris":["http://zotero.org/users/13901503/items/S8VNSY7N"],"itemData":{"id":3712,"type":"article-journal","abstract":"Enterobacterial common antigen (ECA) is a family-specific surface antigen shared by all members of the Enterobacteriaceae and is restricted to this family. It is found in freshly isolated wild-type strains as well as in laboratory strains like Escherichia coli K-12. The family specificity of ECA can be used for taxonomic and diagnostic purposes. ECA is located in the outer leaflet of the outer membrane. It is a glycophospholipid built up by an aminosugar heteropolymer linked to an l-glycerophosphatidyl residue. In a few rough mutants, in addition, the sugar chain can be bound to the complete lipopolysaccharide (LPS) core. Recently, for Shigella sonnei a lipid-free cyclic form of ECA was reported. The genetical determination of ECA is closely related to that of lipopolysaccharide. For biosynthesis of ECA and LPS partly the same sugar precursors and the same carrier lipid is used.","container-title":"FEMS Microbiology Reviews","DOI":"10.1111/j.1574-6968.1988.tb02743.x","ISSN":"0168-6445","issue":"3","journalAbbreviation":"FEMS Microbiology Reviews","page":"195-222","source":"Silverchair","title":"ECA, the enterobacterial common antigen*","volume":"4","author":[{"family":"Kuhn","given":"Hella-Monika"},{"family":"Meier-Dieter","given":"Ursula"},{"family":"Mayer","given":"Hubert"}],"issued":{"date-parts":[["1988",9,1]]}}}],"schema":"https://github.com/citation-style-language/schema/raw/master/csl-citation.json"} </w:instrText>
      </w:r>
      <w:r w:rsidR="00F06D13" w:rsidRPr="002E2B9C">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89</w:t>
      </w:r>
      <w:r w:rsidR="006A4942" w:rsidRPr="006A4942">
        <w:rPr>
          <w:rFonts w:eastAsiaTheme="minorHAnsi"/>
          <w14:ligatures w14:val="standardContextual"/>
        </w:rPr>
        <w:t>)</w:t>
      </w:r>
      <w:r w:rsidR="00F06D13" w:rsidRPr="002E2B9C">
        <w:fldChar w:fldCharType="end"/>
      </w:r>
      <w:r w:rsidR="00F06D13" w:rsidRPr="002E2B9C">
        <w:t xml:space="preserve">. </w:t>
      </w:r>
      <w:r w:rsidRPr="002E2B9C">
        <w:t>Conversely, a</w:t>
      </w:r>
      <w:r w:rsidR="00F06D13" w:rsidRPr="002E2B9C">
        <w:t xml:space="preserve">n increase in facultative anaerobes at high temperatures could also affect host immunity. For example, lipid A synthesis, which is characteristic of many facultative taxa, increases at higher neopterin and forms pathogen-associated molecular patterns (PAMPs) that are recognized by Toll-like receptors (TLRs) and </w:t>
      </w:r>
      <w:r w:rsidR="00F06D13" w:rsidRPr="002E2B9C">
        <w:lastRenderedPageBreak/>
        <w:t xml:space="preserve">can initiate pro-inflammatory signaling </w:t>
      </w:r>
      <w:r w:rsidR="00F06D13" w:rsidRPr="002E2B9C">
        <w:fldChar w:fldCharType="begin"/>
      </w:r>
      <w:r w:rsidR="006A4942">
        <w:instrText xml:space="preserve"> ADDIN ZOTERO_ITEM CSL_CITATION {"citationID":"EGWGOe9I","properties":{"formattedCitation":"({\\i{}90})","plainCitation":"(90)","noteIndex":0},"citationItems":[{"id":3710,"uris":["http://zotero.org/users/13901503/items/7XBTXUWV"],"itemData":{"id":3710,"type":"article-journal","abstract":"Bacterial lipopolysaccharides (LPS) typically consist of a hydrophobic domain known as lipid A (or endotoxin), a nonrepeating “core” oligosaccharide, and a distal polysaccharide (or O-antigen). Recent genomic data have facilitated study of LPS assembly in diverse Gram-negative bacteria, many of which are human or plant pathogens, and have established the importance of lateral gene transfer in generating structural diversity of O-antigens. Many enzymes of lipid A biosynthesis like LpxC have been validated as targets for development of new antibiotics. Key genes for lipid A biosynthesis have unexpectedly also been found in higher plants, indicating that eukaryotic lipid A-like molecules may exist. Most significant has been the identification of the plasma membrane protein TLR4 as the lipid A signaling receptor of animal cells. TLR4 belongs to a family of innate immunity receptors that possess a large extracellular domain of leucine-rich repeats, a single trans-membrane segment, and a smaller cytoplasmic signaling region that engages the adaptor protein MyD88. The expanding knowledge of TLR4 specificity and its downstream signaling pathways should provide new opportunities for blocking inflammation associated with infection.","container-title":"Annual Review of Biochemistry","DOI":"10.1146/annurev.biochem.71.110601.135414","ISSN":"0066-4154","issue":"1","journalAbbreviation":"Annual Review of Biochemistry","language":"eng","note":"publisher: Annual Reviews Inc.","page":"635","source":"EBSCOhost","title":"Lipopolysaccharide endotoxins","volume":"71","author":[{"family":"Raetz","given":"Christian R. H."},{"family":"Whitfield","given":"Chris"}],"issued":{"date-parts":[["2002",7,1]]}}}],"schema":"https://github.com/citation-style-language/schema/raw/master/csl-citation.json"} </w:instrText>
      </w:r>
      <w:r w:rsidR="00F06D13" w:rsidRPr="002E2B9C">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90</w:t>
      </w:r>
      <w:r w:rsidR="006A4942" w:rsidRPr="006A4942">
        <w:rPr>
          <w:rFonts w:eastAsiaTheme="minorHAnsi"/>
          <w14:ligatures w14:val="standardContextual"/>
        </w:rPr>
        <w:t>)</w:t>
      </w:r>
      <w:r w:rsidR="00F06D13" w:rsidRPr="002E2B9C">
        <w:fldChar w:fldCharType="end"/>
      </w:r>
      <w:r w:rsidR="00F06D13" w:rsidRPr="002E2B9C">
        <w:t xml:space="preserve">(Fig 5D). </w:t>
      </w:r>
      <w:r w:rsidR="00F06D13" w:rsidRPr="002E2B9C">
        <w:rPr>
          <w:rStyle w:val="Emphasis"/>
          <w:rFonts w:eastAsiaTheme="majorEastAsia"/>
        </w:rPr>
        <w:t xml:space="preserve">Helicobacteraceae </w:t>
      </w:r>
      <w:r w:rsidR="00F06D13" w:rsidRPr="002E2B9C">
        <w:rPr>
          <w:rStyle w:val="Emphasis"/>
          <w:rFonts w:eastAsiaTheme="majorEastAsia"/>
          <w:i w:val="0"/>
          <w:iCs w:val="0"/>
        </w:rPr>
        <w:t>is also associated with</w:t>
      </w:r>
      <w:r w:rsidR="00F06D13">
        <w:rPr>
          <w:rStyle w:val="Emphasis"/>
          <w:rFonts w:eastAsiaTheme="majorEastAsia"/>
        </w:rPr>
        <w:t xml:space="preserve"> </w:t>
      </w:r>
      <w:r w:rsidR="00F06D13">
        <w:t xml:space="preserve">inflammatory diseases and may promote macrophage activation by damaging the gut epithelium and disrupting the mucosal barrier </w:t>
      </w:r>
      <w:r w:rsidR="00F06D13">
        <w:fldChar w:fldCharType="begin"/>
      </w:r>
      <w:r w:rsidR="006A4942">
        <w:instrText xml:space="preserve"> ADDIN ZOTERO_ITEM CSL_CITATION {"citationID":"cZJ2yfWg","properties":{"formattedCitation":"({\\i{}111})","plainCitation":"(111)","noteIndex":0},"citationItems":[{"id":3644,"uris":["http://zotero.org/users/13901503/items/GZ2VQ6TK"],"itemData":{"id":3644,"type":"article-journal","abstract":"Abstract: Helicobacter pylori (H. pylori) has been considered as an important pathogen of gastroduodenal inflammation and gastric carcinogenesis. However, the pathogenic mechanisms including H. pylori-induced apoptosis and subsequent molecular mechanisms have not been clarified yet. The present study examined the role of Bcl-2 and its relation to NF-κB in H. pylori-induced apoptosis in human gastric epithelial AGS cells. AGS cells were cultured in the presence of H. pylori, at a bacterium/cell ratio of 300:1, for the determination of apoptosis, NF-κB activation with IkBa degradation, and Bcl-2 level. AGS cells were transfected with a control vector (pCMV cells) or a full-length human Bcl-2 expression vector (Bcl-2 cells). H. pylori-induced apoptosis and NF-κB activation were compared in the wild-type cells and the transfected cells. As a result, H. pylori increased apoptotic cells with chromatin condensation and reduced Bcl-2 levels, which were accompanied with NF-κB activation. H. pylori induced sixfold increase in the number of apoptotic cells in wild-type cells and pCMV cells. H. pylori-induced increment of apoptotic cells were relatively lower in Bcl-2 cells than pCMV cells. H. pylori-induced NF-κB activation and IkBa degradation were not different in the wild-type cells, pCMV cells, and Bcl-2 cells. In conclusion, the reduced gastric Bcl-2 level may be the main pathogenic mechanism of H. pylori-induced apoptosis in gastric epithelial cells.","container-title":"Annals of the New York Academy of Sciences","DOI":"10.1196/annals.1299.106","ISSN":"1749-6632","issue":"1","language":"en","note":"_eprint: https://onlinelibrary.wiley.com/doi/pdf/10.1196/annals.1299.106","page":"568-572","source":"Wiley Online Library","title":"NF-κB and Bcl-2 in Helicobacter pylori-Induced Apoptosis in Gastric Epithelial Cells","volume":"1010","author":[{"family":"Chu","given":"Sang Hui"},{"family":"Lim","given":"Joo Weon"},{"family":"Kim","given":"Kyung Hwan"},{"family":"Kim","given":"Hyeyoung"}],"issued":{"date-parts":[["2003"]]}}}],"schema":"https://github.com/citation-style-language/schema/raw/master/csl-citation.json"} </w:instrText>
      </w:r>
      <w:r w:rsidR="00F06D13">
        <w:fldChar w:fldCharType="separate"/>
      </w:r>
      <w:r w:rsidR="006A4942" w:rsidRPr="006A4942">
        <w:rPr>
          <w:rFonts w:eastAsiaTheme="minorHAnsi"/>
          <w14:ligatures w14:val="standardContextual"/>
        </w:rPr>
        <w:t>(</w:t>
      </w:r>
      <w:r w:rsidR="006A4942" w:rsidRPr="006A4942">
        <w:rPr>
          <w:rFonts w:eastAsiaTheme="minorHAnsi"/>
          <w:i/>
          <w:iCs/>
          <w14:ligatures w14:val="standardContextual"/>
        </w:rPr>
        <w:t>111</w:t>
      </w:r>
      <w:r w:rsidR="006A4942" w:rsidRPr="006A4942">
        <w:rPr>
          <w:rFonts w:eastAsiaTheme="minorHAnsi"/>
          <w14:ligatures w14:val="standardContextual"/>
        </w:rPr>
        <w:t>)</w:t>
      </w:r>
      <w:r w:rsidR="00F06D13">
        <w:fldChar w:fldCharType="end"/>
      </w:r>
      <w:r w:rsidR="00F06D13">
        <w:t>.</w:t>
      </w:r>
    </w:p>
    <w:p w14:paraId="651073F5" w14:textId="27057278" w:rsidR="00755D6C" w:rsidRDefault="00835F44" w:rsidP="00835F44">
      <w:pPr>
        <w:pStyle w:val="Bibliography"/>
        <w:ind w:left="0" w:firstLine="0"/>
      </w:pPr>
      <w:r w:rsidRPr="002E2B9C">
        <w:tab/>
      </w:r>
      <w:r w:rsidR="00992CB0" w:rsidRPr="002E2B9C">
        <w:t>Therefore, the decline of obligate anaerobes relative to facultative taxa at high temperatures may</w:t>
      </w:r>
      <w:r w:rsidR="000D1A59" w:rsidRPr="002E2B9C">
        <w:t xml:space="preserve"> </w:t>
      </w:r>
      <w:r w:rsidR="00992CB0" w:rsidRPr="002E2B9C">
        <w:t xml:space="preserve">drive, and be driven by, increased immune activity in the gut. </w:t>
      </w:r>
      <w:r w:rsidR="00190DE4" w:rsidRPr="002E2B9C">
        <w:t>Although we cannot conclude directionality, these findings suggest that gut–immune interactions are an integral component of the gut microbiome’s response to heat and may increase</w:t>
      </w:r>
      <w:r w:rsidR="00EB13C3" w:rsidRPr="002E2B9C">
        <w:t xml:space="preserve"> </w:t>
      </w:r>
      <w:r w:rsidR="00190DE4" w:rsidRPr="002E2B9C">
        <w:t>susceptibility to gut inflammation during prolonged high temperatures.</w:t>
      </w:r>
      <w:r w:rsidR="00755D6C" w:rsidRPr="002E2B9C">
        <w:t xml:space="preserve"> These results may also reflect physiological heat stress in the capuchins, given the observed relationship between taxonomic shifts and immune activity that mirrors experimental findings, and the potential inflammatory consequences of long-term heat exposure</w:t>
      </w:r>
      <w:r w:rsidR="00EB13C3" w:rsidRPr="002E2B9C">
        <w:t xml:space="preserve"> </w:t>
      </w:r>
      <w:r w:rsidR="00EB13C3" w:rsidRPr="002E2B9C">
        <w:fldChar w:fldCharType="begin"/>
      </w:r>
      <w:r w:rsidR="00EB13C3" w:rsidRPr="002E2B9C">
        <w:instrText xml:space="preserve"> ADDIN ZOTERO_ITEM CSL_CITATION {"citationID":"ClgI24bW","properties":{"formattedCitation":"({\\i{}16}, {\\i{}17}, {\\i{}19}, {\\i{}44})","plainCitation":"(16, 17, 19, 44)","noteIndex":0},"citationItems":[{"id":960,"uris":["http://zotero.org/users/13901503/items/KQS25QFF"],"itemData":{"id":960,"type":"article-journal","abstract":"Temperature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H."}],"issued":{"date-parts":[["2020",3,10]]}}},{"id":3108,"uris":["http://zotero.org/users/13901503/items/989JE4MX"],"itemData":{"id":3108,"type":"article-journal","abstract":"Abstract\n            \n              The microbiome has emerged as a new player on behavior, physiology and stress because of its significant effects on the brain-gut axis. The aim of this study was to increase our understanding of brain-gut function in dairy cows. We investigated the effects of a heat-stress (HS) environment and individual differences of heat sensitivity (IH) on bovine physiological characteristics and microbial composition. Results indicate that both HS and IH increased rectal temperature (RT) (\n              P\n               &lt; 0.05). An HS environment increased plasma, as well as milk cortisol and cytokines in plasma; however, it decreased plasma, and milk oxytocin, triiodothyronine, and thyroxine (\n              P\n               &lt; 0.05) levels. Exposure to an HS environment reduced the diversity of the fecal microbial population, and resulted in a higher expression of diseases, the environmental adaptation pathway, and the immune related pathway, whereas it lowered the expression of metabolic pathways (\n              P\n               &lt; 0.05). High heat sensitive cows have upregulated metabolisms, environmental adaptation and cellular process pathways, and a downregulated neurodegenerative disease pathway (\n              P\n               &lt; 0.05). Thus, we conclude that exposure to an HS environment modulates physiological characteristics, which may interplay with microbial activity, and in turn, alter the circulation levels of cytokines, implicating the role of the brain-gut axis in dairy cows. The HS environment affected physiological characteristics, cytokine levels, and microbial composition, but IH influenced RT and fecal microbial functions.","container-title":"Scientific Reports","DOI":"10.1038/s41598-018-32886-1","ISSN":"2045-2322","issue":"1","journalAbbreviation":"Sci Rep","language":"en","page":"14606","source":"DOI.org (Crossref)","title":"Exposure to heat-stress environment affects the physiology, circulation levels of cytokines, and microbiome in dairy cows","volume":"8","author":[{"family":"Chen","given":"Siyu"},{"family":"Wang","given":"Jian"},{"family":"Peng","given":"Dandan"},{"family":"Li","given":"Gan"},{"family":"Chen","given":"Jian"},{"family":"Gu","given":"Xianhong"}],"issued":{"date-parts":[["2018",10,2]]}}},{"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I."}],"issued":{"date-parts":[["2007",4,1]]}}},{"id":3059,"uris":["http://zotero.org/users/13901503/items/984DGQQS"],"itemData":{"id":3059,"type":"article-journal","abstract":"Recent studies indicate that heat stress pathophysiology is associated with intestinal barrier dysfunction, local and systemic inflammation, and gut dysbiosis. However, inconclusive results and a poor description of tissue-specific changes must be addressed to identify potential intervention targets against heat stress illness in growing calves. Therefore, the objective of this study was to evaluate components of the intestinal barrier, pro- and anti-inflammatory signals, and microbiota community composition in Holstein bull calves exposed to heat stress. Animals (mean age = 12 wk old; mean body weight = 122 kg) penned individually in temperature-controlled rooms were assigned to (1) thermoneutral conditions (constant room temperature at 19.5°C) and restricted offer of feed (TNR, n = 8), or (2) heat stress conditions (cycles of room temperatures ranging from 20 to 37.8°C) along with ad libitum offer of feed (HS, n = 8) for 7 d. Upon treatment completion, sections of the jejunum, ileum, and colon were collected and snap-frozen immediately to evaluate gene and protein expression, cytokine concentrations, and myeloperoxidase activity. Digesta aliquots of the ileum, colon, and rectum were collected to assess bacterial communities. Plasma was harvested on d 2, 5, and 7 to determine cytokine concentrations. Overall, results showed a section-specific effect of HS on intestinal integrity. Jejunal mRNA expression of TJP1 was decreased by 70.9% in HS relative to TNR calves. In agreement, jejunal expression of heat shock transcription factor-1 protein, a known tight junction protein expression regulator, decreased by 48% in HS calves. Jejunal analyses showed that HS decreased concentrations of IL-1α by 36.6% and tended to decrease the concentration of IL-17A. Conversely, HS elicited a 3.5-fold increase in jejunal concentration of anti-inflammatory IL-36 receptor antagonist. Plasma analysis of pro-inflammatory cytokines showed that IL-6 decreased by 51% in HS relative to TNR calves. Heat stress alteration of the large intestine bacterial communities was characterized by increased genus Butyrivibrio_3, a known butyrate-producing organism, and changes in bacteria metabolism of energy and AA. A strong positive correlation between the rectal temperature and pro-inflammatory Eggerthii spp. was detected in HS calves. In conclusion, this work indicates that HS impairs the intestinal barrier function of jejunum. The pro- and anti-inflammatory signal changes may be part of a broader response to restore intestinal homeostasis in jejunum. The changes in large intestine bacterial communities favoring butyrate-producing organisms (e.g., Butyrivibrio spp.) may be part of a successful response to maintain the integrity of the colonic mucosa of HS calves. The alteration of intestinal homeostasis should be the target for heat stress therapies to restore biological functions, and, thus highlights the relevance of this work.","container-title":"Journal of Dairy Science","DOI":"10.3168/jds.2023-23873","ISSN":"0022-0302","issue":"2","journalAbbreviation":"Journal of Dairy Science","page":"1175-1196","source":"ScienceDirect","title":"Heat stress–associated changes in the intestinal barrier, inflammatory signals, and microbiome communities in dairy calves","volume":"107","author":[{"family":"Yu","given":"Z."},{"family":"Cantet","given":"J. M."},{"family":"Paz","given":"H. A."},{"family":"Kaufman","given":"J. D."},{"family":"Orellano","given":"M. S."},{"family":"Ipharraguerre","given":"I. R."},{"family":"Ríus","given":"A. G."}],"issued":{"date-parts":[["2024",2,1]]}}}],"schema":"https://github.com/citation-style-language/schema/raw/master/csl-citation.json"} </w:instrText>
      </w:r>
      <w:r w:rsidR="00EB13C3" w:rsidRPr="002E2B9C">
        <w:fldChar w:fldCharType="separate"/>
      </w:r>
      <w:r w:rsidR="00EB13C3" w:rsidRPr="002E2B9C">
        <w:rPr>
          <w:rFonts w:eastAsiaTheme="minorHAnsi"/>
          <w14:ligatures w14:val="standardContextual"/>
        </w:rPr>
        <w:t>(</w:t>
      </w:r>
      <w:r w:rsidR="00EB13C3" w:rsidRPr="002E2B9C">
        <w:rPr>
          <w:rFonts w:eastAsiaTheme="minorHAnsi"/>
          <w:i/>
          <w:iCs/>
          <w14:ligatures w14:val="standardContextual"/>
        </w:rPr>
        <w:t>16</w:t>
      </w:r>
      <w:r w:rsidR="00EB13C3" w:rsidRPr="002E2B9C">
        <w:rPr>
          <w:rFonts w:eastAsiaTheme="minorHAnsi"/>
          <w14:ligatures w14:val="standardContextual"/>
        </w:rPr>
        <w:t xml:space="preserve">, </w:t>
      </w:r>
      <w:r w:rsidR="00EB13C3" w:rsidRPr="002E2B9C">
        <w:rPr>
          <w:rFonts w:eastAsiaTheme="minorHAnsi"/>
          <w:i/>
          <w:iCs/>
          <w14:ligatures w14:val="standardContextual"/>
        </w:rPr>
        <w:t>17</w:t>
      </w:r>
      <w:r w:rsidR="00EB13C3" w:rsidRPr="002E2B9C">
        <w:rPr>
          <w:rFonts w:eastAsiaTheme="minorHAnsi"/>
          <w14:ligatures w14:val="standardContextual"/>
        </w:rPr>
        <w:t xml:space="preserve">, </w:t>
      </w:r>
      <w:r w:rsidR="00EB13C3" w:rsidRPr="002E2B9C">
        <w:rPr>
          <w:rFonts w:eastAsiaTheme="minorHAnsi"/>
          <w:i/>
          <w:iCs/>
          <w14:ligatures w14:val="standardContextual"/>
        </w:rPr>
        <w:t>19</w:t>
      </w:r>
      <w:r w:rsidR="00EB13C3" w:rsidRPr="002E2B9C">
        <w:rPr>
          <w:rFonts w:eastAsiaTheme="minorHAnsi"/>
          <w14:ligatures w14:val="standardContextual"/>
        </w:rPr>
        <w:t xml:space="preserve">, </w:t>
      </w:r>
      <w:r w:rsidR="00EB13C3" w:rsidRPr="002E2B9C">
        <w:rPr>
          <w:rFonts w:eastAsiaTheme="minorHAnsi"/>
          <w:i/>
          <w:iCs/>
          <w14:ligatures w14:val="standardContextual"/>
        </w:rPr>
        <w:t>44</w:t>
      </w:r>
      <w:r w:rsidR="00EB13C3" w:rsidRPr="002E2B9C">
        <w:rPr>
          <w:rFonts w:eastAsiaTheme="minorHAnsi"/>
          <w14:ligatures w14:val="standardContextual"/>
        </w:rPr>
        <w:t>)</w:t>
      </w:r>
      <w:r w:rsidR="00EB13C3" w:rsidRPr="002E2B9C">
        <w:fldChar w:fldCharType="end"/>
      </w:r>
      <w:r w:rsidRPr="002E2B9C">
        <w:t xml:space="preserve">. </w:t>
      </w:r>
      <w:r w:rsidR="00755D6C" w:rsidRPr="002E2B9C">
        <w:t>Future work should incorporate additional immune biomarkers that directly assess inflammation, as neopterin primarily reflects macrophage activation and represents only one of the many mechanisms linking immunity and the gut microbiome.</w:t>
      </w:r>
      <w:r w:rsidR="004E622C" w:rsidRPr="002E2B9C">
        <w:t xml:space="preserve"> Continued research should </w:t>
      </w:r>
      <w:r w:rsidR="000D1A59" w:rsidRPr="002E2B9C">
        <w:t xml:space="preserve">also </w:t>
      </w:r>
      <w:r w:rsidR="004E622C" w:rsidRPr="002E2B9C">
        <w:t>assess whether these effects have measurable impacts on host health and fitness, providing critical insight into how climate warming may influence wildlife through gut–immune pathways.</w:t>
      </w:r>
    </w:p>
    <w:p w14:paraId="1558F915" w14:textId="77777777" w:rsidR="004E622C" w:rsidRDefault="004E622C" w:rsidP="004E622C">
      <w:r>
        <w:t xml:space="preserve">Conclusion: </w:t>
      </w:r>
    </w:p>
    <w:p w14:paraId="70E3AE2B" w14:textId="5EC3E600" w:rsidR="00E83647" w:rsidRDefault="004E622C" w:rsidP="00E83647">
      <w:r w:rsidRPr="002E2B9C">
        <w:t xml:space="preserve">Our results highlight the pivotal role of temperature in shaping the gut microbiome and its relationship with host immunity in a wild primate species. </w:t>
      </w:r>
      <w:r w:rsidR="00E83647" w:rsidRPr="002E2B9C">
        <w:t>Many of the observed taxonomic and metabolic shifts resemble those characteristic of experimentally induced heat stress, including declines in obligate anaerobes relative to facultative anaerobes, evidence of redox imbalance, and altered immunomodulatory functions, suggesting that the capuchins may be experiencing heat stress that could compromise essential microbiome functions. We also found that gut–immune interactions are linked to the gut microbiome’s response to heat and may increase susceptibility to gut inflammation during prolonged high temperatures. These results highlight the crucial role of temperature in shaping essential gut microbiome functions in a wild endotherm species and offer insight into how rising temperatures due to climate change may threaten species resilience through their microbiomes.</w:t>
      </w:r>
      <w:r w:rsidR="00E83647">
        <w:t xml:space="preserve"> </w:t>
      </w:r>
    </w:p>
    <w:p w14:paraId="41713197" w14:textId="77777777" w:rsidR="00CC61A6" w:rsidRDefault="00CC61A6" w:rsidP="00E83647"/>
    <w:p w14:paraId="716E300F" w14:textId="77777777" w:rsidR="006A4942" w:rsidRPr="00FD15B2" w:rsidRDefault="006A4942" w:rsidP="006A4942">
      <w:r w:rsidRPr="00FD15B2">
        <w:t xml:space="preserve">Methods: </w:t>
      </w:r>
    </w:p>
    <w:p w14:paraId="2B36AD68" w14:textId="77777777" w:rsidR="006A4942" w:rsidRDefault="006A4942" w:rsidP="006A4942">
      <w:pPr>
        <w:rPr>
          <w:u w:val="single"/>
        </w:rPr>
      </w:pPr>
      <w:r w:rsidRPr="00487A6E">
        <w:rPr>
          <w:u w:val="single"/>
        </w:rPr>
        <w:t xml:space="preserve">Site information and </w:t>
      </w:r>
      <w:r>
        <w:rPr>
          <w:u w:val="single"/>
        </w:rPr>
        <w:t>data</w:t>
      </w:r>
      <w:r w:rsidRPr="00487A6E">
        <w:rPr>
          <w:u w:val="single"/>
        </w:rPr>
        <w:t xml:space="preserve"> collection</w:t>
      </w:r>
    </w:p>
    <w:p w14:paraId="6BA72F4B" w14:textId="71779EA0" w:rsidR="006A4942" w:rsidRDefault="006A4942" w:rsidP="006A4942">
      <w:r>
        <w:t xml:space="preserve">We collected data from a wild population of </w:t>
      </w:r>
      <w:r w:rsidRPr="00487A6E">
        <w:rPr>
          <w:i/>
          <w:iCs/>
        </w:rPr>
        <w:t>C. imitator</w:t>
      </w:r>
      <w:r>
        <w:t xml:space="preserve"> living in the </w:t>
      </w:r>
      <w:proofErr w:type="spellStart"/>
      <w:r>
        <w:t>Taboga</w:t>
      </w:r>
      <w:proofErr w:type="spellEnd"/>
      <w:r>
        <w:t xml:space="preserve"> Forest reserve in </w:t>
      </w:r>
      <w:r w:rsidRPr="00EB2753">
        <w:t>Guanacaste</w:t>
      </w:r>
      <w:r>
        <w:t xml:space="preserve">, </w:t>
      </w:r>
      <w:r w:rsidRPr="00EB2753">
        <w:t>Northwestern Costa Rica</w:t>
      </w:r>
      <w:r>
        <w:t xml:space="preserve">. </w:t>
      </w:r>
      <w:r w:rsidRPr="00EB2753">
        <w:t xml:space="preserve">The </w:t>
      </w:r>
      <w:proofErr w:type="spellStart"/>
      <w:r w:rsidRPr="00EB2753">
        <w:t>Taboga</w:t>
      </w:r>
      <w:proofErr w:type="spellEnd"/>
      <w:r w:rsidRPr="00EB2753">
        <w:t xml:space="preserve"> Forest Reserve is a 516-ha tropical dry forest</w:t>
      </w:r>
      <w:r>
        <w:t xml:space="preserve"> fragment and forms an </w:t>
      </w:r>
      <w:r w:rsidRPr="00EB2753">
        <w:t xml:space="preserve">important piece of a fragmented biological corridor connecting the </w:t>
      </w:r>
      <w:proofErr w:type="spellStart"/>
      <w:r w:rsidRPr="00EB2753">
        <w:t>Tempisque</w:t>
      </w:r>
      <w:proofErr w:type="spellEnd"/>
      <w:r w:rsidRPr="00EB2753">
        <w:t xml:space="preserve"> River Basin to the Guanacaste Mountains</w:t>
      </w:r>
      <w:r>
        <w:t xml:space="preserve"> </w:t>
      </w:r>
      <w:r>
        <w:fldChar w:fldCharType="begin"/>
      </w:r>
      <w:r>
        <w:instrText xml:space="preserve"> ADDIN ZOTERO_ITEM CSL_CITATION {"citationID":"LCB9ZKPz","properties":{"formattedCitation":"({\\i{}57})","plainCitation":"(57)","noteIndex":0},"citationItems":[{"id":559,"uris":["http://zotero.org/users/13901503/items/Z3E2X5D7"],"itemData":{"id":559,"type":"article-journal","abstract":"Across the globe, primates are threatened by human activities. This is especially true for species found in tropical dry forests, which remain largely unprotected. Our ability to predict primate abundance in the face of human activity depends on different species' sensitivities as well as on the characteristics of the forest itself. We studied plant and primate distribution and abundance in the Taboga Forest, a 516-ha tropical dry forest surrounded by agricultural fields in northwestern Costa Rica. We found that the density of white-faced capuchins (Cebus capucinus) at Taboga is 2–6 times higher than reported for other long-term white-faced capuchin sites. Using plant transects, we also found relatively high species richness, diversity, and equitability compared with other tropical dry forests. Edge transects (i.e., within 100 m from the forest boundary) differed from interior transects in two ways: (a) tree species associated with dry forest succession were well-established in the edge and (b) canopy cover in the edge was maintained year-round, while the interior forest was deciduous. Sighting rates for capuchins were higher near water sources but did not vary between the edge and interior forest. For comparison, we also found the same to be true for the only other primate in the Taboga Forest, mantled howler monkeys (Alouatta palliata). Year-round access to water might explain why some primate species can flourish even alongside anthropogenic disturbance. Forest fragments like Taboga may support high densities of some species because they provide a mosaic of habitats and key resources that buffer adverse ecological conditions.","container-title":"American Journal of Primatology","DOI":"10.1002/ajp.23096","ISSN":"1098-2345","issue":"2","language":"en","license":"© 2020 Wiley Periodicals, Inc.","note":"_eprint: https://onlinelibrary.wiley.com/doi/pdf/10.1002/ajp.23096","page":"e23096","source":"Wiley Online Library","title":"High density of white-faced capuchins (Cebus capucinus) and habitat quality in the Taboga Forest of Costa Rica","volume":"82","author":[{"family":"Tinsley Johnson","given":"Elizabeth"},{"family":"Benítez","given":"Marcela E."},{"family":"Fuentes","given":"Alexander"},{"family":"McLean","given":"Celia R."},{"family":"Norford","given":"Ariek B."},{"family":"Ordoñez","given":"Juan Carlos"},{"family":"Beehner","given":"Jacinta C."},{"family":"Bergman","given":"Thore J."}],"issued":{"date-parts":[["2020"]]}}}],"schema":"https://github.com/citation-style-language/schema/raw/master/csl-citation.json"}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57</w:t>
      </w:r>
      <w:r w:rsidRPr="006A4942">
        <w:rPr>
          <w:rFonts w:eastAsiaTheme="minorHAnsi"/>
          <w14:ligatures w14:val="standardContextual"/>
        </w:rPr>
        <w:t>)</w:t>
      </w:r>
      <w:r>
        <w:fldChar w:fldCharType="end"/>
      </w:r>
      <w:r>
        <w:t xml:space="preserve">. The Capuchinos de </w:t>
      </w:r>
      <w:proofErr w:type="spellStart"/>
      <w:r>
        <w:t>Taboga</w:t>
      </w:r>
      <w:proofErr w:type="spellEnd"/>
      <w:r>
        <w:t xml:space="preserve"> Research project has collected daily behavioral and endocrine data on the three groups of white-faced capuchins since 2018. All individuals are individually identified and habituated to human presence. Individual age is calculated by birth date for individuals younger than 7 years of age; </w:t>
      </w:r>
      <w:r w:rsidRPr="00196F3A">
        <w:t xml:space="preserve">for individuals older than 7 years, age was estimated based on body condition by </w:t>
      </w:r>
      <w:r>
        <w:t>a field team member</w:t>
      </w:r>
      <w:r w:rsidRPr="00196F3A">
        <w:t xml:space="preserve"> (J.C.O.) with more than two decades of experience observing wild white-faced capuchins.</w:t>
      </w:r>
      <w:r w:rsidRPr="0003332A">
        <w:t xml:space="preserve"> </w:t>
      </w:r>
      <w:r>
        <w:t>A team of two or more trained field assistants collected data between 5:00 AM and 6:30 PM including detailed observations of feeding and foraging behavior using scan sampling. Scans occurred every 30 minutes for 10 minutes, where feeding and foraging observations of individually identified monkeys were recorded. Individuals were recorded multiple times in one scan if they were observed engaging with different food items. Plant food items were identified on the family or genus level.</w:t>
      </w:r>
    </w:p>
    <w:p w14:paraId="07CE3926" w14:textId="11074D99" w:rsidR="006A4942" w:rsidRPr="00AB188E" w:rsidRDefault="006A4942" w:rsidP="006A4942">
      <w:pPr>
        <w:ind w:firstLine="720"/>
        <w:rPr>
          <w:bCs/>
        </w:rPr>
      </w:pPr>
      <w:r>
        <w:lastRenderedPageBreak/>
        <w:t xml:space="preserve">Between September 2022 and July 2023, we </w:t>
      </w:r>
      <w:r w:rsidRPr="00196F3A">
        <w:t>opportunistically</w:t>
      </w:r>
      <w:r>
        <w:t xml:space="preserve"> collected fecal and urine samples</w:t>
      </w:r>
      <w:r w:rsidRPr="00522540">
        <w:t xml:space="preserve"> </w:t>
      </w:r>
      <w:r>
        <w:t xml:space="preserve">in conjunction with behavioral data. All samples were collected </w:t>
      </w:r>
      <w:r w:rsidRPr="00196F3A">
        <w:t xml:space="preserve">from </w:t>
      </w:r>
      <w:r>
        <w:t xml:space="preserve">identified </w:t>
      </w:r>
      <w:r w:rsidRPr="00196F3A">
        <w:t xml:space="preserve">individuals </w:t>
      </w:r>
      <w:r>
        <w:t>who</w:t>
      </w:r>
      <w:r w:rsidRPr="00196F3A">
        <w:t xml:space="preserve"> appeared healthy upon visual inspection</w:t>
      </w:r>
      <w:r>
        <w:t xml:space="preserve">. We placed fecal samples into 4 mL of 98% ethanol immediately after defecation </w:t>
      </w:r>
      <w:r>
        <w:fldChar w:fldCharType="begin"/>
      </w:r>
      <w:r>
        <w:instrText xml:space="preserve"> ADDIN ZOTERO_ITEM CSL_CITATION {"citationID":"WcH6RPHL","properties":{"formattedCitation":"({\\i{}112})","plainCitation":"(112)","noteIndex":0},"citationItems":[{"id":13,"uris":["http://zotero.org/users/13901503/items/PSP5FMHG"],"itemData":{"id":13,"type":"article-journal","abstract":"The gastrointestinal (GI) microbiome contributes significantly to host nutrition and health. However, relationships involving GI microbes, their hosts and host macrohabitats remain to be established. Here, we define clear patterns of variation in the GI microbiomes of six groups of Mexican black howler monkeys (Alouatta pigra) occupying a gradation of habitats including a continuous evergreen rainforest, an evergreen rainforest fragment, a continuous semi-deciduous forest and captivity. High throughput microbial 16S ribosomal RNA gene sequencing indicated that diversity, richness and composition of howler GI microbiomes varied with host habitat in relation to diet. Howlers occupying suboptimal habitats consumed less diverse diets and correspondingly had less diverse gut microbiomes. Quantitative real-time PCR also revealed a reduction in the number of genes related to butyrate production and hydrogen metabolism in the microbiomes of howlers occupying suboptimal habitats, which may impact host health.","container-title":"The ISME Journal","DOI":"10.1038/ismej.2013.16","ISSN":"1751-7370","issue":"7","journalAbbreviation":"ISME J","language":"en","license":"2013 International Society for Microbial Ecology","note":"publisher: Nature Publishing Group","page":"1344-1353","source":"www.nature.com","title":"Habitat degradation impacts black howler monkey (Alouatta pigra) gastrointestinal microbiomes","volume":"7","author":[{"family":"Amato","given":"Katherine R."},{"family":"Yeoman","given":"Carl J."},{"family":"Kent","given":"Angela"},{"family":"Righini","given":"Nicoletta"},{"family":"Carbonero","given":"Franck"},{"family":"Estrada","given":"Alejandro"},{"family":"Rex Gaskins","given":"H."},{"family":"Stumpf","given":"Rebecca M."},{"family":"Yildirim","given":"Suleyman"},{"family":"Torralba","given":"Manolito"},{"family":"Gillis","given":"Marcus"},{"family":"Wilson","given":"Brenda A."},{"family":"Nelson","given":"Karen E."},{"family":"White","given":"Bryan A."},{"family":"Leigh","given":"Steven R."}],"issued":{"date-parts":[["2013",7]]}}}],"schema":"https://github.com/citation-style-language/schema/raw/master/csl-citation.json"}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112</w:t>
      </w:r>
      <w:r w:rsidRPr="006A4942">
        <w:rPr>
          <w:rFonts w:eastAsiaTheme="minorHAnsi"/>
          <w14:ligatures w14:val="standardContextual"/>
        </w:rPr>
        <w:t>)</w:t>
      </w:r>
      <w:r>
        <w:fldChar w:fldCharType="end"/>
      </w:r>
      <w:r>
        <w:t xml:space="preserve">. To avoid contamination, we wore gloves and only collected feces that had not contacted the soil. We discarded feces contaminated with urine to prevent contamination from the urogenital microbiome </w:t>
      </w:r>
      <w:r>
        <w:rPr>
          <w:bCs/>
        </w:rPr>
        <w:fldChar w:fldCharType="begin"/>
      </w:r>
      <w:r>
        <w:rPr>
          <w:bCs/>
        </w:rPr>
        <w:instrText xml:space="preserve"> ADDIN ZOTERO_ITEM CSL_CITATION {"citationID":"AqOs0Bp6","properties":{"formattedCitation":"({\\i{}113})","plainCitation":"(113)","noteIndex":0},"citationItems":[{"id":1721,"uris":["http://zotero.org/users/13901503/items/EFIJNSWE"],"itemData":{"id":1721,"type":"article-journal","abstract":"Metagenomic analyses have indicated that the female bladder harbors an indigenous microbiota. However, there are few cultured reference strains with sequenced genomes available for functional and experimental analyses. Here we isolate and genome-sequence 149 bacterial strains from catheterized urine of 77 women. This culture collection spans 78 species, representing approximately two thirds of the bacterial diversity within the sampled bladders, including Proteobacteria, Actinobacteria, and Firmicutes. Detailed genomic and functional comparison of the bladder microbiota to the gastrointestinal and vaginal microbiotas demonstrates similar vaginal and bladder microbiota, with functional capacities that are distinct from those observed in the gastrointestinal microbiota. Whole-genome phylogenetic analysis of bacterial strains isolated from the vagina and bladder in the same women identifies highly similar Escherichia coli, Streptococcus anginosus, Lactobacillus iners, and Lactobacillus crispatus, suggesting an interlinked female urogenital microbiota that is not only limited to pathogens but is also characteristic of health-associated commensals.","container-title":"Nature Communications","DOI":"10.1038/s41467-018-03968-5","ISSN":"2041-1723","issue":"1","journalAbbreviation":"Nat Commun","language":"en","license":"2018 The Author(s)","note":"publisher: Nature Publishing Group","page":"1557","source":"www-nature-com.proxy.lib.umich.edu","title":"Culturing of female bladder bacteria reveals an interconnected urogenital microbiota","volume":"9","author":[{"family":"Thomas-White","given":"Krystal"},{"family":"Forster","given":"Samuel C."},{"family":"Kumar","given":"Nitin"},{"family":"Van Kuiken","given":"Michelle"},{"family":"Putonti","given":"Catherine"},{"family":"Stares","given":"Mark D."},{"family":"Hilt","given":"Evann E."},{"family":"Price","given":"Travis K."},{"family":"Wolfe","given":"Alan J."},{"family":"Lawley","given":"Trevor D."}],"issued":{"date-parts":[["2018",4,19]]}}}],"schema":"https://github.com/citation-style-language/schema/raw/master/csl-citation.json"} </w:instrText>
      </w:r>
      <w:r>
        <w:rPr>
          <w:bCs/>
        </w:rPr>
        <w:fldChar w:fldCharType="separate"/>
      </w:r>
      <w:r w:rsidRPr="006A4942">
        <w:rPr>
          <w:rFonts w:eastAsiaTheme="minorHAnsi"/>
          <w14:ligatures w14:val="standardContextual"/>
        </w:rPr>
        <w:t>(</w:t>
      </w:r>
      <w:r w:rsidRPr="006A4942">
        <w:rPr>
          <w:rFonts w:eastAsiaTheme="minorHAnsi"/>
          <w:i/>
          <w:iCs/>
          <w14:ligatures w14:val="standardContextual"/>
        </w:rPr>
        <w:t>113</w:t>
      </w:r>
      <w:r w:rsidRPr="006A4942">
        <w:rPr>
          <w:rFonts w:eastAsiaTheme="minorHAnsi"/>
          <w14:ligatures w14:val="standardContextual"/>
        </w:rPr>
        <w:t>)</w:t>
      </w:r>
      <w:r>
        <w:rPr>
          <w:bCs/>
        </w:rPr>
        <w:fldChar w:fldCharType="end"/>
      </w:r>
      <w:r>
        <w:rPr>
          <w:bCs/>
        </w:rPr>
        <w:t xml:space="preserve">. </w:t>
      </w:r>
      <w:r>
        <w:t xml:space="preserve">We collected urine samples using a clean catch method </w:t>
      </w:r>
      <w:r>
        <w:rPr>
          <w:bCs/>
        </w:rPr>
        <w:fldChar w:fldCharType="begin"/>
      </w:r>
      <w:r>
        <w:rPr>
          <w:bCs/>
        </w:rPr>
        <w:instrText xml:space="preserve"> ADDIN ZOTERO_ITEM CSL_CITATION {"citationID":"OT0mvtJ3","properties":{"formattedCitation":"({\\i{}54})","plainCitation":"(54)","noteIndex":0},"citationItems":[{"id":564,"uris":["http://zotero.org/users/13901503/items/C7T2JIHZ"],"itemData":{"id":564,"type":"article-journal","abstract":"Objectives The physical condition of females depends on access to resources, which vary over space and time. Assessing variation in physical condition can help identify factors affecting reproductive success, but noninvasive measurement is difficult in wild animals. Creatinine concentration relative to the specific gravity (i.e., density) of urine has promise for noninvasively quantifying the relative muscle mass (RMM) of wild primates. We verified the relationship between these urinary parameters for wild white-faced capuchin monkeys, and assessed temporal changes in the RMM of females across groups and between periods of high and low resource abundance. Materials and Methods We collected urine from 25 adult females in three groups across varying seasons at Sector Santa Rosa, Costa Rica. We measured the specific gravity and creatinine concentration of 692 samples and the effect of specific gravity on creatinine concentration. We used the residuals of this relationship to measure effects of group and season using mixed-effects models. Results Specific gravity significantly predicted creatinine concentration. Season, group membership and the interaction between these variables were significant predictors of residual creatinine variation. Specifically, RMM was higher during months with high fruit energy density, lower in one social group, and less variable among females in the smallest group. Discussion Our findings suggest that specific gravity and creatinine may be used as urinary parameters to make inferences about the RMM of capuchins. Using this technique, we infer that females experienced changes in muscle mass according to variation in resource energy availability and social group variation.","container-title":"American Journal of Physical Anthropology","DOI":"10.1002/ajpa.23239","ISSN":"1096-8644","issue":"4","language":"en","license":"© 2017 Wiley Periodicals, Inc.","note":"_eprint: https://onlinelibrary.wiley.com/doi/pdf/10.1002/ajpa.23239","page":"707-715","source":"Wiley Online Library","title":"Using urinary parameters to estimate seasonal variation in the physical condition of female white-faced capuchin monkeys (Cebus capucinus imitator)","volume":"163","author":[{"family":"Bergstrom","given":"Mackenzie L."},{"family":"Emery Thompson","given":"Melissa"},{"family":"Melin","given":"Amanda D."},{"family":"Fedigan","given":"Linda M."}],"issued":{"date-parts":[["2017"]]}}}],"schema":"https://github.com/citation-style-language/schema/raw/master/csl-citation.json"} </w:instrText>
      </w:r>
      <w:r>
        <w:rPr>
          <w:bCs/>
        </w:rPr>
        <w:fldChar w:fldCharType="separate"/>
      </w:r>
      <w:r w:rsidRPr="006A4942">
        <w:rPr>
          <w:rFonts w:eastAsiaTheme="minorHAnsi"/>
          <w14:ligatures w14:val="standardContextual"/>
        </w:rPr>
        <w:t>(</w:t>
      </w:r>
      <w:r w:rsidRPr="006A4942">
        <w:rPr>
          <w:rFonts w:eastAsiaTheme="minorHAnsi"/>
          <w:i/>
          <w:iCs/>
          <w14:ligatures w14:val="standardContextual"/>
        </w:rPr>
        <w:t>54</w:t>
      </w:r>
      <w:r w:rsidRPr="006A4942">
        <w:rPr>
          <w:rFonts w:eastAsiaTheme="minorHAnsi"/>
          <w14:ligatures w14:val="standardContextual"/>
        </w:rPr>
        <w:t>)</w:t>
      </w:r>
      <w:r>
        <w:rPr>
          <w:bCs/>
        </w:rPr>
        <w:fldChar w:fldCharType="end"/>
      </w:r>
      <w:r w:rsidRPr="00AB188E">
        <w:rPr>
          <w:bCs/>
        </w:rPr>
        <w:t xml:space="preserve"> </w:t>
      </w:r>
      <w:r w:rsidRPr="001771F9">
        <w:rPr>
          <w:bCs/>
        </w:rPr>
        <w:t>to avoid rainfall and fecal contamination</w:t>
      </w:r>
      <w:r>
        <w:rPr>
          <w:bCs/>
        </w:rPr>
        <w:t>.</w:t>
      </w:r>
      <w:r w:rsidRPr="00AB188E">
        <w:t xml:space="preserve"> </w:t>
      </w:r>
      <w:r>
        <w:t xml:space="preserve">We also collected urine from leaves or the ground if it appeared free of soil or fecal contamination. We immediately stored fecal and urine samples in a portable cooler and transferred them to a –20°F freezer at the end of each field day. We kept fecal samples under refrigeration until shipment to </w:t>
      </w:r>
      <w:r w:rsidRPr="00196F3A">
        <w:t xml:space="preserve">the </w:t>
      </w:r>
      <w:r w:rsidRPr="00196F3A">
        <w:rPr>
          <w:bCs/>
        </w:rPr>
        <w:t>Amato Microbiome Lab at Northwestern University in Evanston IL for DNA extraction and sequencing.</w:t>
      </w:r>
      <w:r w:rsidRPr="00AB188E">
        <w:rPr>
          <w:bCs/>
        </w:rPr>
        <w:t xml:space="preserve"> </w:t>
      </w:r>
      <w:r>
        <w:rPr>
          <w:bCs/>
        </w:rPr>
        <w:t xml:space="preserve">Urine samples remained in the freezer until we conducted assay analysis onsite in the Capuchinos de </w:t>
      </w:r>
      <w:proofErr w:type="spellStart"/>
      <w:r>
        <w:rPr>
          <w:bCs/>
        </w:rPr>
        <w:t>Taboga</w:t>
      </w:r>
      <w:proofErr w:type="spellEnd"/>
      <w:r>
        <w:rPr>
          <w:bCs/>
        </w:rPr>
        <w:t xml:space="preserve"> field laboratory </w:t>
      </w:r>
      <w:r>
        <w:rPr>
          <w:bCs/>
        </w:rPr>
        <w:fldChar w:fldCharType="begin"/>
      </w:r>
      <w:r>
        <w:rPr>
          <w:bCs/>
        </w:rPr>
        <w:instrText xml:space="preserve"> ADDIN ZOTERO_ITEM CSL_CITATION {"citationID":"9aAKfPlg","properties":{"formattedCitation":"({\\i{}56})","plainCitation":"(56)","noteIndex":0},"citationItems":[{"id":1716,"uris":["http://zotero.org/users/13901503/items/KXGKM98Y"],"itemData":{"id":1716,"type":"article-journal","abstract":"Hormone laboratories located “on-site” where field studies are being conducted have a number of advantages. On-site laboratories allow hormone analyses to proceed in near-real-time, minimize logistics of sample permits/shipping, contribute to in-country capacity-building, and (our focus here) facilitate cross-site collaboration through shared methods and a shared laboratory. Here we provide proof-of-concept that an on-site hormone laboratory (the Taboga Field Laboratory, located in the Taboga Forest Reserve, Costa Rica) can successfully run endocrine analyses in a remote location. Using fecal samples from wild white-faced capuchins (Cebus imitator) from three Costa Rican forests, we validate the extraction and analysis of four steroid hormones (glucocorticoids, testosterone, estradiol, progesterone) across six assays (DetectX® and ISWE, all from Arbor Assays). Additionally, as the first collaboration across three long-term, wild capuchin field sites (Lomas Barbudal, Santa Rosa, Taboga) involving local Costa Rican collaborators, this laboratory can serve as a future hub for collaborative exchange.","container-title":"General and Comparative Endocrinology","DOI":"10.1016/j.ygcen.2022.114109","ISSN":"0016-6480","journalAbbreviation":"General and Comparative Endocrinology","page":"114109","source":"ScienceDirect","title":"Using an on-site laboratory for fecal steroid analysis in wild white-faced capuchins","volume":"329","author":[{"family":"Beehner","given":"Jacinta C."},{"family":"Alfaro","given":"José"},{"family":"Allen","given":"Cloe"},{"family":"Benítez","given":"Marcela E."},{"family":"Bergman","given":"Thore J."},{"family":"Buehler","given":"Margaret S."},{"family":"Carrera","given":"Sofia C."},{"family":"Chester","given":"Emily M."},{"family":"Deschner","given":"Tobias"},{"family":"Fuentes","given":"Alexander"},{"family":"Gault","given":"Colleen M."},{"family":"Godoy","given":"Irene"},{"family":"Jack","given":"Katharine M."},{"family":"Kim","given":"Justin D."},{"family":"Kolinski","given":"Lev"},{"family":"Kulick","given":"Nelle K."},{"family":"Losch","given":"Teera"},{"family":"Ordoñez","given":"Juan Carlos"},{"family":"Perry","given":"Susan E."},{"family":"Pinto","given":"Fernando"},{"family":"Reilly","given":"Olivia T."},{"family":"Johnson","given":"Elizabeth Tinsley"},{"family":"Wasserman","given":"Michael D."}],"issued":{"date-parts":[["2022",12,1]]}}}],"schema":"https://github.com/citation-style-language/schema/raw/master/csl-citation.json"} </w:instrText>
      </w:r>
      <w:r>
        <w:rPr>
          <w:bCs/>
        </w:rPr>
        <w:fldChar w:fldCharType="separate"/>
      </w:r>
      <w:r w:rsidRPr="006A4942">
        <w:rPr>
          <w:rFonts w:eastAsiaTheme="minorHAnsi"/>
          <w14:ligatures w14:val="standardContextual"/>
        </w:rPr>
        <w:t>(</w:t>
      </w:r>
      <w:r w:rsidRPr="006A4942">
        <w:rPr>
          <w:rFonts w:eastAsiaTheme="minorHAnsi"/>
          <w:i/>
          <w:iCs/>
          <w14:ligatures w14:val="standardContextual"/>
        </w:rPr>
        <w:t>56</w:t>
      </w:r>
      <w:r w:rsidRPr="006A4942">
        <w:rPr>
          <w:rFonts w:eastAsiaTheme="minorHAnsi"/>
          <w14:ligatures w14:val="standardContextual"/>
        </w:rPr>
        <w:t>)</w:t>
      </w:r>
      <w:r>
        <w:rPr>
          <w:bCs/>
        </w:rPr>
        <w:fldChar w:fldCharType="end"/>
      </w:r>
      <w:r>
        <w:rPr>
          <w:bCs/>
        </w:rPr>
        <w:t xml:space="preserve">. </w:t>
      </w:r>
    </w:p>
    <w:p w14:paraId="0D7325AC" w14:textId="5206CE5E" w:rsidR="006A4942" w:rsidRDefault="006A4942" w:rsidP="006A4942">
      <w:pPr>
        <w:ind w:firstLine="720"/>
      </w:pPr>
      <w:r>
        <w:t xml:space="preserve">Temperature observations for this analysis came from the </w:t>
      </w:r>
      <w:r w:rsidRPr="002B00BC">
        <w:rPr>
          <w:rStyle w:val="Emphasis"/>
          <w:i w:val="0"/>
          <w:iCs w:val="0"/>
        </w:rPr>
        <w:t>Palo Verde</w:t>
      </w:r>
      <w:r>
        <w:t xml:space="preserve"> meteorological station, located at </w:t>
      </w:r>
      <w:r w:rsidRPr="00C16EA9">
        <w:t>the</w:t>
      </w:r>
      <w:r w:rsidRPr="00C16EA9">
        <w:rPr>
          <w:i/>
          <w:iCs/>
        </w:rPr>
        <w:t xml:space="preserve"> </w:t>
      </w:r>
      <w:r w:rsidRPr="002B00BC">
        <w:rPr>
          <w:rStyle w:val="Emphasis"/>
          <w:i w:val="0"/>
          <w:iCs w:val="0"/>
        </w:rPr>
        <w:t>Organization for Tropical Studies (OTS) Palo Verde</w:t>
      </w:r>
      <w:r>
        <w:t xml:space="preserve"> research station (10.345°N, 85.339°E), approximately 20.81 km southwest of </w:t>
      </w:r>
      <w:r w:rsidRPr="0041510E">
        <w:t>the</w:t>
      </w:r>
      <w:r w:rsidRPr="000A6861">
        <w:rPr>
          <w:i/>
          <w:iCs/>
        </w:rPr>
        <w:t xml:space="preserve"> </w:t>
      </w:r>
      <w:proofErr w:type="spellStart"/>
      <w:r w:rsidRPr="002B00BC">
        <w:rPr>
          <w:rStyle w:val="Emphasis"/>
          <w:i w:val="0"/>
          <w:iCs w:val="0"/>
        </w:rPr>
        <w:t>Taboga</w:t>
      </w:r>
      <w:proofErr w:type="spellEnd"/>
      <w:r w:rsidRPr="002B00BC">
        <w:rPr>
          <w:rStyle w:val="Emphasis"/>
          <w:i w:val="0"/>
          <w:iCs w:val="0"/>
        </w:rPr>
        <w:t xml:space="preserve"> Forest Reserve</w:t>
      </w:r>
      <w:r w:rsidRPr="002B00BC">
        <w:rPr>
          <w:i/>
          <w:iCs/>
        </w:rPr>
        <w:t>.</w:t>
      </w:r>
      <w:r>
        <w:t xml:space="preserve"> Like </w:t>
      </w:r>
      <w:proofErr w:type="spellStart"/>
      <w:r w:rsidRPr="002B00BC">
        <w:rPr>
          <w:rStyle w:val="Emphasis"/>
          <w:i w:val="0"/>
          <w:iCs w:val="0"/>
        </w:rPr>
        <w:t>Taboga</w:t>
      </w:r>
      <w:proofErr w:type="spellEnd"/>
      <w:r w:rsidRPr="002B00BC">
        <w:rPr>
          <w:i/>
          <w:iCs/>
        </w:rPr>
        <w:t xml:space="preserve">, </w:t>
      </w:r>
      <w:r w:rsidRPr="002B00BC">
        <w:rPr>
          <w:rStyle w:val="Emphasis"/>
          <w:i w:val="0"/>
          <w:iCs w:val="0"/>
        </w:rPr>
        <w:t>Palo Verde</w:t>
      </w:r>
      <w:r>
        <w:t xml:space="preserve"> is one of Central America’s last remaining tropical dry forest fragments </w:t>
      </w:r>
      <w:r>
        <w:fldChar w:fldCharType="begin"/>
      </w:r>
      <w:r>
        <w:instrText xml:space="preserve"> ADDIN ZOTERO_ITEM CSL_CITATION {"citationID":"hpeAEVbe","properties":{"formattedCitation":"({\\i{}114})","plainCitation":"(114)","noteIndex":0},"citationItems":[{"id":590,"uris":["http://zotero.org/users/13901503/items/V8828FH9"],"itemData":{"id":590,"type":"article-journal","container-title":"Revista de Biología Tropical","ISSN":"0034-7744","issue":"3-4","language":"en","note":"publisher: http://creativecommons.org/licenses/by/3.0","page":"1021-1034","source":"SciELO","title":"Changes in composition and structure of a tropical dry forest following intermittent Cattle grazing","volume":"50","author":[{"family":"Stern","given":"Margaret"},{"family":"Quesada","given":"Mauricio"},{"family":"Stoner","given":"Kathryn E."}],"issued":{"date-parts":[["2002",12]]}}}],"schema":"https://github.com/citation-style-language/schema/raw/master/csl-citation.json"}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114</w:t>
      </w:r>
      <w:r w:rsidRPr="006A4942">
        <w:rPr>
          <w:rFonts w:eastAsiaTheme="minorHAnsi"/>
          <w14:ligatures w14:val="standardContextual"/>
        </w:rPr>
        <w:t>)</w:t>
      </w:r>
      <w:r>
        <w:fldChar w:fldCharType="end"/>
      </w:r>
      <w:r>
        <w:t>.</w:t>
      </w:r>
      <w:r w:rsidRPr="003929CF">
        <w:rPr>
          <w:rStyle w:val="Emphasis"/>
        </w:rPr>
        <w:t xml:space="preserve"> </w:t>
      </w:r>
      <w:r w:rsidRPr="002B00BC">
        <w:rPr>
          <w:rStyle w:val="Emphasis"/>
          <w:i w:val="0"/>
          <w:iCs w:val="0"/>
        </w:rPr>
        <w:t>Palo Verde</w:t>
      </w:r>
      <w:r>
        <w:t xml:space="preserve"> temperature data have been used in previous studies of the </w:t>
      </w:r>
      <w:proofErr w:type="spellStart"/>
      <w:r w:rsidRPr="002B00BC">
        <w:rPr>
          <w:rStyle w:val="Emphasis"/>
          <w:i w:val="0"/>
          <w:iCs w:val="0"/>
        </w:rPr>
        <w:t>Taboga</w:t>
      </w:r>
      <w:proofErr w:type="spellEnd"/>
      <w:r w:rsidRPr="00714EDC">
        <w:rPr>
          <w:i/>
          <w:iCs/>
        </w:rPr>
        <w:t xml:space="preserve"> </w:t>
      </w:r>
      <w:r w:rsidRPr="000A6861">
        <w:t>white</w:t>
      </w:r>
      <w:r>
        <w:t>-faced capuchin population (</w:t>
      </w:r>
      <w:r>
        <w:rPr>
          <w:i/>
          <w:iCs/>
        </w:rPr>
        <w:t>116</w:t>
      </w:r>
      <w:r>
        <w:t>)</w:t>
      </w:r>
      <w:r>
        <w:fldChar w:fldCharType="begin"/>
      </w:r>
      <w:r>
        <w:instrText xml:space="preserve"> ADDIN ZOTERO_ITEM CSL_CITATION {"citationID":"bU2rPvGm","properties":{"formattedCitation":"({\\i{}8})","plainCitation":"(8)","noteIndex":0},"citationItems":[{"id":1689,"uris":["http://zotero.org/users/13901503/items/2TJCS3UQ"],"itemData":{"id":1689,"type":"article-journal","abstract":"Rising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8</w:t>
      </w:r>
      <w:r w:rsidRPr="00DD12D1">
        <w:t>)</w:t>
      </w:r>
      <w:r>
        <w:fldChar w:fldCharType="end"/>
      </w:r>
      <w:r>
        <w:t xml:space="preserve">, given the habitat similarity and proximity to </w:t>
      </w:r>
      <w:proofErr w:type="spellStart"/>
      <w:r>
        <w:t>Taboga</w:t>
      </w:r>
      <w:proofErr w:type="spellEnd"/>
      <w:r>
        <w:t>. The station records maximum and minimum air temperature every 15 minutes.</w:t>
      </w:r>
    </w:p>
    <w:p w14:paraId="1578FA2C" w14:textId="77777777" w:rsidR="006A4942" w:rsidRDefault="006A4942" w:rsidP="006A4942"/>
    <w:p w14:paraId="5D2236C9" w14:textId="77777777" w:rsidR="006A4942" w:rsidRDefault="006A4942" w:rsidP="006A4942">
      <w:pPr>
        <w:rPr>
          <w:u w:val="single"/>
        </w:rPr>
      </w:pPr>
      <w:r w:rsidRPr="00487A6E">
        <w:rPr>
          <w:u w:val="single"/>
        </w:rPr>
        <w:t>Neopterin analysis</w:t>
      </w:r>
    </w:p>
    <w:p w14:paraId="049C9DD5" w14:textId="57A2075C" w:rsidR="006A4942" w:rsidRDefault="006A4942" w:rsidP="006A4942">
      <w:pPr>
        <w:ind w:firstLine="720"/>
      </w:pPr>
      <w:r>
        <w:t xml:space="preserve">We measured the neopterin concentration of the urine samples using a </w:t>
      </w:r>
      <w:r w:rsidRPr="00F90FF8">
        <w:t>commercially available competitive exclusion neopterin enzyme</w:t>
      </w:r>
      <w:r>
        <w:t>-</w:t>
      </w:r>
      <w:r w:rsidRPr="00F90FF8">
        <w:t xml:space="preserve">linked immunosorbent assay (Neopterin ELISA, Ref. RE59321, IBL International GMBH, Hamburg, Germany) in the Capuchinos de </w:t>
      </w:r>
      <w:proofErr w:type="spellStart"/>
      <w:r w:rsidRPr="00F90FF8">
        <w:t>Taboga</w:t>
      </w:r>
      <w:proofErr w:type="spellEnd"/>
      <w:r w:rsidRPr="00F90FF8">
        <w:t xml:space="preserve"> field laboratory.</w:t>
      </w:r>
      <w:r>
        <w:t xml:space="preserve"> The assay has been validated for use in the </w:t>
      </w:r>
      <w:proofErr w:type="spellStart"/>
      <w:r>
        <w:t>Taboga</w:t>
      </w:r>
      <w:proofErr w:type="spellEnd"/>
      <w:r>
        <w:t xml:space="preserve"> capuchin population </w:t>
      </w:r>
      <w:r>
        <w:fldChar w:fldCharType="begin"/>
      </w:r>
      <w:r>
        <w:instrText xml:space="preserve"> ADDIN ZOTERO_ITEM CSL_CITATION {"citationID":"cjbmKZII","properties":{"formattedCitation":"({\\i{}115})","plainCitation":"(115)","noteIndex":0},"citationItems":[{"id":267,"uris":["http://zotero.org/users/13901503/items/PQLSPHRJ"],"itemData":{"id":267,"type":"article-journal","abstract":"Non-invasive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Monkeys","volume":"9","author":[{"family":"Lucore","given":"Jordan M."},{"family":"Marshall","given":"Andrew J."},{"family":"Brosnan","given":"Sarah F."},{"family":"Benítez","given":"Marcela E."}],"issued":{"date-parts":[["2022",7,13]]}}}],"schema":"https://github.com/citation-style-language/schema/raw/master/csl-citation.json"}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115</w:t>
      </w:r>
      <w:r w:rsidRPr="006A4942">
        <w:rPr>
          <w:rFonts w:eastAsiaTheme="minorHAnsi"/>
          <w14:ligatures w14:val="standardContextual"/>
        </w:rPr>
        <w:t>)</w:t>
      </w:r>
      <w:r>
        <w:fldChar w:fldCharType="end"/>
      </w:r>
      <w:r>
        <w:t xml:space="preserve">. We used specific gravity to control for sample water volume and diluted samples using </w:t>
      </w:r>
      <w:r w:rsidRPr="00F90FF8">
        <w:t>manufacturer assay buffer</w:t>
      </w:r>
      <w:r>
        <w:t xml:space="preserve">. We ran the assays using </w:t>
      </w:r>
      <w:r w:rsidRPr="00F90FF8">
        <w:t>manufacturer protocol</w:t>
      </w:r>
      <w:r>
        <w:t xml:space="preserve">, see </w:t>
      </w:r>
      <w:r>
        <w:fldChar w:fldCharType="begin"/>
      </w:r>
      <w:r>
        <w:instrText xml:space="preserve"> ADDIN ZOTERO_ITEM CSL_CITATION {"citationID":"mwRM5DGT","properties":{"formattedCitation":"({\\i{}8}, {\\i{}115})","plainCitation":"(8, 115)","noteIndex":0},"citationItems":[{"id":267,"uris":["http://zotero.org/users/13901503/items/PQLSPHRJ"],"itemData":{"id":267,"type":"article-journal","abstract":"Non-invasive health monitoring is advantageous for wild and captive primate populations because it reduces the need for traditional invasive techniques (i.e. anesthetization) that can be stressful and potentially harmful for individuals. The biomarker neopterin is an emerging tool in primatology to measure immune activation and immunosenescence, however, most neopterin studies have focused on catarrhine species with little comparative work examining neopterin and health in platyrrhines. To address this gap, we validated a commercially available enzyme-linked immunosorbent assay (ELISA) to measure urinary neopterin in two types of capuchin monkeys, a wild population of white-faced capuchins (Cebus imitator) and a socially housed captive colony of tufted capuchins (Sapajus apella). We analytically validated methods for measuring urinary neopterin in two capuchin populations and demonstrated that two commonly-used methods to control for urine concentration –creatinine and specific gravity (SG)– produced highly concordant results. We also biologically validated these methods by examining variation in neopterin levels based on environment (captive and wild) and age, and changes in levels associated with immune-response. We found that neopterin increased after immune perturbation (rabies vaccine booster), varied by environmental condition, and mirrored expected trends in immune system ontogeny. Our results improve understanding of the innate immune system in platyrrhine species and suggest neopterin may be useful for non-invasive health monitoring in both captive and wild primates.","container-title":"Frontiers in Veterinary Science","DOI":"10.3389/fvets.2022.918036","ISSN":"2297-1769","journalAbbreviation":"Front. Vet. Sci.","language":"English","note":"publisher: Frontiers","source":"Frontiers","title":"Validating Urinary Neopterin as a Biomarker of Immune Response in Captive and Wild Capuchin Monkeys","volume":"9","author":[{"family":"Lucore","given":"Jordan M."},{"family":"Marshall","given":"Andrew J."},{"family":"Brosnan","given":"Sarah F."},{"family":"Benítez","given":"Marcela E."}],"issued":{"date-parts":[["2022",7,13]]}}},{"id":1689,"uris":["http://zotero.org/users/13901503/items/2TJCS3UQ"],"itemData":{"id":1689,"type":"article-journal","abstract":"Rising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8</w:t>
      </w:r>
      <w:r w:rsidRPr="006A4942">
        <w:rPr>
          <w:rFonts w:eastAsiaTheme="minorHAnsi"/>
          <w14:ligatures w14:val="standardContextual"/>
        </w:rPr>
        <w:t xml:space="preserve">, </w:t>
      </w:r>
      <w:r w:rsidRPr="006A4942">
        <w:rPr>
          <w:rFonts w:eastAsiaTheme="minorHAnsi"/>
          <w:i/>
          <w:iCs/>
          <w14:ligatures w14:val="standardContextual"/>
        </w:rPr>
        <w:t>115</w:t>
      </w:r>
      <w:r w:rsidRPr="006A4942">
        <w:rPr>
          <w:rFonts w:eastAsiaTheme="minorHAnsi"/>
          <w14:ligatures w14:val="standardContextual"/>
        </w:rPr>
        <w:t>)</w:t>
      </w:r>
      <w:r>
        <w:fldChar w:fldCharType="end"/>
      </w:r>
      <w:r>
        <w:t xml:space="preserve"> for details. </w:t>
      </w:r>
    </w:p>
    <w:p w14:paraId="075F9B92" w14:textId="77777777" w:rsidR="006A4942" w:rsidRDefault="006A4942" w:rsidP="006A4942"/>
    <w:p w14:paraId="79DFE370" w14:textId="77777777" w:rsidR="006A4942" w:rsidRDefault="006A4942" w:rsidP="006A4942">
      <w:pPr>
        <w:rPr>
          <w:u w:val="single"/>
        </w:rPr>
      </w:pPr>
      <w:r>
        <w:rPr>
          <w:u w:val="single"/>
        </w:rPr>
        <w:t xml:space="preserve">Sample processing for </w:t>
      </w:r>
      <w:r w:rsidRPr="0097690E">
        <w:rPr>
          <w:u w:val="single"/>
        </w:rPr>
        <w:t>16S rRNA</w:t>
      </w:r>
      <w:r>
        <w:rPr>
          <w:u w:val="single"/>
        </w:rPr>
        <w:t xml:space="preserve"> amplicon</w:t>
      </w:r>
      <w:r w:rsidRPr="0097690E">
        <w:rPr>
          <w:u w:val="single"/>
        </w:rPr>
        <w:t xml:space="preserve"> </w:t>
      </w:r>
      <w:r>
        <w:rPr>
          <w:u w:val="single"/>
        </w:rPr>
        <w:t xml:space="preserve">and shotgun metagenomic </w:t>
      </w:r>
      <w:r w:rsidRPr="0097690E">
        <w:rPr>
          <w:u w:val="single"/>
        </w:rPr>
        <w:t>sequencing</w:t>
      </w:r>
    </w:p>
    <w:p w14:paraId="1D2530C2" w14:textId="77777777" w:rsidR="006A4942" w:rsidRDefault="006A4942" w:rsidP="006A4942">
      <w:pPr>
        <w:rPr>
          <w:i/>
          <w:iCs/>
        </w:rPr>
      </w:pPr>
      <w:r w:rsidRPr="00147548">
        <w:rPr>
          <w:i/>
          <w:iCs/>
        </w:rPr>
        <w:t>DNA extraction</w:t>
      </w:r>
    </w:p>
    <w:p w14:paraId="36CC39B3" w14:textId="7415B3C1" w:rsidR="006A4942" w:rsidRPr="00147548" w:rsidRDefault="006A4942" w:rsidP="006A4942">
      <w:r>
        <w:t xml:space="preserve">We conducted all lab work at the </w:t>
      </w:r>
      <w:r w:rsidRPr="00196F3A">
        <w:rPr>
          <w:bCs/>
        </w:rPr>
        <w:t>Amato Microbiome Lab at Northwestern University</w:t>
      </w:r>
      <w:r>
        <w:rPr>
          <w:bCs/>
        </w:rPr>
        <w:t>,</w:t>
      </w:r>
      <w:r w:rsidRPr="00196F3A">
        <w:rPr>
          <w:bCs/>
        </w:rPr>
        <w:t xml:space="preserve"> Evanston IL</w:t>
      </w:r>
      <w:r>
        <w:rPr>
          <w:bCs/>
        </w:rPr>
        <w:t xml:space="preserve">. We extracted DNA from fecal samples using the </w:t>
      </w:r>
      <w:proofErr w:type="spellStart"/>
      <w:r>
        <w:t>DNeasy</w:t>
      </w:r>
      <w:proofErr w:type="spellEnd"/>
      <w:r>
        <w:t xml:space="preserve"> </w:t>
      </w:r>
      <w:proofErr w:type="spellStart"/>
      <w:r>
        <w:t>PowerLyzer</w:t>
      </w:r>
      <w:proofErr w:type="spellEnd"/>
      <w:r>
        <w:t xml:space="preserve"> </w:t>
      </w:r>
      <w:proofErr w:type="spellStart"/>
      <w:r>
        <w:t>PowerSoil</w:t>
      </w:r>
      <w:proofErr w:type="spellEnd"/>
      <w:r>
        <w:t xml:space="preserve"> Kit (Qiagen, Germantown, MD, USA), with minor modifications to manufacturer protocol. Specifically, we incubated samples at 65°C for 10 minutes after adding the C1 and </w:t>
      </w:r>
      <w:proofErr w:type="spellStart"/>
      <w:r>
        <w:t>PowerBead</w:t>
      </w:r>
      <w:proofErr w:type="spellEnd"/>
      <w:r>
        <w:t xml:space="preserve"> solutions, refrigerated the C2 and C3 incubation steps, and prewarmed the C6 solution before the final elution. These modifications align with other protocols designed for fecal samples containing high levels of plant fiber </w:t>
      </w:r>
      <w:r>
        <w:fldChar w:fldCharType="begin"/>
      </w:r>
      <w:r>
        <w:instrText xml:space="preserve"> ADDIN ZOTERO_ITEM CSL_CITATION {"citationID":"GSwb9QQA","properties":{"formattedCitation":"({\\i{}116}\\uc0\\u8211{}{\\i{}118})","plainCitation":"(116–118)","noteIndex":0},"citationItems":[{"id":34,"uris":["http://zotero.org/users/13901503/items/QZVE8E7B"],"itemData":{"id":34,"type":"article-journal","abstract":"Understanding the mechanisms by which organisms respond to environmental change is critical to conservation biology. Recent research indicates that the gut microbiome may mediate mammalian responses to the environment and can be used as a biomarker to understand host ecological strategies. Here, we explore the relationship between the gut microbiome, host dietary niche, and potential resilience to habitat alteration using two closely related, sympatric non-human primate species: the tufted gray langur (Semnopithecus priam) and the purple-faced langur (Semnopithecus vetulus). The gray langur is suspected to be a habitat generalist less perturbed by anthropogenic disturbance, while the purple-faced langur is suspected to be a specialist more sensitive to disturbance. To test these characterizations, we assessed the gut microbiome using 16S rRNA gene amplicon sequencing of fecal samples collected from Kaludiyapokuna Forest Reserve, Sri Lanka (gray langur n = 50 samples, purple-faced langur n = 7 samples). Our results demonstrate that despite strong gut microbial similarities, gray langurs had a more diverse gut microbiome that harbored Prevotella and Akkermansia, taxa involved in starch degradation, while the purple-faced langur gut microbiome harbored Roseburia, Clostridium, and Ruminococcus, taxa involved in processing plant structural carbohydrates. Compared to related species in other locations, both Sri Lankan langurs harbored more pathogenic bacteria. These differences suggest that gray langurs have more generalist diets, making them more resilient to anthropogenic change, but also indicate that they are not impervious to human encroachment. Our findings suggest that microbiome analyses are an important tool for langur ecology and conservation, and should be integrated into ongoing studies.","container-title":"Biotropica","DOI":"10.1111/btp.12805","ISSN":"1744-7429","issue":"5","language":"en","license":"© 2020 The Association for Tropical Biology and Conservation","note":"_eprint: https://onlinelibrary.wiley.com/doi/pdf/10.1111/btp.12805","page":"981-990","source":"Wiley Online Library","title":"Gut microbiome, diet, and conservation of endangered langurs in Sri Lanka","volume":"52","author":[{"family":"Amato","given":"Katherine R."},{"family":"Kuthyar","given":"Sahana"},{"family":"Ekanayake-Weber","given":"Marcy"},{"family":"Salmi","given":"Roberta"},{"family":"Snyder-Mackler","given":"Noah"},{"family":"Wijayathunga","given":"Lasanthi"},{"family":"Vandercone","given":"Rajnish"},{"family":"Lu","given":"Amy"}],"issued":{"date-parts":[["2020"]]}}},{"id":1646,"uris":["http://zotero.org/users/13901503/items/MBVK2BP9"],"itemData":{"id":1646,"type":"article-journal","abstract":"The genus Saguinus represents a successful radiation of over 20 species of small-bodied New World monkeys. Studies of the tamarin diet indicate that insects and small vertebrates account for </w:instrText>
      </w:r>
      <w:r>
        <w:rPr>
          <w:rFonts w:ascii="Cambria Math" w:hAnsi="Cambria Math" w:cs="Cambria Math"/>
        </w:rPr>
        <w:instrText>∼</w:instrText>
      </w:r>
      <w:r>
        <w:instrText xml:space="preserve">16–45% of total feeding and foraging time, and represent an important source of lipids, protein, and metabolizable energy. Although tamarins are reported to commonly consume large-bodied insects such as grasshoppers and walking sticks (Orthoptera), little is known concerning the degree to which smaller or less easily identifiable arthropod prey comprises an important component of their diet. To better understand tamarin arthropod feeding behavior, fecal samples from 20 wild Bolivian saddleback tamarins (members of five groups) were collected over a 3 week period in June 2012, and analyzed for the presence of arthropod DNA. DNA was extracted using a Qiagen stool extraction kit, and universal insect primers were created and used to amplify a </w:instrText>
      </w:r>
      <w:r>
        <w:rPr>
          <w:rFonts w:ascii="Cambria Math" w:hAnsi="Cambria Math" w:cs="Cambria Math"/>
        </w:rPr>
        <w:instrText>∼</w:instrText>
      </w:r>
      <w:r>
        <w:instrText xml:space="preserve">280 bp section of the COI mitochondrial gene. Amplicons were sequenced on the Roche 454 sequencing platform using high-throughput sequencing techniques. An analysis of these samples indicated the presence of 43 taxa of arthropods including 10 orders, 15 families, and 12 identified genera. Many of these taxa had not been previously identified in the tamarin diet. These results highlight molecular analysis of fecal DNA as an important research tool for identifying anthropod feeding patterns in primates, and reveal broad diversity in the taxa, foraging microhabitats, and size of arthropods consumed by tamarin monkeys. Am J Phys Anthropol 156:474–481, 2015. © 2014 Wiley Periodicals, Inc.","container-title":"American Journal of Physical Anthropology","DOI":"10.1002/ajpa.22654","ISSN":"1096-8644","issue":"3","language":"en","note":"_eprint: https://onlinelibrary.wiley.com/doi/pdf/10.1002/ajpa.22654","page":"474-481","source":"Wiley Online Library","title":"High-throughput sequencing of fecal DNA to identify insects consumed by wild Weddell's saddleback tamarins (aguinus weddelli, Cebidae, Primates) in Bolivia","volume":"156","author":[{"family":"Mallott","given":"E.k."},{"family":"Malhi","given":"R.s."},{"family":"Garber","given":"P.a."}],"issued":{"date-parts":[["2015"]]}}},{"id":1639,"uris":["http://zotero.org/users/13901503/items/S4PKLDJ4"],"itemData":{"id":1639,"type":"article-journal","abstract":"Descriptions of primate diets are generally based on either direct observation of foraging behavior, morphological classification of food remains from feces, or analysis of the stomach contents of deceased individuals. Some diet items (e.g. insect prey), however, are difficult to identify visually, and observation conditions often do not permit adequate quantitative sampling of feeding behavior. Moreover, the taxonomically informative morphology of some food species (e.g. swallowed seeds, insect exoskeletons) may be destroyed by the digestive process. Because of these limitations, we used a metagenomic approach to conduct a preliminary, “proof of concept” study of interspecific variation in the insect component of the diets of six sympatric NewWorld monkeys known, based on observational field studies, to differ markedly in their feeding ecology. We used generalized arthropod polymerase chain reaction (PCR) primers and cloning to sequence mitochondrial DNA (mtDNA) sequences of the arthropod cytochrome b (CYT B) gene from fecal samples of wild woolly, titi, saki, capuchin, squirrel, and spider monkeys collected from a single sampling site in western Amazonia where these genera occur sympatrically. We then assigned preliminary taxonomic identifications to the sequences by basic local alignment search tool (BLAST) comparison to arthropod CYT Bsequences present in GenBank. This study is the first to use molecular techniques to identify insect prey in primate diets. The results suggest that a metagenomic approach may prove valuable in augmenting and corroborating observational data and increasing the resolution of primate diet studies, although the lack of comparative reference sequences for many South American insects limits the approach at present. As such reference data become available for more animal and plant taxa, this approach also holds promise for studying additional components of primate diets. Am. J. Primatol. 74:622–631, 2012. © 2012 Wiley Periodicals, Inc.","container-title":"American Journal of Primatology","DOI":"10.1002/ajp.22014","ISSN":"1098-2345","issue":"7","language":"en","license":"© 2012 Wiley Periodicals, Inc.","note":"_eprint: https://onlinelibrary.wiley.com/doi/pdf/10.1002/ajp.22014","page":"622-631","source":"Wiley Online Library","title":"A Metagenomic Study of Primate Insect Diet Diversity","volume":"74","author":[{"family":"Pickett","given":"Sarah B."},{"family":"Bergey","given":"Christina M."},{"family":"Di Fiore","given":"Anthony"}],"issued":{"date-parts":[["2012"]]}}}],"schema":"https://github.com/citation-style-language/schema/raw/master/csl-citation.json"}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116</w:t>
      </w:r>
      <w:r w:rsidRPr="006A4942">
        <w:rPr>
          <w:rFonts w:eastAsiaTheme="minorHAnsi"/>
          <w14:ligatures w14:val="standardContextual"/>
        </w:rPr>
        <w:t>–</w:t>
      </w:r>
      <w:r w:rsidRPr="006A4942">
        <w:rPr>
          <w:rFonts w:eastAsiaTheme="minorHAnsi"/>
          <w:i/>
          <w:iCs/>
          <w14:ligatures w14:val="standardContextual"/>
        </w:rPr>
        <w:t>118</w:t>
      </w:r>
      <w:r w:rsidRPr="006A4942">
        <w:rPr>
          <w:rFonts w:eastAsiaTheme="minorHAnsi"/>
          <w14:ligatures w14:val="standardContextual"/>
        </w:rPr>
        <w:t>)</w:t>
      </w:r>
      <w:r>
        <w:fldChar w:fldCharType="end"/>
      </w:r>
      <w:r>
        <w:t>.</w:t>
      </w:r>
    </w:p>
    <w:p w14:paraId="53CE5CD8" w14:textId="77777777" w:rsidR="006A4942" w:rsidRPr="00FD15B2" w:rsidRDefault="006A4942" w:rsidP="006A4942"/>
    <w:p w14:paraId="2ECCBBFD" w14:textId="77777777" w:rsidR="006A4942" w:rsidRDefault="006A4942" w:rsidP="006A4942">
      <w:pPr>
        <w:rPr>
          <w:i/>
          <w:iCs/>
        </w:rPr>
      </w:pPr>
      <w:r w:rsidRPr="00147548">
        <w:rPr>
          <w:i/>
          <w:iCs/>
        </w:rPr>
        <w:t xml:space="preserve">16s rRNA amplicon </w:t>
      </w:r>
      <w:r>
        <w:rPr>
          <w:i/>
          <w:iCs/>
        </w:rPr>
        <w:t>sequencing and data processing</w:t>
      </w:r>
    </w:p>
    <w:p w14:paraId="7F549380" w14:textId="53B487D4" w:rsidR="006A4942" w:rsidRDefault="006A4942" w:rsidP="006A4942">
      <w:r>
        <w:t xml:space="preserve">We used </w:t>
      </w:r>
      <w:r w:rsidRPr="006E7CF5">
        <w:t>16s rRNA</w:t>
      </w:r>
      <w:r>
        <w:t xml:space="preserve"> amplicon sequencing to describe the gut microbiome taxonomic composition. We amplified the hypervariable V4-V5 region of the 16s rRNA gene using the 515F/926R primers from the Earth Microbiome Project </w:t>
      </w:r>
      <w:r w:rsidRPr="009C594A">
        <w:t>(</w:t>
      </w:r>
      <w:hyperlink r:id="rId6" w:history="1">
        <w:r w:rsidRPr="00383820">
          <w:rPr>
            <w:rStyle w:val="Hyperlink"/>
          </w:rPr>
          <w:t>www.earthmicrobiome.org</w:t>
        </w:r>
      </w:hyperlink>
      <w:r w:rsidRPr="009C594A">
        <w:t>)</w:t>
      </w:r>
      <w:r>
        <w:t xml:space="preserve"> and a dual-indexing approach </w:t>
      </w:r>
      <w:r>
        <w:fldChar w:fldCharType="begin"/>
      </w:r>
      <w:r>
        <w:instrText xml:space="preserve"> ADDIN ZOTERO_ITEM CSL_CITATION {"citationID":"AIswTiIH","properties":{"formattedCitation":"({\\i{}119})","plainCitation":"(119)","noteIndex":0},"citationItems":[{"id":1652,"uris":["http://zotero.org/users/13901503/items/HTTZHT5K"],"itemData":{"id":1652,"type":"article-journal","abstract":"Sources of error and bias in PCR amplification of microbial samples for 16S rRNA gene sequencing are systematically evaluated, and best-practice recommendations for reliable amplification are made.","container-title":"Nature Biotechnology","DOI":"10.1038/nbt.3601","ISSN":"1546-1696","issue":"9","journalAbbreviation":"Nat Biotechnol","language":"en","license":"2016 Springer Nature America, Inc.","note":"publisher: Nature Publishing Group","page":"942-949","source":"www-nature-com.proxy.lib.umich.edu","title":"Systematic improvement of amplicon marker gene methods for increased accuracy in microbiome studies","volume":"34","author":[{"family":"Gohl","given":"Daryl M."},{"family":"Vangay","given":"Pajau"},{"family":"Garbe","given":"John"},{"family":"MacLean","given":"Allison"},{"family":"Hauge","given":"Adam"},{"family":"Becker","given":"Aaron"},{"family":"Gould","given":"Trevor J."},{"family":"Clayton","given":"Jonathan B."},{"family":"Johnson","given":"Timothy J."},{"family":"Hunter","given":"Ryan"},{"family":"Knights","given":"Dan"},{"family":"Beckman","given":"Kenneth B."}],"issued":{"date-parts":[["2016",9]]}}}],"schema":"https://github.com/citation-style-language/schema/raw/master/csl-citation.json"}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119</w:t>
      </w:r>
      <w:r w:rsidRPr="006A4942">
        <w:rPr>
          <w:rFonts w:eastAsiaTheme="minorHAnsi"/>
          <w14:ligatures w14:val="standardContextual"/>
        </w:rPr>
        <w:t>)</w:t>
      </w:r>
      <w:r>
        <w:fldChar w:fldCharType="end"/>
      </w:r>
      <w:r>
        <w:t xml:space="preserve">; see previously described protocol for details </w:t>
      </w:r>
      <w:r>
        <w:fldChar w:fldCharType="begin"/>
      </w:r>
      <w:r>
        <w:instrText xml:space="preserve"> ADDIN ZOTERO_ITEM CSL_CITATION {"citationID":"ZrmMCAjM","properties":{"formattedCitation":"({\\i{}120})","plainCitation":"(120)","noteIndex":0},"citationItems":[{"id":676,"uris":["http://zotero.org/users/13901503/items/JGY397VL"],"itemData":{"id":676,"type":"article-journal","abstract":"Changes in reproductive status influence energy and nutrient requirements in female primates. The gut microbiota may buffer changes in energy demands, with shifts in community composition increasing the energy production potential of the gut during pregnancy and lactation. In this study, we examine changes in the gut microbiome of wild, female white-faced capuchins (Cebus capucinus) across different reproductive states. Fecal samples (n = 39) were collected from five adult females over the course of a year. Gut microbial community composition was assessed using 16S rRNA gene sequences, and PICRUSt was used to make metagenomic functional predictions. We found a significant relationship between reproductive state and both the structure and predicted function of the gut microbiome, neither of which were associated with host diet. For example, the relative abundance of Firmicutes was significantly lower in lactating females compared with cycling females; the relative abundance of Actinobacteria was significantly higher in pregnant females compared with lactating females, and there was a trend toward higher relative abundances of Proteobacteria in pregnant females compared with cycling females. The results of this study suggest that, in addition to behavioral and dietary adaptions, the gut microbiota may play a role in allowing female primates to meet their changing energetic needs during reproduction. Further studies of the “microbial reproductive ecology” of primates will help advance our understanding of gut microbial contributions to primate energetics.","container-title":"American Journal of Primatology","DOI":"10.1002/ajp.22896","ISSN":"1098-2345","issue":"8","language":"en","license":"© 2018 Wiley Periodicals, Inc.","note":"_eprint: https://onlinelibrary.wiley.com/doi/pdf/10.1002/ajp.22896","page":"e22896","source":"Wiley Online Library","title":"The microbial reproductive ecology of white-faced capuchins (Cebus capucinus)","volume":"80","author":[{"family":"Mallott","given":"Elizabeth K."},{"family":"Amato","given":"Katherine R."}],"issued":{"date-parts":[["2018"]]}}}],"schema":"https://github.com/citation-style-language/schema/raw/master/csl-citation.json"}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120</w:t>
      </w:r>
      <w:r w:rsidRPr="006A4942">
        <w:rPr>
          <w:rFonts w:eastAsiaTheme="minorHAnsi"/>
          <w14:ligatures w14:val="standardContextual"/>
        </w:rPr>
        <w:t>)</w:t>
      </w:r>
      <w:r>
        <w:fldChar w:fldCharType="end"/>
      </w:r>
      <w:r>
        <w:t>.</w:t>
      </w:r>
      <w:r w:rsidRPr="00F13A1B">
        <w:t xml:space="preserve"> </w:t>
      </w:r>
      <w:r>
        <w:t xml:space="preserve">We used negative controls to monitor contamination during the DNA extraction and PCR amplification. We </w:t>
      </w:r>
      <w:r>
        <w:lastRenderedPageBreak/>
        <w:t xml:space="preserve">purified and normalized PCR products using </w:t>
      </w:r>
      <w:proofErr w:type="spellStart"/>
      <w:r>
        <w:t>SequalPrep</w:t>
      </w:r>
      <w:proofErr w:type="spellEnd"/>
      <w:r>
        <w:t xml:space="preserve"> Normalization and sequenced them on the Illumina </w:t>
      </w:r>
      <w:proofErr w:type="spellStart"/>
      <w:r>
        <w:t>MiSeq</w:t>
      </w:r>
      <w:proofErr w:type="spellEnd"/>
      <w:r>
        <w:t xml:space="preserve"> V4 platform at the Rush Genomics and Microbiome Core Facility. </w:t>
      </w:r>
    </w:p>
    <w:p w14:paraId="6AAB9759" w14:textId="086865E0" w:rsidR="006A4942" w:rsidRDefault="006A4942" w:rsidP="006A4942">
      <w:pPr>
        <w:ind w:firstLine="720"/>
      </w:pPr>
      <w:r>
        <w:t xml:space="preserve">We analyzed the resulting data using the Quantitative Insights into Microbial Ecology (QIIME2) platform </w:t>
      </w:r>
      <w:r>
        <w:fldChar w:fldCharType="begin"/>
      </w:r>
      <w:r>
        <w:instrText xml:space="preserve"> ADDIN ZOTERO_ITEM CSL_CITATION {"citationID":"Bjv8Vjr7","properties":{"formattedCitation":"({\\i{}121})","plainCitation":"(121)","noteIndex":0},"citationItems":[{"id":1655,"uris":["http://zotero.org/users/13901503/items/GQC5IVSJ"],"itemData":{"id":1655,"type":"article-journal","container-title":"Nature Methods","DOI":"10.1038/nmeth.f.303","ISSN":"1548-7091, 1548-7105","issue":"5","journalAbbreviation":"Nat Methods","language":"en","license":"http://www.springer.com/tdm","page":"335-336","source":"DOI.org (Crossref)","title":"QIIME allows analysis of high-throughput community sequencing data","volume":"7","author":[{"family":"Caporaso","given":"J Gregory"},{"family":"Kuczynski","given":"Justin"},{"family":"Stombaugh","given":"Jesse"},{"family":"Bittinger","given":"Kyle"},{"family":"Bushman","given":"Frederic D"},{"family":"Costello","given":"Elizabeth K"},{"family":"Fierer","given":"Noah"},{"family":"Peña","given":"Antonio Gonzalez"},{"family":"Goodrich","given":"Julia K"},{"family":"Gordon","given":"Jeffrey I"},{"family":"Huttley","given":"Gavin A"},{"family":"Kelley","given":"Scott T"},{"family":"Knights","given":"Dan"},{"family":"Koenig","given":"Jeremy E"},{"family":"Ley","given":"Ruth E"},{"family":"Lozupone","given":"Catherine A"},{"family":"McDonald","given":"Daniel"},{"family":"Muegge","given":"Brian D"},{"family":"Pirrung","given":"Meg"},{"family":"Reeder","given":"Jens"},{"family":"Sevinsky","given":"Joel R"},{"family":"Turnbaugh","given":"Peter J"},{"family":"Walters","given":"William A"},{"family":"Widmann","given":"Jeremy"},{"family":"Yatsunenko","given":"Tanya"},{"family":"Zaneveld","given":"Jesse"},{"family":"Knight","given":"Rob"}],"issued":{"date-parts":[["2010",5]]}}}],"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121</w:t>
      </w:r>
      <w:r w:rsidRPr="006A4942">
        <w:rPr>
          <w:rFonts w:eastAsiaTheme="minorHAnsi"/>
          <w14:ligatures w14:val="standardContextual"/>
        </w:rPr>
        <w:t>)</w:t>
      </w:r>
      <w:r>
        <w:fldChar w:fldCharType="end"/>
      </w:r>
      <w:r>
        <w:t>, v2023.9.</w:t>
      </w:r>
      <w:r w:rsidRPr="006E1EB1">
        <w:t xml:space="preserve"> </w:t>
      </w:r>
      <w:r>
        <w:t xml:space="preserve">Pair-end sequences from 900 samples yielded </w:t>
      </w:r>
      <w:r w:rsidRPr="005D24FC">
        <w:t>28</w:t>
      </w:r>
      <w:r>
        <w:t>,</w:t>
      </w:r>
      <w:r w:rsidRPr="005D24FC">
        <w:t>869</w:t>
      </w:r>
      <w:r>
        <w:t>,</w:t>
      </w:r>
      <w:r w:rsidRPr="005D24FC">
        <w:t>202</w:t>
      </w:r>
      <w:r>
        <w:t xml:space="preserve"> raw sequence reads (average </w:t>
      </w:r>
      <w:r w:rsidRPr="005D24FC">
        <w:t>32</w:t>
      </w:r>
      <w:r>
        <w:t>,</w:t>
      </w:r>
      <w:r w:rsidRPr="005D24FC">
        <w:t>07</w:t>
      </w:r>
      <w:r>
        <w:t xml:space="preserve">7 per sample, range of 7 to </w:t>
      </w:r>
      <w:r w:rsidRPr="005D24FC">
        <w:t>64851</w:t>
      </w:r>
      <w:r>
        <w:t xml:space="preserve"> reads). We trimmed forward and reverse reads</w:t>
      </w:r>
      <w:r w:rsidRPr="006E1EB1">
        <w:t xml:space="preserve"> </w:t>
      </w:r>
      <w:r>
        <w:t xml:space="preserve">to 216 bases and 206 bases, respectively, to remove low-quality base pairs using a minimum Phred score of 33. We quality-filtered and denoised sequences using the </w:t>
      </w:r>
      <w:r w:rsidRPr="004C1AF1">
        <w:t>Divisive Amplicon Denoising Algorithm 2</w:t>
      </w:r>
      <w:r>
        <w:t xml:space="preserve"> (DADA2)</w:t>
      </w:r>
      <w:r>
        <w:fldChar w:fldCharType="begin"/>
      </w:r>
      <w:r>
        <w:instrText xml:space="preserve"> ADDIN ZOTERO_ITEM CSL_CITATION {"citationID":"CHiMHSnG","properties":{"formattedCitation":"({\\i{}122})","plainCitation":"(122)","noteIndex":0},"citationItems":[{"id":1656,"uris":["http://zotero.org/users/13901503/items/5QIKX6JW"],"itemData":{"id":1656,"type":"article-journal","abstract":"DADA2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Inc.","note":"publisher: Nature Publishing Group","page":"581-583","source":"www-nature-com.proxy.lib.umich.edu","title":"DADA2: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122</w:t>
      </w:r>
      <w:r w:rsidRPr="006A4942">
        <w:rPr>
          <w:rFonts w:eastAsiaTheme="minorHAnsi"/>
          <w14:ligatures w14:val="standardContextual"/>
        </w:rPr>
        <w:t>)</w:t>
      </w:r>
      <w:r>
        <w:fldChar w:fldCharType="end"/>
      </w:r>
      <w:r>
        <w:t xml:space="preserve"> via the q2-dada2 pipeline, which infers Amplicon Sequence Variants (ASVs) by identifying exact sequences. We assigned taxonomy to ASV’s using the q2-feature classifier </w:t>
      </w:r>
      <w:r>
        <w:fldChar w:fldCharType="begin"/>
      </w:r>
      <w:r>
        <w:instrText xml:space="preserve"> ADDIN ZOTERO_ITEM CSL_CITATION {"citationID":"Nz6FGjkT","properties":{"formattedCitation":"({\\i{}123})","plainCitation":"(123)","noteIndex":0},"citationItems":[{"id":1662,"uris":["http://zotero.org/users/13901503/items/U2MLAXCJ"],"itemData":{"id":1662,"type":"article-journal","abstract":"Taxonomic classification of marker-gene sequences is an important step in microbiome analysis.","container-title":"Microbiome","DOI":"10.1186/s40168-018-0470-z","ISSN":"2049-2618","issue":"1","journalAbbreviation":"Microbiome","page":"90","source":"BioMed Central","title":"Optimizing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123</w:t>
      </w:r>
      <w:r w:rsidRPr="006A4942">
        <w:rPr>
          <w:rFonts w:eastAsiaTheme="minorHAnsi"/>
          <w14:ligatures w14:val="standardContextual"/>
        </w:rPr>
        <w:t>)</w:t>
      </w:r>
      <w:r>
        <w:fldChar w:fldCharType="end"/>
      </w:r>
      <w:r>
        <w:t xml:space="preserve"> against version 2022.10 of the Greengenes2 database </w:t>
      </w:r>
      <w:r>
        <w:fldChar w:fldCharType="begin"/>
      </w:r>
      <w:r>
        <w:instrText xml:space="preserve"> ADDIN ZOTERO_ITEM CSL_CITATION {"citationID":"txLAM5mf","properties":{"formattedCitation":"({\\i{}124}, {\\i{}125})","plainCitation":"(124, 125)","noteIndex":0},"citationItems":[{"id":1658,"uris":["http://zotero.org/users/13901503/items/I2KJAM89"],"itemData":{"id":1658,"type":"article-journal","abstract":"Reference phylogenies are crucial for providing a taxonomic framework for interpretation of marker gene and metagenomic surveys, which continue to reveal novel species at a remarkable rate. Greengenes is a dedicated full-length 16S rRNA gene database that provides users with a curated taxonomy based on de novo tree inference. We developed a ‘taxonomy to tree’ approach for transferring group names from an existing taxonomy to a tree topology, and used it to apply the Greengenes, National Center for Biotechnology Information (NCBI) and cyanoDB (Cyanobacteria only) taxonomies to a de novo tree comprising 408 315 sequences. We also incorporated explicit rank information provided by the NCBI taxonomy to group names (by prefixing rank designations) for better user orientation and classification consistency. The resulting merged taxonomy improved the classification of 75% of the sequences by one or more ranks relative to the original NCBI taxonomy with the most pronounced improvements occurring in under-classified environmental sequences. We also assessed candidate phyla (divisions) currently defined by NCBI and present recommendations for consolidation of 34 redundantly named groups. All intermediate results from the pipeline, which includes tree inference, jackknifing and transfer of a donor taxonomy to a recipient tree (tax2tree) are available for download. The improved Greengenes taxonomy should provide important infrastructure for a wide range of megasequencing projects studying ecosystems on scales ranging from our own bodies (the Human Microbiome Project) to the entire planet (the Earth Microbiome Project). The implementation of the software can be obtained from http://sourceforge.net/projects/tax2tree/.","container-title":"The ISME Journal","DOI":"10.1038/ismej.2011.139","ISSN":"1751-7370","issue":"3","journalAbbreviation":"ISME J","language":"en","license":"2012 The Author(s)","note":"publisher: Nature Publishing Group","page":"610-618","source":"www-nature-com.proxy.lib.umich.edu","title":"An improved Greengenes taxonomy with explicit ranks for ecological and evolutionary analyses of bacteria and archaea","volume":"6","author":[{"family":"McDonald","given":"Daniel"},{"family":"Price","given":"Morgan N."},{"family":"Goodrich","given":"Julia"},{"family":"Nawrocki","given":"Eric P."},{"family":"DeSantis","given":"Todd Z."},{"family":"Probst","given":"Alexander"},{"family":"Andersen","given":"Gary L."},{"family":"Knight","given":"Rob"},{"family":"Hugenholtz","given":"Philip"}],"issued":{"date-parts":[["2012",3]]}}},{"id":1660,"uris":["http://zotero.org/users/13901503/items/G9YGXKGA"],"itemData":{"id":1660,"type":"article-journal","abstract":"Studies using 16S rRNA and shotgun metagenomics typically yield different results, usually attributed to PCR amplification biases. We introduce Greengenes2, a reference tree that unifies genomic and 16S rRNA databases in a consistent, integrated resource. By inserting sequences into a whole-genome phylogeny, we show that 16S rRNA and shotgun metagenomic data generated from the same samples agree in principal coordinates space, taxonomy and phenotype effect size when analyzed with the same tree.","container-title":"Nature Biotechnology","DOI":"10.1038/s41587-023-01845-1","ISSN":"1546-1696","issue":"5","journalAbbreviation":"Nat Biotechnol","language":"en","license":"2023 The Author(s)","note":"publisher: Nature Publishing Group","page":"715-718","source":"www-nature-com.proxy.lib.umich.edu","title":"Greengenes2 unifies microbial data in a single reference tree","volume":"42","author":[{"family":"McDonald","given":"Daniel"},{"family":"Jiang","given":"Yueyu"},{"family":"Balaban","given":"Metin"},{"family":"Cantrell","given":"Kalen"},{"family":"Zhu","given":"Qiyun"},{"family":"Gonzalez","given":"Antonio"},{"family":"Morton","given":"James T."},{"family":"Nicolaou","given":"Giorgia"},{"family":"Parks","given":"Donovan H."},{"family":"Karst","given":"Søren M."},{"family":"Albertsen","given":"Mads"},{"family":"Hugenholtz","given":"Philip"},{"family":"DeSantis","given":"Todd"},{"family":"Song","given":"Se Jin"},{"family":"Bartko","given":"Andrew"},{"family":"Havulinna","given":"Aki S."},{"family":"Jousilahti","given":"Pekka"},{"family":"Cheng","given":"Susan"},{"family":"Inouye","given":"Michael"},{"family":"Niiranen","given":"Teemu"},{"family":"Jain","given":"Mohit"},{"family":"Salomaa","given":"Veikko"},{"family":"Lahti","given":"Leo"},{"family":"Mirarab","given":"Siavash"},{"family":"Knight","given":"Rob"}],"issued":{"date-parts":[["2024",5]]}}}],"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124</w:t>
      </w:r>
      <w:r w:rsidRPr="006A4942">
        <w:rPr>
          <w:rFonts w:eastAsiaTheme="minorHAnsi"/>
          <w14:ligatures w14:val="standardContextual"/>
        </w:rPr>
        <w:t xml:space="preserve">, </w:t>
      </w:r>
      <w:r w:rsidRPr="006A4942">
        <w:rPr>
          <w:rFonts w:eastAsiaTheme="minorHAnsi"/>
          <w:i/>
          <w:iCs/>
          <w14:ligatures w14:val="standardContextual"/>
        </w:rPr>
        <w:t>125</w:t>
      </w:r>
      <w:r w:rsidRPr="006A4942">
        <w:rPr>
          <w:rFonts w:eastAsiaTheme="minorHAnsi"/>
          <w14:ligatures w14:val="standardContextual"/>
        </w:rPr>
        <w:t>)</w:t>
      </w:r>
      <w:r>
        <w:fldChar w:fldCharType="end"/>
      </w:r>
      <w:r>
        <w:t xml:space="preserve"> by </w:t>
      </w:r>
      <w:r w:rsidRPr="008959D6">
        <w:t>applying the classify-</w:t>
      </w:r>
      <w:proofErr w:type="spellStart"/>
      <w:r w:rsidRPr="008959D6">
        <w:t>sklearn</w:t>
      </w:r>
      <w:proofErr w:type="spellEnd"/>
      <w:r w:rsidRPr="008959D6">
        <w:t xml:space="preserve"> model.</w:t>
      </w:r>
      <w:r w:rsidRPr="006E1EB1">
        <w:t xml:space="preserve"> </w:t>
      </w:r>
      <w:r>
        <w:t>We removed sequences assigned to chloroplasts and mitochondria using the q2-taxa-filter-table to retain only microbial sequences for downstream analysis. All negative controls contained fewer than 507 reads per sample (average of 29), and we excluded them after visually confirming that their taxonomic composition did not indicate contamination. We also excluded one fecal sample that contained fewer than 1,000 reads to avoid bias from low-coverage data. After filtering, we retained 797 samples, which contained an average of 16,898 reads (range: 4,944–38,941).</w:t>
      </w:r>
    </w:p>
    <w:p w14:paraId="53DA294B" w14:textId="55B8CD62" w:rsidR="006A4942" w:rsidRDefault="006A4942" w:rsidP="006A4942">
      <w:pPr>
        <w:ind w:firstLine="720"/>
      </w:pPr>
      <w:r>
        <w:t xml:space="preserve">We imported the ASV count and taxonomy files generated by QIIME2 into R using the {qiime2R} package </w:t>
      </w:r>
      <w:r>
        <w:fldChar w:fldCharType="begin"/>
      </w:r>
      <w:r>
        <w:instrText xml:space="preserve"> ADDIN ZOTERO_ITEM CSL_CITATION {"citationID":"CBIQl7kI","properties":{"formattedCitation":"({\\i{}126})","plainCitation":"(126)","noteIndex":0},"citationItems":[{"id":1665,"uris":["http://zotero.org/users/13901503/items/4N2UFVCD"],"itemData":{"id":1665,"type":"article-journal","container-title":"R Package version 0.99","title":"qiime2R: importing QIIME2 artifacts and associated data into R sessions","author":[{"family":"Bisanz","given":"JE"}],"issued":{"date-parts":[["2018"]]}}}],"schema":"https://github.com/citation-style-language/schema/raw/master/csl-citation.json"}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126</w:t>
      </w:r>
      <w:r w:rsidRPr="006A4942">
        <w:rPr>
          <w:rFonts w:eastAsiaTheme="minorHAnsi"/>
          <w14:ligatures w14:val="standardContextual"/>
        </w:rPr>
        <w:t>)</w:t>
      </w:r>
      <w:r>
        <w:fldChar w:fldCharType="end"/>
      </w:r>
      <w:r>
        <w:t xml:space="preserve"> and saved them as a </w:t>
      </w:r>
      <w:proofErr w:type="spellStart"/>
      <w:r w:rsidRPr="00EB2FDE">
        <w:rPr>
          <w:i/>
          <w:iCs/>
        </w:rPr>
        <w:t>phyloseq</w:t>
      </w:r>
      <w:proofErr w:type="spellEnd"/>
      <w:r>
        <w:t xml:space="preserve"> object using the {</w:t>
      </w:r>
      <w:proofErr w:type="spellStart"/>
      <w:r>
        <w:t>phyloseq</w:t>
      </w:r>
      <w:proofErr w:type="spellEnd"/>
      <w:r>
        <w:t xml:space="preserve">} package </w:t>
      </w:r>
      <w:r>
        <w:fldChar w:fldCharType="begin"/>
      </w:r>
      <w:r>
        <w:instrText xml:space="preserve"> ADDIN ZOTERO_ITEM CSL_CITATION {"citationID":"rEqfVqQV","properties":{"formattedCitation":"({\\i{}127})","plainCitation":"(127)","noteIndex":0},"citationItems":[{"id":1667,"uris":["http://zotero.org/users/13901503/items/RR6DYA9S"],"itemData":{"id":1667,"type":"article-journal","container-title":"PLoS ONE","DOI":"10.1371/journal.pone.0061217","ISSN":"1932-6203","issue":"4","journalAbbreviation":"PLoS ONE","language":"en","page":"e61217","source":"DOI.org (Crossref)","title":"phyloseq: An R Package for Reproducible Interactive Analysis and Graphics of Microbiome Census Data","title-short":"phyloseq","volume":"8","author":[{"family":"McMurdie","given":"Paul J."},{"family":"Holmes","given":"Susan"}],"editor":[{"family":"Watson","given":"Michael"}],"issued":{"date-parts":[["2013",4,22]]}}}],"schema":"https://github.com/citation-style-language/schema/raw/master/csl-citation.json"}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127</w:t>
      </w:r>
      <w:r w:rsidRPr="006A4942">
        <w:rPr>
          <w:rFonts w:eastAsiaTheme="minorHAnsi"/>
          <w14:ligatures w14:val="standardContextual"/>
        </w:rPr>
        <w:t>)</w:t>
      </w:r>
      <w:r>
        <w:fldChar w:fldCharType="end"/>
      </w:r>
      <w:r>
        <w:t xml:space="preserve">. Most ASV’s were found at </w:t>
      </w:r>
      <w:r w:rsidRPr="00590F44">
        <w:t>low frequencies;</w:t>
      </w:r>
      <w:r>
        <w:t xml:space="preserve"> out of </w:t>
      </w:r>
      <w:r w:rsidRPr="00FB7CB1">
        <w:t>11</w:t>
      </w:r>
      <w:r>
        <w:t>,</w:t>
      </w:r>
      <w:r w:rsidRPr="00FB7CB1">
        <w:t>91</w:t>
      </w:r>
      <w:r>
        <w:t xml:space="preserve">6 total ASV’s, 89% were only found in one sample, and 16% were not assigned to a phylum. To avoid analyzing taxa that are artifacts of the sequencing process </w:t>
      </w:r>
      <w:r>
        <w:fldChar w:fldCharType="begin"/>
      </w:r>
      <w:r>
        <w:instrText xml:space="preserve"> ADDIN ZOTERO_ITEM CSL_CITATION {"citationID":"L2wCm92o","properties":{"formattedCitation":"({\\i{}128})","plainCitation":"(128)","noteIndex":0},"citationItems":[{"id":1672,"uris":["http://zotero.org/users/13901503/items/F4HJCW9M"],"itemData":{"id":1672,"type":"article-journal","abstract":"&lt;p&gt;&lt;bold&gt;Background:&lt;/bold&gt; The accuracy of microbial community detection in 16S rRNA marker-gene and metagenomic studies suffers from contamination and sequencing errors that lead to either falsely identifying microbial taxa that were not in the sample or misclassifying the taxa of DNA fragment reads. Removing contaminants and filtering rare features are two common approaches to deal with this problem. While contaminant detection methods use auxiliary sequencing process information to identify known contaminants, filtering methods remove taxa that are present in a small number of samples and have small counts in the samples where they are observed. The latter approach reduces the extreme sparsity of microbiome data and has been shown to correctly remove contaminant taxa in cultured “mock” datasets, where the true taxa compositions are known. Although filtering is frequently used, careful evaluation of its effect on the data analysis and scientific conclusions remains unreported. Here, we assess the effect of filtering on the alpha and beta diversity estimation as well as its impact on identifying taxa that discriminate between disease states.&lt;/p&gt;&lt;p&gt;&lt;bold&gt;Results:&lt;/bold&gt; The effect of filtering on microbiome data analysis is illustrated on four datasets: two mock quality control datasets where the same cultured samples with known microbial composition are processed at different labs and two disease study datasets. Results show that in microbiome quality control datasets, filtering reduces the magnitude of differences in alpha diversity and alleviates technical variability between labs while preserving the between samples similarity (beta diversity). In the disease study datasets, DESeq2 and linear discriminant analysis Effect Size (LEfSe) methods were used to identify taxa that are differentially abundant across groups of samples, and random forest models were used to rank features with the largest contribution toward disease classification. Results reveal that filtering retains significant taxa and preserves the model classification ability measured by the area under the receiver operating characteristic curve (AUC). The comparison between the filtering and the contaminant removal method shows that they have complementary effects and are advised to be used in conjunction.&lt;/p&gt;&lt;p&gt;&lt;bold&gt;Conclusions:&lt;/bold&gt; Filtering reduces the complexity of microbiome data while preserving their integrity in downstream analysis. This leads to mitigation of the classification methods' sensitivity and reduction of technical variability, allowing researchers to generate more reproducible and comparable results in microbiome data analysis.&lt;/p&gt;","container-title":"Frontiers in Microbiology","DOI":"10.3389/fmicb.2020.607325","ISSN":"1664-302X","journalAbbreviation":"Front. Microbiol.","language":"English","note":"publisher: Frontiers","source":"Frontiers","title":"Effects of Rare Microbiome Taxa Filtering on Statistical Analysis","URL":"https://www.frontiersin.org/journals/microbiology/articles/10.3389/fmicb.2020.607325/full","volume":"11","author":[{"family":"Cao","given":"Quy"},{"family":"Sun","given":"Xinxin"},{"family":"Rajesh","given":"Karun"},{"family":"Chalasani","given":"Naga"},{"family":"Gelow","given":"Kayla"},{"family":"Katz","given":"Barry"},{"family":"Shah","given":"Vijay H."},{"family":"Sanyal","given":"Arun J."},{"family":"Smirnova","given":"Ekaterina"}],"accessed":{"date-parts":[["2025",1,29]]},"issued":{"date-parts":[["2021",1,12]]}}}],"schema":"https://github.com/citation-style-language/schema/raw/master/csl-citation.json"}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128</w:t>
      </w:r>
      <w:r w:rsidRPr="006A4942">
        <w:rPr>
          <w:rFonts w:eastAsiaTheme="minorHAnsi"/>
          <w14:ligatures w14:val="standardContextual"/>
        </w:rPr>
        <w:t>)</w:t>
      </w:r>
      <w:r>
        <w:fldChar w:fldCharType="end"/>
      </w:r>
      <w:r>
        <w:t xml:space="preserve">, we removed ASV’s found in less than 0.5% of total samples. After filtering, we removed 102 additional ASV’s that were not assigned at the phylum level, resulting in </w:t>
      </w:r>
      <w:r w:rsidRPr="00830DDA">
        <w:t>1159</w:t>
      </w:r>
      <w:r>
        <w:t xml:space="preserve"> total remaining ASV’s. Most of the remaining ASV’s could be assigned to class (100%), order (95%) and family (93%) levels but assignment decreased substantially at the genus (60%) level.</w:t>
      </w:r>
    </w:p>
    <w:p w14:paraId="736EF4AA" w14:textId="77777777" w:rsidR="006A4942" w:rsidRPr="00147548" w:rsidRDefault="006A4942" w:rsidP="006A4942">
      <w:pPr>
        <w:rPr>
          <w:i/>
          <w:iCs/>
        </w:rPr>
      </w:pPr>
    </w:p>
    <w:p w14:paraId="02AD1679" w14:textId="77777777" w:rsidR="006A4942" w:rsidRDefault="006A4942" w:rsidP="006A4942">
      <w:pPr>
        <w:rPr>
          <w:i/>
          <w:iCs/>
        </w:rPr>
      </w:pPr>
      <w:r>
        <w:rPr>
          <w:i/>
          <w:iCs/>
        </w:rPr>
        <w:t>Shotgun metagenomic</w:t>
      </w:r>
      <w:r w:rsidRPr="00147548">
        <w:rPr>
          <w:i/>
          <w:iCs/>
        </w:rPr>
        <w:t xml:space="preserve"> </w:t>
      </w:r>
      <w:r>
        <w:rPr>
          <w:i/>
          <w:iCs/>
        </w:rPr>
        <w:t>sequencing and data processing</w:t>
      </w:r>
    </w:p>
    <w:p w14:paraId="4543C50C" w14:textId="77777777" w:rsidR="006A4942" w:rsidRDefault="006A4942" w:rsidP="006A4942">
      <w:r>
        <w:t xml:space="preserve">We used metagenomic sequencing to characterize the functional capacity of the gut microbiome in a subset of 95 samples with sufficient DNA concentration for library preparation. We prepared sequencing libraries using the </w:t>
      </w:r>
      <w:proofErr w:type="spellStart"/>
      <w:r w:rsidRPr="006E7CF5">
        <w:t>NEBNext</w:t>
      </w:r>
      <w:proofErr w:type="spellEnd"/>
      <w:r w:rsidRPr="006E7CF5">
        <w:t xml:space="preserve"> Ultra™ II FS DNA PCR-free Library Prep Kit for Illumina</w:t>
      </w:r>
      <w:r>
        <w:t xml:space="preserve"> (New England Biolabs, Ipswich, MA, USA). We followed the manufacturer protocol for low inputs (50ng to 99ng) and selected library inserts around 350bp. We pooled the libraries and sequenced them on the Illumina </w:t>
      </w:r>
      <w:proofErr w:type="spellStart"/>
      <w:r>
        <w:t>NovaSeq</w:t>
      </w:r>
      <w:proofErr w:type="spellEnd"/>
      <w:r>
        <w:t xml:space="preserve"> platform at the Rush Genomics and Microbiome Core Facility. Pair-end sequences from 95 samples yielded </w:t>
      </w:r>
      <w:r w:rsidRPr="003761CD">
        <w:t>2</w:t>
      </w:r>
      <w:r>
        <w:t>,</w:t>
      </w:r>
      <w:r w:rsidRPr="003761CD">
        <w:t>902</w:t>
      </w:r>
      <w:r>
        <w:t>,</w:t>
      </w:r>
      <w:r w:rsidRPr="003761CD">
        <w:t>714</w:t>
      </w:r>
      <w:r>
        <w:t>,</w:t>
      </w:r>
      <w:r w:rsidRPr="003761CD">
        <w:t>548</w:t>
      </w:r>
      <w:r>
        <w:t xml:space="preserve"> raw sequence reads (average </w:t>
      </w:r>
      <w:r w:rsidRPr="003761CD">
        <w:t>15</w:t>
      </w:r>
      <w:r>
        <w:t>,</w:t>
      </w:r>
      <w:r w:rsidRPr="003761CD">
        <w:t>277</w:t>
      </w:r>
      <w:r>
        <w:t>,</w:t>
      </w:r>
      <w:r w:rsidRPr="003761CD">
        <w:t>44</w:t>
      </w:r>
      <w:r>
        <w:t xml:space="preserve">5 per sample, range of </w:t>
      </w:r>
      <w:r w:rsidRPr="003761CD">
        <w:t>531</w:t>
      </w:r>
      <w:r>
        <w:t>,</w:t>
      </w:r>
      <w:r w:rsidRPr="003761CD">
        <w:t>829</w:t>
      </w:r>
      <w:r>
        <w:t xml:space="preserve"> to </w:t>
      </w:r>
      <w:r w:rsidRPr="00975DCE">
        <w:t>25</w:t>
      </w:r>
      <w:r>
        <w:t>,</w:t>
      </w:r>
      <w:r w:rsidRPr="00975DCE">
        <w:t>348</w:t>
      </w:r>
      <w:r>
        <w:t>,</w:t>
      </w:r>
      <w:r w:rsidRPr="00975DCE">
        <w:t>795</w:t>
      </w:r>
      <w:r>
        <w:t xml:space="preserve"> reads).</w:t>
      </w:r>
    </w:p>
    <w:p w14:paraId="53EB33D4" w14:textId="1A1D8FE2" w:rsidR="006A4942" w:rsidRDefault="006A4942" w:rsidP="006A4942">
      <w:r>
        <w:tab/>
        <w:t xml:space="preserve">We quality-filtered the raw metagenomic sequences using </w:t>
      </w:r>
      <w:proofErr w:type="spellStart"/>
      <w:r>
        <w:t>KneadData</w:t>
      </w:r>
      <w:proofErr w:type="spellEnd"/>
      <w:r>
        <w:t xml:space="preserve"> (</w:t>
      </w:r>
      <w:r w:rsidRPr="003D15B6">
        <w:t>v0.12.0</w:t>
      </w:r>
      <w:r>
        <w:t xml:space="preserve">) which uses </w:t>
      </w:r>
      <w:proofErr w:type="spellStart"/>
      <w:r>
        <w:t>Trimmomatic</w:t>
      </w:r>
      <w:proofErr w:type="spellEnd"/>
      <w:r>
        <w:t xml:space="preserve"> to remove adaptors, low-quality reads, and overrepresented or repetitive sequences, and Bowtie2 to remove host-derived sequences </w:t>
      </w:r>
      <w:r>
        <w:fldChar w:fldCharType="begin"/>
      </w:r>
      <w:r>
        <w:instrText xml:space="preserve"> ADDIN ZOTERO_ITEM CSL_CITATION {"citationID":"1Zg0y02O","properties":{"formattedCitation":"({\\i{}129})","plainCitation":"(129)","noteIndex":0},"citationItems":[{"id":968,"uris":["http://zotero.org/users/13901503/items/9YGIV4WL"],"itemData":{"id":968,"type":"article-journal","abstract":"Culture-independent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studies.","container-title":"eLife","DOI":"10.7554/eLife.65088","ISSN":"2050-084X","note":"publisher: eLife Sciences Publications, Ltd","page":"e65088","source":"eLife","title":"Integrating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129</w:t>
      </w:r>
      <w:r w:rsidRPr="006A4942">
        <w:rPr>
          <w:rFonts w:eastAsiaTheme="minorHAnsi"/>
          <w14:ligatures w14:val="standardContextual"/>
        </w:rPr>
        <w:t>)</w:t>
      </w:r>
      <w:r>
        <w:fldChar w:fldCharType="end"/>
      </w:r>
      <w:r>
        <w:t xml:space="preserve">. We ran </w:t>
      </w:r>
      <w:proofErr w:type="spellStart"/>
      <w:r>
        <w:t>KneadData</w:t>
      </w:r>
      <w:proofErr w:type="spellEnd"/>
      <w:r>
        <w:t xml:space="preserve"> using the standard parameters S</w:t>
      </w:r>
      <w:r w:rsidRPr="00975DCE">
        <w:t>LIDINGWINDOW:4:20</w:t>
      </w:r>
      <w:r>
        <w:t xml:space="preserve"> and</w:t>
      </w:r>
      <w:r w:rsidRPr="00975DCE">
        <w:t xml:space="preserve"> MINLEN:90</w:t>
      </w:r>
      <w:r>
        <w:t xml:space="preserve"> to trim reads when the average quality score dropped below 20 and remove reads shorter than 90bp. To remove host-associated reads we used the GRCh38.p13 human reference genome </w:t>
      </w:r>
      <w:r w:rsidRPr="00FF2CF9">
        <w:t>(</w:t>
      </w:r>
      <w:proofErr w:type="spellStart"/>
      <w:r w:rsidRPr="00FF2CF9">
        <w:t>RefSeq</w:t>
      </w:r>
      <w:proofErr w:type="spellEnd"/>
      <w:r w:rsidRPr="00FF2CF9">
        <w:t xml:space="preserve"> accession: GCF_009914755.1)</w:t>
      </w:r>
      <w:r>
        <w:t xml:space="preserve"> which has been used to filter host genome data in previous capuchin metagenome studies </w:t>
      </w:r>
      <w:r>
        <w:fldChar w:fldCharType="begin"/>
      </w:r>
      <w:r>
        <w:instrText xml:space="preserve"> ADDIN ZOTERO_ITEM CSL_CITATION {"citationID":"e5PQThsy","properties":{"formattedCitation":"({\\i{}55})","plainCitation":"(55)","noteIndex":0},"citationItems":[{"id":700,"uris":["http://zotero.org/users/13901503/items/HCYVY6PR"],"itemData":{"id":700,"type":"article-journal","abstract":"Research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55</w:t>
      </w:r>
      <w:r w:rsidRPr="006A4942">
        <w:rPr>
          <w:rFonts w:eastAsiaTheme="minorHAnsi"/>
          <w14:ligatures w14:val="standardContextual"/>
        </w:rPr>
        <w:t>)</w:t>
      </w:r>
      <w:r>
        <w:fldChar w:fldCharType="end"/>
      </w:r>
      <w:r>
        <w:t xml:space="preserve">. </w:t>
      </w:r>
      <w:proofErr w:type="spellStart"/>
      <w:r>
        <w:t>KneadData</w:t>
      </w:r>
      <w:proofErr w:type="spellEnd"/>
      <w:r>
        <w:t xml:space="preserve"> yielded </w:t>
      </w:r>
      <w:r w:rsidRPr="003054A4">
        <w:t>931</w:t>
      </w:r>
      <w:r>
        <w:t>,</w:t>
      </w:r>
      <w:r w:rsidRPr="003054A4">
        <w:t>326</w:t>
      </w:r>
      <w:r>
        <w:t>,</w:t>
      </w:r>
      <w:r w:rsidRPr="003054A4">
        <w:t>495</w:t>
      </w:r>
      <w:r>
        <w:t xml:space="preserve"> cleaned reads (average </w:t>
      </w:r>
      <w:r w:rsidRPr="003054A4">
        <w:t>98</w:t>
      </w:r>
      <w:r>
        <w:t>,</w:t>
      </w:r>
      <w:r w:rsidRPr="003054A4">
        <w:t>034</w:t>
      </w:r>
      <w:r>
        <w:t>,</w:t>
      </w:r>
      <w:r w:rsidRPr="003054A4">
        <w:t>3</w:t>
      </w:r>
      <w:r>
        <w:t xml:space="preserve">76 per sample, range of 178,711 to </w:t>
      </w:r>
      <w:r w:rsidRPr="003054A4">
        <w:t>22</w:t>
      </w:r>
      <w:r>
        <w:t>,</w:t>
      </w:r>
      <w:r w:rsidRPr="003054A4">
        <w:t>386</w:t>
      </w:r>
      <w:r>
        <w:t>,</w:t>
      </w:r>
      <w:r w:rsidRPr="003054A4">
        <w:t>906</w:t>
      </w:r>
      <w:r>
        <w:t xml:space="preserve"> reads). We concatenated the forward and reverse reads and used HUMAnN3 (v3.9)</w:t>
      </w:r>
      <w:r w:rsidRPr="009E57A6">
        <w:t xml:space="preserve"> </w:t>
      </w:r>
      <w:r>
        <w:t xml:space="preserve">for functional profiling. Gene families were assigned using the </w:t>
      </w:r>
      <w:r>
        <w:lastRenderedPageBreak/>
        <w:t xml:space="preserve">Uniref50 database and regrouped into </w:t>
      </w:r>
      <w:proofErr w:type="spellStart"/>
      <w:r>
        <w:t>MetaCyc</w:t>
      </w:r>
      <w:proofErr w:type="spellEnd"/>
      <w:r>
        <w:t xml:space="preserve"> reactions. The resulting table reported the abundance of each unique metabolic pathway normalized by the number of gene families contributing to that pathway. We imported the pathway abundance table into R and removed the unmapped values, which represent sequences that could not be assigned to any known gene family,</w:t>
      </w:r>
      <w:r w:rsidRPr="00300421">
        <w:t xml:space="preserve"> </w:t>
      </w:r>
      <w:r>
        <w:t>as well as unintegrated values, which correspond to gene families not associated with any known pathway. After filtering, 548 unique metabolic pathways remained. We performed all subsequent analyses using R v4.3.1.</w:t>
      </w:r>
    </w:p>
    <w:p w14:paraId="01302E07" w14:textId="77777777" w:rsidR="006A4942" w:rsidRDefault="006A4942" w:rsidP="006A4942"/>
    <w:p w14:paraId="30626623" w14:textId="77777777" w:rsidR="006A4942" w:rsidRPr="00521E9D" w:rsidRDefault="006A4942" w:rsidP="006A4942">
      <w:pPr>
        <w:rPr>
          <w:u w:val="single"/>
        </w:rPr>
      </w:pPr>
      <w:r>
        <w:rPr>
          <w:u w:val="single"/>
        </w:rPr>
        <w:t>Metadata assembly</w:t>
      </w:r>
    </w:p>
    <w:p w14:paraId="49F50AE8" w14:textId="77777777" w:rsidR="006A4942" w:rsidRDefault="006A4942" w:rsidP="006A4942">
      <w:r>
        <w:t xml:space="preserve">We matched each 16s rRNA and shotgun metagenomic sample with the relevant metadata to facilitate subsequent analyses. We paired samples with the average neopterin value from a 7-day window, encompassing three days before, the day of, and three days after sample collection. Our time window provides a general measure of immune performance associated with the microbiome composition, enabling us to assess the relationship between the two. We also averaged the maximum temperature (collected every 15 minutes) 15 days before sample collection. This time frame allowed us to evaluate the relationship between the microbiome and long-term trends in temperature. This temperature predictor has also been associated with changes in immune performance in this population </w:t>
      </w:r>
      <w:r>
        <w:fldChar w:fldCharType="begin"/>
      </w:r>
      <w:r>
        <w:instrText xml:space="preserve"> ADDIN ZOTERO_ITEM CSL_CITATION {"citationID":"5XvGEW0Y","properties":{"formattedCitation":"({\\i{}8})","plainCitation":"(8)","noteIndex":0},"citationItems":[{"id":1689,"uris":["http://zotero.org/users/13901503/items/2TJCS3UQ"],"itemData":{"id":1689,"type":"article-journal","abstract":"Rising temperatures due to climate change are predicted to threaten the persistence of wild animals, but there is little evidence that climate change has pushed species beyond their thermal tolerance. The immune system is an ideal avenue to assess the effects of climate change because immune performance is sensitive to changes in temperature and immune competency can affect reproductive success. We investigate the effect of rising temperatures on a biomarker of nonspecific immune performance in a wild population of capuchin monkeys and provide compelling evidence that immune performance is associated with ambient temperature. Critically, we found that immune performance in young individuals is more sensitive to high temperatures compared to other age groups. Coupled with evidence of rising temperatures in the region, our results offer insight into how climate change will affect the immune system of wild mammals.","container-title":"Science Advances","DOI":"10.1126/sciadv.adq6629","issue":"48","note":"publisher: American Association for the Advancement of Science","page":"eadq6629","source":"www-science-org.proxy.lib.umich.edu (Atypon)","title":"High temperatures are associated with decreased immune system performance in a wild primate","volume":"10","author":[{"family":"Lucore","given":"Jordan M."},{"family":"Beehner","given":"Jacinta C."},{"family":"White","given":"Amy F."},{"family":"Sinclair","given":"Lorena F."},{"family":"Martins","given":"Vasco Alexandre"},{"family":"Kovalaskas","given":"Sarah A."},{"family":"Ordoñez","given":"Juan Carlos"},{"family":"Bergman","given":"Thore J."},{"family":"Benítez","given":"Marcela E."},{"family":"Marshall","given":"Andrew J."}],"issued":{"date-parts":[["2024",11,29]]}}}],"schema":"https://github.com/citation-style-language/schema/raw/master/csl-citation.json"} </w:instrText>
      </w:r>
      <w:r>
        <w:fldChar w:fldCharType="separate"/>
      </w:r>
      <w:r w:rsidRPr="00DD12D1">
        <w:t>(</w:t>
      </w:r>
      <w:r w:rsidRPr="00DD12D1">
        <w:rPr>
          <w:i/>
          <w:iCs/>
        </w:rPr>
        <w:t>8</w:t>
      </w:r>
      <w:r w:rsidRPr="00DD12D1">
        <w:t>)</w:t>
      </w:r>
      <w:r>
        <w:fldChar w:fldCharType="end"/>
      </w:r>
      <w:r>
        <w:t xml:space="preserve">. </w:t>
      </w:r>
    </w:p>
    <w:p w14:paraId="58B0427B" w14:textId="2D4CCC42" w:rsidR="006A4942" w:rsidRDefault="006A4942" w:rsidP="006A4942">
      <w:pPr>
        <w:ind w:firstLine="720"/>
      </w:pPr>
      <w:r>
        <w:t xml:space="preserve">We also paired each sample with all diet observations from the same individual within two weeks before sample collection, following time frames used in previous white-faced capuchin gut microbiome studies </w:t>
      </w:r>
      <w:r>
        <w:fldChar w:fldCharType="begin"/>
      </w:r>
      <w:r>
        <w:instrText xml:space="preserve"> ADDIN ZOTERO_ITEM CSL_CITATION {"citationID":"JR1jMbxd","properties":{"formattedCitation":"({\\i{}55}, {\\i{}106})","plainCitation":"(55, 106)","noteIndex":0},"citationItems":[{"id":1636,"uris":["http://zotero.org/users/13901503/items/5NZP9HX7"],"itemData":{"id":1636,"type":"article-journal","abstract":"Objectives Invertebrate consumption is thought to be an integral part of early hominin diets, and many modern human populations regularly consume insects and other arthropods. This study examines the response of gut microbial community structure and function to changes in diet in wild white-faced capuchins (Cebus capucinus), a primate that incorporates a large proportion of invertebrates in its diet. The goal of the study is to better understand the role of both fruit and invertebrate prey consumption on shaping primate gut microbiomes. Materials and methods Fecal samples (n = 169) and dietary data were collected over 12 months. The V3-V5 region of microbial 16S rRNA genes was amplified and sequenced. The IM-TORNADO pipeline was used to analyze sequences. Results White-faced capuchin gut bacterial communities were characterized primarily by Firmicutes (41.6%) and Proteobacteria (39.2%). There was a significant relationship between the invertebrate diet composition of individual capuchins and their gut microbiome composition. However, there was no relationship between the fruit diet composition of individual capuchins and their gut microbiome composition, even when examining multiple timescales. Discussion The results of our study indicate that there is a stronger relationship between gut microbial community structure and invertebrate diet composition than between gut microbial community structure and fruit consumption. As invertebrates and other animal prey play an important role in the diet of many primates, these results give important insight into the role of faunivory in shaping the evolution of host-microbe interactions in primates.","container-title":"American Journal of Physical Anthropology","DOI":"10.1002/ajpa.23395","ISSN":"1096-8644","issue":"3","language":"en","note":"_eprint: https://onlinelibrary.wiley.com/doi/pdf/10.1002/ajpa.23395","page":"576-588","source":"Wiley Online Library","title":"Influence of fruit and invertebrate consumption on the gut microbiota of wild white-faced capuchins (Cebus capucinus)","volume":"165","author":[{"family":"Mallott","given":"Elizabeth K."},{"family":"Amato","given":"Katherine R."},{"family":"Garber","given":"Paul A."},{"family":"Malhi","given":"Ripan S."}],"issued":{"date-parts":[["2018"]]}}},{"id":700,"uris":["http://zotero.org/users/13901503/items/HCYVY6PR"],"itemData":{"id":700,"type":"article-journal","abstract":"Research on the gut microbiota of free-ranging mammals is offering new insights into dietary ecology. However, for free-ranging primates, little information is available for how microbiomes are influenced by ecological variation through time. Primates inhabiting seasonal tropical dry forests undergo seasonally specific decreases in food abundance and water availability, which have been linked to adverse health effects. Throughout the course of a seasonal transition in 2014, we collected fecal samples from three social groups of free-ranging white-faced capuchin monkeys (Cebus capucinus imitator) in Sector Santa Rosa, Área de Conservación Guanacaste, Costa Rica. 16S rRNA sequencing data reveal that unlike other primates, the white-faced capuchin monkey gut is dominated by Bifidobacterium and Streptococcus. Linear mixed effects models indicate that abundances of these genera are associated with fluctuating availability and consumption of fruit and arthropods, whereas beta diversity clusters by rainfall season. Whole shotgun metagenomics revealed that the capuchin gut is dominated by carbohydrate-binding modules associated with digestion of plant polysaccharides and chitin, matching seasonal dietary patterns. We conclude that rainfall and diet are associated with the diversity, composition, and function of the capuchin gut microbiome. Additionally, microbial fluctuations are likely contributing to nutrient uptake and the health of wild primate populations.","container-title":"The ISME Journal","DOI":"10.1038/s41396-018-0256-0","ISSN":"1751-7362","issue":"1","journalAbbreviation":"The ISME Journal","page":"183-196","source":"Silverchair","title":"Seasonality of the gut microbiota of free-ranging white-faced capuchins in a tropical dry forest","volume":"13","author":[{"family":"Orkin","given":"Joseph D"},{"family":"Campos","given":"Fernando A"},{"family":"Myers","given":"Monica S"},{"family":"Cheves Hernandez","given":"Saul E"},{"family":"Guadamuz","given":"Adrián"},{"family":"Melin","given":"Amanda D"}],"issued":{"date-parts":[["2019",1,1]]}}}],"schema":"https://github.com/citation-style-language/schema/raw/master/csl-citation.json"}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55</w:t>
      </w:r>
      <w:r w:rsidRPr="006A4942">
        <w:rPr>
          <w:rFonts w:eastAsiaTheme="minorHAnsi"/>
          <w14:ligatures w14:val="standardContextual"/>
        </w:rPr>
        <w:t xml:space="preserve">, </w:t>
      </w:r>
      <w:r w:rsidRPr="006A4942">
        <w:rPr>
          <w:rFonts w:eastAsiaTheme="minorHAnsi"/>
          <w:i/>
          <w:iCs/>
          <w14:ligatures w14:val="standardContextual"/>
        </w:rPr>
        <w:t>106</w:t>
      </w:r>
      <w:r w:rsidRPr="006A4942">
        <w:rPr>
          <w:rFonts w:eastAsiaTheme="minorHAnsi"/>
          <w14:ligatures w14:val="standardContextual"/>
        </w:rPr>
        <w:t>)</w:t>
      </w:r>
      <w:r>
        <w:fldChar w:fldCharType="end"/>
      </w:r>
      <w:r>
        <w:t xml:space="preserve">. We quantified diet diversity by modeling diet richness (i.e., the total number of unique food items recorded) as a function of the total number of feeding observations. We then used the residuals as a measure of diet diversity, with negative values indicating lower-than-expected diversity and positive values indicating higher-than-expected diversity </w:t>
      </w:r>
      <w:r>
        <w:fldChar w:fldCharType="begin"/>
      </w:r>
      <w:r>
        <w:instrText xml:space="preserve"> ADDIN ZOTERO_ITEM CSL_CITATION {"citationID":"KgDJiC4b","properties":{"formattedCitation":"({\\i{}130})","plainCitation":"(130)","noteIndex":0},"citationItems":[{"id":1724,"uris":["http://zotero.org/users/13901503/items/VWJDBSPR"],"itemData":{"id":1724,"type":"article-journal","abstract":"The endemic Bornean tufted ground squirrel, Rheithrosciurus macrotis, has attracted great interest among biologists and the public recently. Nevertheless, we lack information about the most basic aspects of its biology. Here we present the first empirical data on the feeding ecology of tufted ground squirrels and use data from 81 sympatric mammalian and avian vertebrates to place it within a broad comparative context. Rheithrosciurus macrotis is a seed predator and shows much more extreme ecological specialisation than any other vertebrate, feeding on a far smaller subset of available plant foods and demonstrating a greater reliance on a single plant species—Canarium decumanum. Our results suggest that R. macrotis plays an important, previously unknown role in the ecology of Bornean lowland forests and highlight how much we have yet to learn about the fauna inhabiting some of the most diverse, and most severely threatened, ecosystems on the planet.","container-title":"Raffles Bulletin of Zoology","DOI":"10.26107/RBZ-2021-0067","ISSN":"0217-2445","language":"en","note":"publisher: Lee Kong Chian Natural History Museum","page":"497506","source":"DOI.org (Datacite)","title":"Extreme ecological specialisation in a rainforest mammal, the Bornean tufted ground squirrel, Rheithrosciurus macrotis Gray, 1857","volume":"69","author":[{"family":"Marshall","given":"Andrew J."},{"family":"Meijaard","given":"Erik"},{"family":"Leighton","given":"Mark"}],"issued":{"date-parts":[["2021"]]}}}],"schema":"https://github.com/citation-style-language/schema/raw/master/csl-citation.json"}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130</w:t>
      </w:r>
      <w:r w:rsidRPr="006A4942">
        <w:rPr>
          <w:rFonts w:eastAsiaTheme="minorHAnsi"/>
          <w14:ligatures w14:val="standardContextual"/>
        </w:rPr>
        <w:t>)</w:t>
      </w:r>
      <w:r>
        <w:fldChar w:fldCharType="end"/>
      </w:r>
      <w:r>
        <w:t>. We calculated the percent consumption of each food type by dividing the total number of feeding observations for each food category (animal, flower, fruit, fungi, insect, leaves, nectar, nurse, pith, seeds) by the total number of feeding observations. We then plotted each food type against temperature to identify diet categories that vary with temperature to control for these factors when assessing the direct effect of temperature on the microbiome.</w:t>
      </w:r>
      <w:r w:rsidRPr="00C53131">
        <w:t xml:space="preserve"> </w:t>
      </w:r>
      <w:r>
        <w:t xml:space="preserve">We found that percent fruit consumption has a strong, positive relationship with temperature (Fig 4S) and controlled for this in subsequent analyses. After matching each sample with the appropriate metadata, we were left with 277 16s rRNA samples and 71 shotgun metagenomic samples. </w:t>
      </w:r>
    </w:p>
    <w:p w14:paraId="7CF342E5" w14:textId="77777777" w:rsidR="006A4942" w:rsidRDefault="006A4942" w:rsidP="006A4942">
      <w:pPr>
        <w:ind w:firstLine="720"/>
      </w:pPr>
    </w:p>
    <w:p w14:paraId="1B5A3FB5" w14:textId="77777777" w:rsidR="006A4942" w:rsidRDefault="006A4942" w:rsidP="006A4942">
      <w:pPr>
        <w:rPr>
          <w:u w:val="single"/>
        </w:rPr>
      </w:pPr>
      <w:r w:rsidRPr="00D807D7">
        <w:rPr>
          <w:u w:val="single"/>
        </w:rPr>
        <w:t>Community</w:t>
      </w:r>
      <w:r>
        <w:rPr>
          <w:u w:val="single"/>
        </w:rPr>
        <w:t>-level composition a</w:t>
      </w:r>
      <w:r w:rsidRPr="00D807D7">
        <w:rPr>
          <w:u w:val="single"/>
        </w:rPr>
        <w:t>nalysis</w:t>
      </w:r>
    </w:p>
    <w:p w14:paraId="704AC79C" w14:textId="5D404B0A" w:rsidR="006A4942" w:rsidRDefault="006A4942" w:rsidP="006A4942">
      <w:r>
        <w:t xml:space="preserve">To evaluate how gut microbiome taxonomic composition and functional capacity are related to temperature, we generated metrics of community composition including alpha and beta diversity. To measure alpha diversity, we calculated two widely used indices: Shannon diversity index (which accounts for both richness and evenness) and observed richness (the total number of ASVs or pathways in a sample) using the </w:t>
      </w:r>
      <w:proofErr w:type="spellStart"/>
      <w:r>
        <w:t>estimate_richness</w:t>
      </w:r>
      <w:proofErr w:type="spellEnd"/>
      <w:r>
        <w:t>() function from the {</w:t>
      </w:r>
      <w:proofErr w:type="spellStart"/>
      <w:r>
        <w:t>phyloseq</w:t>
      </w:r>
      <w:proofErr w:type="spellEnd"/>
      <w:r>
        <w:t>} package. To measure beta diversity (i.e., community dissimilarity between samples), we generated Aitchison distances by computing the Euclidean distance between pairwise samples after performing a centered log-ratio (</w:t>
      </w:r>
      <w:proofErr w:type="spellStart"/>
      <w:r>
        <w:t>clr</w:t>
      </w:r>
      <w:proofErr w:type="spellEnd"/>
      <w:r>
        <w:t xml:space="preserve">) transformation on the raw count data </w:t>
      </w:r>
      <w:r>
        <w:fldChar w:fldCharType="begin"/>
      </w:r>
      <w:r>
        <w:instrText xml:space="preserve"> ADDIN ZOTERO_ITEM CSL_CITATION {"citationID":"rslhHr6V","properties":{"formattedCitation":"({\\i{}131})","plainCitation":"(131)","noteIndex":0},"citationItems":[{"id":1678,"uris":["http://zotero.org/users/13901503/items/MSZDHDQF"],"itemData":{"id":1678,"type":"article-journal","abstract":"The singular value decomposition and its interpretation as a linear biplot have proved to be a powerful tool for analysing many forms of multivariate data. Here we adapt biplot methodology to the specific case of compositional data consisting of positive vectors each of which is constrained to have unit sum. These relative variation biplots have properties relating to the special features of compositional data: the study of ratios, subcompositions and models of compositional relationships. The methodology is applied to a data set consisting of six-part colour compositions in 22 abstract paintings, showing how the singular value decomposition can achieve an accurate biplot of the colour ratios and how possible models interrelating the colours can be diagnosed.","container-title":"Journal of the Royal Statistical Society Series C: Applied Statistics","DOI":"10.1111/1467-9876.00275","ISSN":"0035-9254","issue":"4","journalAbbreviation":"Journal of the Royal Statistical Society Series C: Applied Statistics","page":"375-392","source":"Silverchair","title":"Biplots of Compositional Data","volume":"51","author":[{"family":"Aitchison","given":"John"},{"family":"Greenacre","given":"Michael"}],"issued":{"date-parts":[["2002",10,1]]}}}],"schema":"https://github.com/citation-style-language/schema/raw/master/csl-citation.json"}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131</w:t>
      </w:r>
      <w:r w:rsidRPr="006A4942">
        <w:rPr>
          <w:rFonts w:eastAsiaTheme="minorHAnsi"/>
          <w14:ligatures w14:val="standardContextual"/>
        </w:rPr>
        <w:t>)</w:t>
      </w:r>
      <w:r>
        <w:fldChar w:fldCharType="end"/>
      </w:r>
      <w:r>
        <w:t xml:space="preserve">. We added a pseudo count to all zeros before the </w:t>
      </w:r>
      <w:proofErr w:type="spellStart"/>
      <w:r>
        <w:t>clr</w:t>
      </w:r>
      <w:proofErr w:type="spellEnd"/>
      <w:r>
        <w:t xml:space="preserve"> transformation using the </w:t>
      </w:r>
      <w:proofErr w:type="spellStart"/>
      <w:r w:rsidRPr="001D4E08">
        <w:t>cmultRepl</w:t>
      </w:r>
      <w:proofErr w:type="spellEnd"/>
      <w:r w:rsidRPr="001D4E08">
        <w:t xml:space="preserve">() function </w:t>
      </w:r>
      <w:r>
        <w:t>from the</w:t>
      </w:r>
      <w:r w:rsidRPr="001D4E08">
        <w:t xml:space="preserve"> </w:t>
      </w:r>
      <w:r>
        <w:t>{</w:t>
      </w:r>
      <w:proofErr w:type="spellStart"/>
      <w:r w:rsidRPr="001D4E08">
        <w:t>zCompositions</w:t>
      </w:r>
      <w:proofErr w:type="spellEnd"/>
      <w:r>
        <w:t xml:space="preserve">} package, which uses </w:t>
      </w:r>
      <w:r w:rsidRPr="00510277">
        <w:t>Bayesian-multiplicative replacement</w:t>
      </w:r>
      <w:r>
        <w:t xml:space="preserve"> to </w:t>
      </w:r>
      <w:r w:rsidRPr="00510277">
        <w:t xml:space="preserve">preserve the structure of the data and minimize distortion compared to adding a fixed </w:t>
      </w:r>
      <w:r w:rsidRPr="00FB297C">
        <w:t xml:space="preserve">value </w:t>
      </w:r>
      <w:r w:rsidRPr="00FB297C">
        <w:fldChar w:fldCharType="begin"/>
      </w:r>
      <w:r>
        <w:instrText xml:space="preserve"> ADDIN ZOTERO_ITEM CSL_CITATION {"citationID":"CcTblRTP","properties":{"formattedCitation":"({\\i{}132})","plainCitation":"(132)","noteIndex":0},"citationItems":[{"id":1676,"uris":["http://zotero.org/users/13901503/items/B9HUBEW5"],"itemData":{"id":1676,"type":"article-journal","abstract":"zCompositions is an R package for the imputation of left-censored data under a compositional approach. It is pertinent when the analyst assumes that the relevant information is contained on the relative variation structure of the data. For instance, in cases where the experimental data are simultaneously measured in amounts related to a same total weight or volume. The approach is used in fields like geochemistry of waters or sedimentary rocks, environmental studies related to air pollution, physicochemical analysis of glass fragments in forensic science, and among many others. In these fields, rounded zeros and nondetects are usually regarded as left-censored data that hamper any subsequent data analysis. The implemented methods consider aspects of relevance for a compositional approach such as scale invariance, subcompositional coherence or preserving the multivariate relative structure of the data. Based on solid statistical frameworks, it comprises the ability to deal with single and varying censoring thresholds, consistent treatment of closed and non-closed data, exploratory tools, multiple imputation, MCMC, robust and non-parametric alternatives, and recent proposals for count data. Key methodological aspects, new contributions, computational implementation and the practical application of the approach are discussed.","container-title":"Chemometrics and Intelligent Laboratory Systems","DOI":"10.1016/j.chemolab.2015.02.019","ISSN":"0169-7439","journalAbbreviation":"Chemometrics and Intelligent Laboratory Systems","page":"85-96","source":"ScienceDirect","title":"zCompositions — R package for multivariate imputation of left-censored data under a compositional approach","volume":"143","author":[{"family":"Palarea-Albaladejo","given":"Javier"},{"family":"Martín-Fernández","given":"Josep Antoni"}],"issued":{"date-parts":[["2015",4,15]]}}}],"schema":"https://github.com/citation-style-language/schema/raw/master/csl-citation.json"} </w:instrText>
      </w:r>
      <w:r w:rsidRPr="00FB297C">
        <w:fldChar w:fldCharType="separate"/>
      </w:r>
      <w:r w:rsidRPr="006A4942">
        <w:rPr>
          <w:rFonts w:eastAsiaTheme="minorHAnsi"/>
          <w14:ligatures w14:val="standardContextual"/>
        </w:rPr>
        <w:t>(</w:t>
      </w:r>
      <w:r w:rsidRPr="006A4942">
        <w:rPr>
          <w:rFonts w:eastAsiaTheme="minorHAnsi"/>
          <w:i/>
          <w:iCs/>
          <w14:ligatures w14:val="standardContextual"/>
        </w:rPr>
        <w:t>132</w:t>
      </w:r>
      <w:r w:rsidRPr="006A4942">
        <w:rPr>
          <w:rFonts w:eastAsiaTheme="minorHAnsi"/>
          <w14:ligatures w14:val="standardContextual"/>
        </w:rPr>
        <w:t>)</w:t>
      </w:r>
      <w:r w:rsidRPr="00FB297C">
        <w:fldChar w:fldCharType="end"/>
      </w:r>
      <w:r w:rsidRPr="00FB297C">
        <w:t>.</w:t>
      </w:r>
      <w:r>
        <w:t xml:space="preserve"> We used </w:t>
      </w:r>
      <w:r>
        <w:lastRenderedPageBreak/>
        <w:t xml:space="preserve">Aitchison distances because microbiome datasets are compositional, meaning that observed read counts are constrained by sequencing depth and do not reflect absolute DNA abundances </w:t>
      </w:r>
      <w:r>
        <w:fldChar w:fldCharType="begin"/>
      </w:r>
      <w:r>
        <w:instrText xml:space="preserve"> ADDIN ZOTERO_ITEM CSL_CITATION {"citationID":"RU0uFdYd","properties":{"formattedCitation":"({\\i{}133})","plainCitation":"(133)","noteIndex":0},"citationItems":[{"id":1387,"uris":["http://zotero.org/users/13901503/items/7MG3GNU9"],"itemData":{"id":1387,"type":"article-journal","abstract":"A workshop held at the 2015 annual meeting of the Canadian Society of Microbiologists highlighted compositional data analysis methods and the importance of exploratory data analysis for the analysis of microbiome data sets generated by high-throughput DNA sequencing. A summary of the content of that workshop, a review of new methods of analysis, and information on the importance of careful analyses are presented herein. The workshop focussed on explaining the rationale behind the use of compositional data analysis, and a demonstration of these methods for the examination of 2 microbiome data sets. A clear understanding of bioinformatics methodologies and the type of data being analyzed is essential, given the growing number of studies uncovering the critical role of the microbiome in health and disease and the need to understand alterations to its composition and function following intervention with fecal transplant, probiotics, diet, and pharmaceutical agents.","container-title":"Canadian Journal of Microbiology","DOI":"10.1139/cjm-2015-0821","ISSN":"0008-4166, 1480-3275","issue":"8","journalAbbreviation":"Can. J. Microbiol.","language":"en","license":"http://www.nrcresearchpress.com/page/about/CorporateTextAndDataMining","page":"692-703","source":"DOI.org (Crossref)","title":"Compositional analysis: a valid approach to analyze microbiome high-throughput sequencing data","title-short":"Compositional analysis","volume":"62","author":[{"family":"Gloor","given":"Gregory B."},{"family":"Reid","given":"Gregor"}],"issued":{"date-parts":[["2016",8]]}}}],"schema":"https://github.com/citation-style-language/schema/raw/master/csl-citation.json"}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133</w:t>
      </w:r>
      <w:r w:rsidRPr="006A4942">
        <w:rPr>
          <w:rFonts w:eastAsiaTheme="minorHAnsi"/>
          <w14:ligatures w14:val="standardContextual"/>
        </w:rPr>
        <w:t>)</w:t>
      </w:r>
      <w:r>
        <w:fldChar w:fldCharType="end"/>
      </w:r>
      <w:r>
        <w:t>.</w:t>
      </w:r>
      <w:r w:rsidRPr="00E81A2E">
        <w:t xml:space="preserve"> </w:t>
      </w:r>
      <w:r>
        <w:t xml:space="preserve">Unlike traditional beta diversity metrics that were designed for absolute counts (e.g., Bray-Curtis, </w:t>
      </w:r>
      <w:proofErr w:type="spellStart"/>
      <w:r>
        <w:t>Unifrac</w:t>
      </w:r>
      <w:proofErr w:type="spellEnd"/>
      <w:r>
        <w:t xml:space="preserve">, Jensen-Shannon divergence), the </w:t>
      </w:r>
      <w:proofErr w:type="spellStart"/>
      <w:r>
        <w:t>clr</w:t>
      </w:r>
      <w:proofErr w:type="spellEnd"/>
      <w:r>
        <w:t xml:space="preserve"> transformation projects samples into Euclidean space where distances reflect log-ratio relationships among taxa,</w:t>
      </w:r>
      <w:r w:rsidRPr="001B23D4">
        <w:t xml:space="preserve"> </w:t>
      </w:r>
      <w:r>
        <w:t xml:space="preserve">avoiding misinterpretations that may arise from using absolute differences to interpret compositional data </w:t>
      </w:r>
      <w:r>
        <w:fldChar w:fldCharType="begin"/>
      </w:r>
      <w:r>
        <w:instrText xml:space="preserve"> ADDIN ZOTERO_ITEM CSL_CITATION {"citationID":"eI5jWKxN","properties":{"formattedCitation":"({\\i{}134})","plainCitation":"(134)","noteIndex":0},"citationItems":[{"id":785,"uris":["http://zotero.org/users/13901503/items/MWL4M2Q4"],"itemData":{"id":785,"type":"article-journal","abstract":"&lt;p&gt;Datasets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analysis.&lt;/p&gt;","container-title":"Frontiers in Microbiology","DOI":"10.3389/fmicb.2017.02224","ISSN":"1664-302X","journalAbbreviation":"Front. Microbiol.","language":"English","note":"publisher: Frontiers","source":"Frontiers","title":"Microbiome Datasets Are Compositional: And This Is Not Optional","title-short":"Microbiome Datasets Are Compositional","URL":"https://www-frontiersin-org.proxy.lib.umich.edu/journals/microbiology/articles/10.3389/fmicb.2017.02224/full","volume":"8","author":[{"family":"Gloor","given":"Gregory B."},{"family":"Macklaim","given":"Jean M."},{"family":"Pawlowsky-Glahn","given":"Vera"},{"family":"Egozcue","given":"Juan J."}],"accessed":{"date-parts":[["2024",6,10]]},"issued":{"date-parts":[["2017",11,15]]}}}],"schema":"https://github.com/citation-style-language/schema/raw/master/csl-citation.json"}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134</w:t>
      </w:r>
      <w:r w:rsidRPr="006A4942">
        <w:rPr>
          <w:rFonts w:eastAsiaTheme="minorHAnsi"/>
          <w14:ligatures w14:val="standardContextual"/>
        </w:rPr>
        <w:t>)</w:t>
      </w:r>
      <w:r>
        <w:fldChar w:fldCharType="end"/>
      </w:r>
      <w:r>
        <w:t>. We then performed a Principal Components Analysis (PCA) on the Aitchison distance matrix and extracted the scores for the first three principal components (PC1–PC3) to capture major axes of variation in community composition. Components one through three were selected because they explained greater than 5% of the variation (Fig 5S).</w:t>
      </w:r>
    </w:p>
    <w:p w14:paraId="7FD8A919" w14:textId="12CFAC09" w:rsidR="006A4942" w:rsidRDefault="006A4942" w:rsidP="006A4942">
      <w:pPr>
        <w:ind w:firstLine="720"/>
      </w:pPr>
      <w:r>
        <w:t>To evaluate the relationship between temperature and community composition, we built mixed models using alpha diversity indices and the first three principal components as the outcome variables. We modeled each community metric twice, and compared model fit using Akaike information criterion adjusted for small sample sizes (</w:t>
      </w:r>
      <w:proofErr w:type="spellStart"/>
      <w:r>
        <w:t>AICc</w:t>
      </w:r>
      <w:proofErr w:type="spellEnd"/>
      <w:r>
        <w:t xml:space="preserve">) </w:t>
      </w:r>
      <w:r>
        <w:fldChar w:fldCharType="begin"/>
      </w:r>
      <w:r>
        <w:instrText xml:space="preserve"> ADDIN ZOTERO_ITEM CSL_CITATION {"citationID":"9MopvbYc","properties":{"formattedCitation":"({\\i{}135}, {\\i{}136})","plainCitation":"(135, 136)","noteIndex":0},"citationItems":[{"id":1693,"uris":["http://zotero.org/users/13901503/items/5WE7IHKN"],"itemData":{"id":1693,"type":"chapter","container-title":"Selected Papers of Hirotugu Akaike","event-place":"New York, NY","ISBN":"978-1-4612-7248-9","note":"collection-title: Springer Series in Statistics\nDOI: 10.1007/978-1-4612-1694-0_15","page":"199-213","publisher":"Springer New York","publisher-place":"New York, NY","source":"DOI.org (Crossref)","title":"Information Theory and an Extension of the Maximum Likelihood Principle","editor":[{"family":"Parzen","given":"Emanuel"},{"family":"Tanabe","given":"Kunio"},{"family":"Kitagawa","given":"Genshiro"}],"author":[{"family":"Akaike","given":"Hirotogu"}],"issued":{"date-parts":[["1998"]]}}},{"id":1695,"uris":["http://zotero.org/users/13901503/items/R3CVDMMF"],"itemData":{"id":1695,"type":"article-journal","abstract":"A bias correction to the Akaike information criterion, AIC, is derived for regression and autoregressive time series models. The correction is of particular use when the sample size is small, or when the number of fitted parameters is a moderate to large fraction of the sample size. The corrected method, called AICC, is asymptotically efficient if the true model is infinite dimensional. Furthermore, when the true model is of finite dimension, AICC is found to provide better model order choices than any other asymptotically efficient method. Applications to nonstationary autoregressive and mixed autoregressive moving average time series models are also discussed.","language":"en","source":"Zotero","title":"Regression and time series model selection in small samples","author":[{"family":"Hurvich","given":"Clifford M"},{"family":"Tsai","given":"Chih-Ling"}]}}],"schema":"https://github.com/citation-style-language/schema/raw/master/csl-citation.json"}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135</w:t>
      </w:r>
      <w:r w:rsidRPr="006A4942">
        <w:rPr>
          <w:rFonts w:eastAsiaTheme="minorHAnsi"/>
          <w14:ligatures w14:val="standardContextual"/>
        </w:rPr>
        <w:t xml:space="preserve">, </w:t>
      </w:r>
      <w:r w:rsidRPr="006A4942">
        <w:rPr>
          <w:rFonts w:eastAsiaTheme="minorHAnsi"/>
          <w:i/>
          <w:iCs/>
          <w14:ligatures w14:val="standardContextual"/>
        </w:rPr>
        <w:t>136</w:t>
      </w:r>
      <w:r w:rsidRPr="006A4942">
        <w:rPr>
          <w:rFonts w:eastAsiaTheme="minorHAnsi"/>
          <w14:ligatures w14:val="standardContextual"/>
        </w:rPr>
        <w:t>)</w:t>
      </w:r>
      <w:r>
        <w:fldChar w:fldCharType="end"/>
      </w:r>
      <w:r>
        <w:t xml:space="preserve">. The baseline model, </w:t>
      </w:r>
      <w:proofErr w:type="spellStart"/>
      <w:r w:rsidRPr="00B133A3">
        <w:rPr>
          <w:i/>
          <w:iCs/>
        </w:rPr>
        <w:t>m_main</w:t>
      </w:r>
      <w:proofErr w:type="spellEnd"/>
      <w:r>
        <w:t xml:space="preserve">, included predictors for social group, age, sex, rainfall, diet diversity and fruit consumption. The temperature model, </w:t>
      </w:r>
      <w:proofErr w:type="spellStart"/>
      <w:r w:rsidRPr="00B133A3">
        <w:rPr>
          <w:i/>
          <w:iCs/>
        </w:rPr>
        <w:t>m_full</w:t>
      </w:r>
      <w:proofErr w:type="spellEnd"/>
      <w:r>
        <w:t xml:space="preserve">, included all of the same predictors with an additional predictor for temperature (Fig 1S). Both models included a random intercept for individual to control for repeated sampling and an offset for the log-transformed number of reads to control for differences in sequencing depth between samples. We included fruit consumption as a predictor because it increased with rising temperatures (Fig 4S), and we wanted to control for this effect to better isolate the relationship between temperature and community features. We scaled all continuous predictors (i.e., age, rainfall, diet diversity, fruit consumption, temperature) for ease of coefficient interpretation. We fit all models as linear mixed models (LMMs) with a Gaussian distribution except for observed taxonomic richness, which was fit using a Gamma distribution with a log link function because the variable was </w:t>
      </w:r>
      <w:r w:rsidRPr="00364B0D">
        <w:t>continuous</w:t>
      </w:r>
      <w:r>
        <w:t xml:space="preserve"> and </w:t>
      </w:r>
      <w:r w:rsidRPr="00364B0D">
        <w:t>positive</w:t>
      </w:r>
      <w:r>
        <w:t xml:space="preserve"> </w:t>
      </w:r>
      <w:r w:rsidRPr="00364B0D">
        <w:t>with a long right tail</w:t>
      </w:r>
      <w:r>
        <w:t xml:space="preserve">. We used the model weights from the </w:t>
      </w:r>
      <w:proofErr w:type="spellStart"/>
      <w:r>
        <w:t>AICc</w:t>
      </w:r>
      <w:proofErr w:type="spellEnd"/>
      <w:r>
        <w:t xml:space="preserve"> comparison to evaluate the importance of temperature as a predictor of community composition.</w:t>
      </w:r>
    </w:p>
    <w:p w14:paraId="35DC26D5" w14:textId="0F990015" w:rsidR="006A4942" w:rsidRDefault="006A4942" w:rsidP="006A4942">
      <w:pPr>
        <w:ind w:firstLine="720"/>
      </w:pPr>
      <w:r>
        <w:t xml:space="preserve">Since rarefaction to account for differences in sequencing depth (i.e., choosing a fixed sequencing depth and randomly subsampling all samples to that depth) is strongly discouraged because it discards valuable data </w:t>
      </w:r>
      <w:r>
        <w:fldChar w:fldCharType="begin"/>
      </w:r>
      <w:r>
        <w:instrText xml:space="preserve"> ADDIN ZOTERO_ITEM CSL_CITATION {"citationID":"POfAwNZ4","properties":{"formattedCitation":"({\\i{}137})","plainCitation":"(137)","noteIndex":0},"citationItems":[{"id":788,"uris":["http://zotero.org/users/13901503/items/M7YBHN37"],"itemData":{"id":788,"type":"article-journal","abstract":"Current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137</w:t>
      </w:r>
      <w:r w:rsidRPr="006A4942">
        <w:rPr>
          <w:rFonts w:eastAsiaTheme="minorHAnsi"/>
          <w14:ligatures w14:val="standardContextual"/>
        </w:rPr>
        <w:t>)</w:t>
      </w:r>
      <w:r>
        <w:fldChar w:fldCharType="end"/>
      </w:r>
      <w:r>
        <w:t xml:space="preserve">, we used alternative methods to leverage the full dataset (i.e., </w:t>
      </w:r>
      <w:proofErr w:type="spellStart"/>
      <w:r>
        <w:t>clr</w:t>
      </w:r>
      <w:proofErr w:type="spellEnd"/>
      <w:r>
        <w:t xml:space="preserve"> transformation, modeled offset for sequencing depth). Further, we chose to use an Information-theoretic approach for our analysis because, unlike null-hypothesis significance testing, it allows for the comparison of multiple alternative hypotheses to assess biological significance </w:t>
      </w:r>
      <w:r>
        <w:fldChar w:fldCharType="begin"/>
      </w:r>
      <w:r>
        <w:instrText xml:space="preserve"> ADDIN ZOTERO_ITEM CSL_CITATION {"citationID":"gCjcBlAp","properties":{"formattedCitation":"({\\i{}138}, {\\i{}139})","plainCitation":"(138, 139)","noteIndex":0},"citationItems":[{"id":1696,"uris":["http://zotero.org/users/13901503/items/QCC5VYTU"],"itemData":{"id":1696,"type":"article-journal","abstract":"This paper presents a review and critique of statistical null hypothesis testing in ecological studies in general, and wildlife studies in particular, and describes an alternative. Our review of Ecology and the Journal of Wildlife Management found the use of null hypothesis testing to be pervasive. The estimated number of P-values appearing within articles of Ecology exceeded 8,000 in 1991 and has exceeded 3,000 in each year since 1984, whereas the estimated number of P-values in the Journal of Wildlife Management exceeded 8,000 in 1997 and has exceeded 3,000 in each year since 1994. We estimated that 47% (SE = 3.9%) of the P-values in the Journal of Wildlife Management lacked estimates of means or effect sizes or even the sign of the difference in means or other parameters. We find that null hypothesis testing is uninformative when no estimates of means or effect size and their precision are given. Contrary to common dogma, tests of statistical null hypotheses have relatively little utility in science and are not a fundamental aspect of the scientific method. We recommend their use be reduced in favor of more informative approaches. Towards this objective, we describe a relatively new paradigm of data analysis based on Kullback-Leibler information. This paradigm is an extension of likelihood theory and, when used correctly, avoids many of the fundamental limitations and common misuses of null hypothesis testing. Information-theoretic methods focus on providing a strength of evidence for an a priori set of alternative hypotheses, rather than a statistical test of a null hypothesis. This paradigm allows the following types of evidence for the alternative hypotheses: the rank of each hypothesis, expressed as a model; an estimate of the formal likelihood of each model, given the data; a measure of precision that incorporates model selection uncertainty; and simple methods to allow the use of the set of alternative models in making formal inference. We provide an example of the information-theoretic approach using data on the effect of lead on survival in spectacled eider ducks (Somateria fischeri). Regardless of the analysis paradigm used, we strongly recommend inferences based on a priori considerations be clearly separated from those resulting from some form of data dredging.","container-title":"The Journal of Wildlife Management","DOI":"10.2307/3803199","ISSN":"0022-541X","issue":"4","note":"publisher: [Wiley, Wildlife Society]","page":"912-923","source":"JSTOR","title":"Null Hypothesis Testing: Problems, Prevalence, and an Alternative","title-short":"Null Hypothesis Testing","volume":"64","author":[{"family":"Anderson","given":"David R."},{"family":"Burnham","given":"Kenneth P."},{"family":"Thompson","given":"William L."}],"issued":{"date-parts":[["2000"]]}}},{"id":1043,"uris":["http://zotero.org/users/13901503/items/MUQFF6P5"],"itemData":{"id":1043,"type":"article-journal","abstract":"We briefly outline the information-theoretic (I-T) approaches to valid inference including a review of some simple methods for making formal inference from all the hypotheses in the model set (multimodel inference). The I-T approaches can replace the usual t tests and ANOVA tables that are so inferentially limited, but still commonly used. The I-T methods are easy to compute and understand and provide formal measures of the strength of evidence for both the null and alternative hypotheses, given the data. We give an example to highlight the importance of deriving alternative hypotheses and representing these as probability models. Fifteen technical issues are addressed to clarify various points that have appeared incorrectly in the recent literature. We offer several remarks regarding the future of empirical science and data analysis under an I-T framework.","container-title":"Behavioral Ecology and Sociobiology","DOI":"10.1007/s00265-010-1029-6","ISSN":"1432-0762","issue":"1","journalAbbreviation":"Behav Ecol Sociobiol","language":"en","page":"23-35","source":"Springer Link","title":"AIC model selection and multimodel inference in behavioral ecology: some background, observations, and comparisons","title-short":"AIC model selection and multimodel inference in behavioral ecology","volume":"65","author":[{"family":"Burnham","given":"Kenneth P."},{"family":"Anderson","given":"David R."},{"family":"Huyvaert","given":"Kathryn P."}],"issued":{"date-parts":[["2011",1,1]]}}}],"schema":"https://github.com/citation-style-language/schema/raw/master/csl-citation.json"} </w:instrText>
      </w:r>
      <w:r>
        <w:fldChar w:fldCharType="separate"/>
      </w:r>
      <w:r w:rsidRPr="006A4942">
        <w:rPr>
          <w:rFonts w:eastAsiaTheme="minorHAnsi"/>
          <w14:ligatures w14:val="standardContextual"/>
        </w:rPr>
        <w:t>(</w:t>
      </w:r>
      <w:r w:rsidRPr="006A4942">
        <w:rPr>
          <w:rFonts w:eastAsiaTheme="minorHAnsi"/>
          <w:i/>
          <w:iCs/>
          <w14:ligatures w14:val="standardContextual"/>
        </w:rPr>
        <w:t>138</w:t>
      </w:r>
      <w:r w:rsidRPr="006A4942">
        <w:rPr>
          <w:rFonts w:eastAsiaTheme="minorHAnsi"/>
          <w14:ligatures w14:val="standardContextual"/>
        </w:rPr>
        <w:t xml:space="preserve">, </w:t>
      </w:r>
      <w:r w:rsidRPr="006A4942">
        <w:rPr>
          <w:rFonts w:eastAsiaTheme="minorHAnsi"/>
          <w:i/>
          <w:iCs/>
          <w14:ligatures w14:val="standardContextual"/>
        </w:rPr>
        <w:t>139</w:t>
      </w:r>
      <w:r w:rsidRPr="006A4942">
        <w:rPr>
          <w:rFonts w:eastAsiaTheme="minorHAnsi"/>
          <w14:ligatures w14:val="standardContextual"/>
        </w:rPr>
        <w:t>)</w:t>
      </w:r>
      <w:r>
        <w:fldChar w:fldCharType="end"/>
      </w:r>
      <w:r>
        <w:t xml:space="preserve">. This allowed us to evaluate if adding temperature to our model improved the explanation of community-level taxonomic and metabolic diversity compared to other known predictors of microbiome composition. </w:t>
      </w:r>
    </w:p>
    <w:p w14:paraId="59CA91DE" w14:textId="77777777" w:rsidR="006A4942" w:rsidRDefault="006A4942" w:rsidP="006A4942">
      <w:pPr>
        <w:ind w:firstLine="720"/>
      </w:pPr>
    </w:p>
    <w:p w14:paraId="4B4ADF58" w14:textId="77777777" w:rsidR="006A4942" w:rsidRDefault="006A4942" w:rsidP="006A4942">
      <w:pPr>
        <w:rPr>
          <w:u w:val="single"/>
        </w:rPr>
      </w:pPr>
      <w:r>
        <w:rPr>
          <w:u w:val="single"/>
        </w:rPr>
        <w:t>Temperature d</w:t>
      </w:r>
      <w:r w:rsidRPr="00A32281">
        <w:rPr>
          <w:u w:val="single"/>
        </w:rPr>
        <w:t xml:space="preserve">ifferential abundance </w:t>
      </w:r>
      <w:r>
        <w:rPr>
          <w:u w:val="single"/>
        </w:rPr>
        <w:t>analysis</w:t>
      </w:r>
    </w:p>
    <w:p w14:paraId="126709D0" w14:textId="77777777" w:rsidR="006A4942" w:rsidRPr="00FB4C69" w:rsidRDefault="006A4942" w:rsidP="006A4942">
      <w:r>
        <w:t xml:space="preserve">We also used a comparative modeling approach to identify taxa and metabolic pathways associated with temperature. For the taxonomic analysis, we aggregated the number of reads per taxa on the family and genus levels using the </w:t>
      </w:r>
      <w:proofErr w:type="spellStart"/>
      <w:r>
        <w:t>tax_glom</w:t>
      </w:r>
      <w:proofErr w:type="spellEnd"/>
      <w:r>
        <w:t>() function in the {</w:t>
      </w:r>
      <w:proofErr w:type="spellStart"/>
      <w:r>
        <w:t>phyloseq</w:t>
      </w:r>
      <w:proofErr w:type="spellEnd"/>
      <w:r>
        <w:t xml:space="preserve">} package. We used this to calculate the relative abundance of each taxon by dividing the number of reads per taxon by the total number of reads per sample and removed taxa with less than 0.2% average relative abundance across all samples to avoid analyzing extremely low-abundance taxa. This resulted in 134 genera and 79 families to be used for differential abundance testing. </w:t>
      </w:r>
    </w:p>
    <w:p w14:paraId="15F0380C" w14:textId="77777777" w:rsidR="006A4942" w:rsidRDefault="006A4942" w:rsidP="006A4942">
      <w:pPr>
        <w:ind w:firstLine="720"/>
      </w:pPr>
      <w:r>
        <w:lastRenderedPageBreak/>
        <w:t xml:space="preserve">We built two generalized linear mixed models (GLMMs) using a negative binomial distribution with a log link function and used individual family and genera abundances as our outcome variables. We used negative binomial GLMMs because they can effectively model over-dispersed count data with an abundance of zeros, a pattern typical of microbiome datasets </w:t>
      </w:r>
      <w:r>
        <w:fldChar w:fldCharType="begin"/>
      </w:r>
      <w:r>
        <w:instrText xml:space="preserve"> ADDIN ZOTERO_ITEM CSL_CITATION {"citationID":"rVFSfUFA","properties":{"formattedCitation":"({\\i{}147})","plainCitation":"(147)","dontUpdate":true,"noteIndex":0},"citationItems":[{"id":1248,"uris":["http://zotero.org/users/13901503/items/ATW2MVB6"],"itemData":{"id":1248,"type":"article-journal","abstract":"&lt;p&gt;The metagenomics sequencing data provide valuable resources for investigating the associations between the microbiome and host environmental/clinical factors and the dynamic changes of microbial abundance over time. The distinct properties of microbiome measurements include varied total sequence reads across samples, over-dispersion and zero-inflation. Additionally, microbiome studies usually collect samples longitudinally, which introduces time-dependent and correlation structures among the samples and thus further complicates the analysis and interpretation of microbiome count data. In this article, we propose negative binomial mixed models (NBMMs) for longitudinal microbiome studies. The proposed NBMMs can efficiently handle over-dispersion and varying total reads, and can account for the dynamic trend and correlation among longitudinal samples. We develop an efficient and stable algorithm to fit the NBMMs. We evaluate and demonstrate the NBMMs method via extensive simulation studies and application to a longitudinal microbiome data. The results show that the proposed method has desirable properties and outperform the previously used methods in terms of flexible framework for modeling correlation structures and detecting dynamic effects. We have developed an R package NBZIMM to implement the proposed method, which is freely available from the public GitHub repository &lt;ext-link ext-link-type=\"uri\" xlink:href=\"http://github.com//nyiuab//NBZIMM\" xmlns:xlink=\"http://www.w3.org/1999/xlink\"&gt;http://github.com//nyiuab//NBZIMM&lt;/ext-link&gt; and provides a useful tool for analyzing longitudinal microbiome data.&lt;/p&gt;","container-title":"Frontiers in Microbiology","DOI":"10.3389/fmicb.2018.01683","ISSN":"1664-302X","journalAbbreviation":"Front. Microbiol.","language":"English","note":"publisher: Frontiers","source":"Frontiers","title":"Negative Binomial Mixed Models for Analyzing Longitudinal Microbiome Data","URL":"https://www.frontiersin.org/journals/microbiology/articles/10.3389/fmicb.2018.01683/full","volume":"9","author":[{"family":"Zhang","given":"Xinyan"},{"family":"Pei","given":"Yu-Fang"},{"family":"Zhang","given":"Lei"},{"family":"Guo","given":"Boyi"},{"family":"Pendegraft","given":"Amanda H."},{"family":"Zhuang","given":"Wenzhuo"},{"family":"Yi","given":"Nengjun"}],"accessed":{"date-parts":[["2024",11,14]]},"issued":{"date-parts":[["2018",7,26]]}}}],"schema":"https://github.com/citation-style-language/schema/raw/master/csl-citation.json"} </w:instrText>
      </w:r>
      <w:r>
        <w:fldChar w:fldCharType="separate"/>
      </w:r>
      <w:r>
        <w:t xml:space="preserve"> </w:t>
      </w:r>
      <w:r>
        <w:fldChar w:fldCharType="end"/>
      </w:r>
      <w:r>
        <w:t xml:space="preserve">. We modeled each taxon twice and compared model fit using </w:t>
      </w:r>
      <w:proofErr w:type="spellStart"/>
      <w:r>
        <w:t>AICc</w:t>
      </w:r>
      <w:proofErr w:type="spellEnd"/>
      <w:r>
        <w:t xml:space="preserve">. The baseline model, </w:t>
      </w:r>
      <w:proofErr w:type="spellStart"/>
      <w:r w:rsidRPr="00AA1E85">
        <w:rPr>
          <w:i/>
          <w:iCs/>
        </w:rPr>
        <w:t>m_main</w:t>
      </w:r>
      <w:proofErr w:type="spellEnd"/>
      <w:r>
        <w:t xml:space="preserve">, included predictors for social group, age, sex, rainfall, and fruit consumption. The temperature model, </w:t>
      </w:r>
      <w:proofErr w:type="spellStart"/>
      <w:r w:rsidRPr="00AA1E85">
        <w:rPr>
          <w:i/>
          <w:iCs/>
        </w:rPr>
        <w:t>m_full</w:t>
      </w:r>
      <w:proofErr w:type="spellEnd"/>
      <w:r>
        <w:t xml:space="preserve">, included all of the same predictors with an additional predictor for temperature (Fig 1S). Both models included a random intercept for individuals to control for repeated sampling and an offset for the log-transformed number of reads to control for differences in sequencing depth between samples. Similar to our community feature analysis, fruit consumption was included to better isolate the relationship between temperature and individual taxa while accounting for diet components also related to temperature. However, we did not include diet diversity as a predictor to reduce model complexity and facilitate model convergence. We scaled all continuous predictors. Model weights were used to evaluate the importance of temperature as a predictor of individual </w:t>
      </w:r>
      <w:proofErr w:type="spellStart"/>
      <w:r>
        <w:t>taxon</w:t>
      </w:r>
      <w:proofErr w:type="spellEnd"/>
      <w:r>
        <w:t xml:space="preserve"> abundance. Taxa where </w:t>
      </w:r>
      <w:proofErr w:type="spellStart"/>
      <w:r w:rsidRPr="00AA1E85">
        <w:rPr>
          <w:i/>
          <w:iCs/>
        </w:rPr>
        <w:t>m_full</w:t>
      </w:r>
      <w:proofErr w:type="spellEnd"/>
      <w:r>
        <w:t xml:space="preserve"> held greater than 50% of the model weight were considered temperature sensitive. We then used the </w:t>
      </w:r>
      <w:proofErr w:type="spellStart"/>
      <w:r w:rsidRPr="00497C02">
        <w:rPr>
          <w:i/>
          <w:iCs/>
        </w:rPr>
        <w:t>m_full</w:t>
      </w:r>
      <w:proofErr w:type="spellEnd"/>
      <w:r>
        <w:t xml:space="preserve"> model weights of all genera included in the analysis to perform ancestral state reconstruction using the ace() function in the {ape} package. Internal node values represent the maximum likelihood estimates of the temperature model weight under a Brownian motion model of trait evolution.</w:t>
      </w:r>
    </w:p>
    <w:p w14:paraId="3BA2E2C6" w14:textId="77777777" w:rsidR="006A4942" w:rsidRDefault="006A4942" w:rsidP="006A4942">
      <w:pPr>
        <w:ind w:firstLine="720"/>
      </w:pPr>
      <w:r>
        <w:t xml:space="preserve">The modeling approach for the metabolic pathway data mirrored that used for the taxonomic data, except we modeled </w:t>
      </w:r>
      <w:proofErr w:type="spellStart"/>
      <w:r>
        <w:t>clr</w:t>
      </w:r>
      <w:proofErr w:type="spellEnd"/>
      <w:r>
        <w:t xml:space="preserve">-transformed abundances instead of raw counts. This allowed us to use a Gaussian distribution and omit the offset term for log-transformed read depth, as the </w:t>
      </w:r>
      <w:proofErr w:type="spellStart"/>
      <w:r>
        <w:t>clr</w:t>
      </w:r>
      <w:proofErr w:type="spellEnd"/>
      <w:r>
        <w:t xml:space="preserve"> transformation already accounts for differences in sequencing depth. We used </w:t>
      </w:r>
      <w:proofErr w:type="spellStart"/>
      <w:r>
        <w:t>clr</w:t>
      </w:r>
      <w:proofErr w:type="spellEnd"/>
      <w:r>
        <w:t xml:space="preserve">-transformed abundances because pathway abundance values are normalized by the number of contributing gene families, meaning they are no longer raw counts and are therefore inappropriate for modeling with a negative binomial distribution. We modeled each of the 547 pathways twice, once with the baseline model, </w:t>
      </w:r>
      <w:proofErr w:type="spellStart"/>
      <w:r w:rsidRPr="00903A8C">
        <w:rPr>
          <w:i/>
          <w:iCs/>
        </w:rPr>
        <w:t>m_main</w:t>
      </w:r>
      <w:proofErr w:type="spellEnd"/>
      <w:r>
        <w:t xml:space="preserve">, and once with the temperature model, </w:t>
      </w:r>
      <w:proofErr w:type="spellStart"/>
      <w:r w:rsidRPr="00903A8C">
        <w:rPr>
          <w:i/>
          <w:iCs/>
        </w:rPr>
        <w:t>m_full</w:t>
      </w:r>
      <w:proofErr w:type="spellEnd"/>
      <w:r>
        <w:rPr>
          <w:i/>
          <w:iCs/>
        </w:rPr>
        <w:t xml:space="preserve"> </w:t>
      </w:r>
      <w:r>
        <w:t xml:space="preserve">(Fig 1S). We compared the models using </w:t>
      </w:r>
      <w:proofErr w:type="spellStart"/>
      <w:r>
        <w:t>AICc</w:t>
      </w:r>
      <w:proofErr w:type="spellEnd"/>
      <w:r>
        <w:t>.</w:t>
      </w:r>
      <w:r w:rsidRPr="00903A8C">
        <w:t xml:space="preserve"> </w:t>
      </w:r>
      <w:r>
        <w:t xml:space="preserve">As in the taxonomic analysis, pathways for which </w:t>
      </w:r>
      <w:proofErr w:type="spellStart"/>
      <w:r>
        <w:t>m_full</w:t>
      </w:r>
      <w:proofErr w:type="spellEnd"/>
      <w:r>
        <w:t xml:space="preserve"> accounted for more than 50% of the model weight were considered temperature sensitive.</w:t>
      </w:r>
    </w:p>
    <w:p w14:paraId="72E2AB88" w14:textId="77777777" w:rsidR="006A4942" w:rsidRDefault="006A4942" w:rsidP="006A4942"/>
    <w:p w14:paraId="7CDB65EE" w14:textId="77777777" w:rsidR="006A4942" w:rsidRPr="0081434A" w:rsidRDefault="006A4942" w:rsidP="006A4942">
      <w:pPr>
        <w:rPr>
          <w:u w:val="single"/>
        </w:rPr>
      </w:pPr>
      <w:r w:rsidRPr="0081434A">
        <w:rPr>
          <w:u w:val="single"/>
        </w:rPr>
        <w:t>Immune and temperature interaction analysis</w:t>
      </w:r>
    </w:p>
    <w:p w14:paraId="07E26076" w14:textId="77777777" w:rsidR="006A4942" w:rsidRDefault="006A4942" w:rsidP="006A4942">
      <w:pPr>
        <w:ind w:firstLine="720"/>
      </w:pPr>
      <w:r>
        <w:t xml:space="preserve">To assess whether the relationship between temperature and community composition is associated with immune performance, we employed a second comparative modeling approach and used alpha diversity and the first three principal components as outcome variables. Similar to our previous approach, we modeled each community feature twice, once with each model, and compared model fit using </w:t>
      </w:r>
      <w:proofErr w:type="spellStart"/>
      <w:r>
        <w:t>AICc</w:t>
      </w:r>
      <w:proofErr w:type="spellEnd"/>
      <w:r>
        <w:t xml:space="preserve">. The baseline model, </w:t>
      </w:r>
      <w:proofErr w:type="spellStart"/>
      <w:r w:rsidRPr="00E17CBD">
        <w:rPr>
          <w:i/>
          <w:iCs/>
        </w:rPr>
        <w:t>m_immune_main</w:t>
      </w:r>
      <w:proofErr w:type="spellEnd"/>
      <w:r>
        <w:t xml:space="preserve">, included the same predictors as </w:t>
      </w:r>
      <w:proofErr w:type="spellStart"/>
      <w:r w:rsidRPr="00E17CBD">
        <w:rPr>
          <w:i/>
          <w:iCs/>
        </w:rPr>
        <w:t>m_full</w:t>
      </w:r>
      <w:proofErr w:type="spellEnd"/>
      <w:r>
        <w:t xml:space="preserve"> (i.e., social group, age, sex, rainfall, fruit consumption, temperature, random effect for ID, log total reads offset). The interaction model, </w:t>
      </w:r>
      <w:proofErr w:type="spellStart"/>
      <w:r w:rsidRPr="00E17CBD">
        <w:rPr>
          <w:i/>
          <w:iCs/>
        </w:rPr>
        <w:t>m_immune_full</w:t>
      </w:r>
      <w:proofErr w:type="spellEnd"/>
      <w:r>
        <w:t>,</w:t>
      </w:r>
      <w:r w:rsidRPr="00F92E8B">
        <w:t xml:space="preserve"> </w:t>
      </w:r>
      <w:r>
        <w:t xml:space="preserve">included all of the same predictors with an additional interaction effect between temperature and neopterin (Fig 1S). The interaction effect allowed us to test if the relationship between community composition changes depending on neopterin levels. We scaled all continuous predictors, including neopterin. All models were fit as linear mixed models (LMMs) with a Gaussian distribution except for observed taxonomic richness, which was fit using a Gamma distribution with a log link function because the variable was </w:t>
      </w:r>
      <w:r w:rsidRPr="00364B0D">
        <w:t>continuous, positive, and left</w:t>
      </w:r>
      <w:r>
        <w:t>-</w:t>
      </w:r>
      <w:r w:rsidRPr="00364B0D">
        <w:t>skewed with a long right tail</w:t>
      </w:r>
      <w:r>
        <w:t>.</w:t>
      </w:r>
    </w:p>
    <w:p w14:paraId="129B523B" w14:textId="77777777" w:rsidR="006A4942" w:rsidRDefault="006A4942" w:rsidP="006A4942">
      <w:pPr>
        <w:ind w:firstLine="720"/>
      </w:pPr>
      <w:r>
        <w:lastRenderedPageBreak/>
        <w:t xml:space="preserve">To assess whether the relationship between temperature and individual taxa or pathways is associated with immune performance, we employed the same model comparison approach but used taxon and pathways abundances as outcome variables. First, we filtered for taxa and pathways that were temperature-sensitive (i.e., </w:t>
      </w:r>
      <w:proofErr w:type="spellStart"/>
      <w:r w:rsidRPr="00E17CBD">
        <w:rPr>
          <w:i/>
          <w:iCs/>
        </w:rPr>
        <w:t>m_full</w:t>
      </w:r>
      <w:proofErr w:type="spellEnd"/>
      <w:r>
        <w:t xml:space="preserve"> held greater than 50% of the model weight). Then, we modeled each feature twice, once with </w:t>
      </w:r>
      <w:proofErr w:type="spellStart"/>
      <w:r w:rsidRPr="00E17CBD">
        <w:rPr>
          <w:i/>
          <w:iCs/>
        </w:rPr>
        <w:t>m_immune_main</w:t>
      </w:r>
      <w:proofErr w:type="spellEnd"/>
      <w:r>
        <w:t xml:space="preserve"> and once with </w:t>
      </w:r>
      <w:proofErr w:type="spellStart"/>
      <w:r w:rsidRPr="00E17CBD">
        <w:rPr>
          <w:i/>
          <w:iCs/>
        </w:rPr>
        <w:t>m_immune_full</w:t>
      </w:r>
      <w:proofErr w:type="spellEnd"/>
      <w:r>
        <w:t xml:space="preserve">, and compared model fit using </w:t>
      </w:r>
      <w:proofErr w:type="spellStart"/>
      <w:r>
        <w:t>AICc</w:t>
      </w:r>
      <w:proofErr w:type="spellEnd"/>
      <w:r>
        <w:t xml:space="preserve">. Importantly we fit the models with taxa as outcome variables as GLMMs with a negative binomial distribution, log link function, and included a log total reads offset. We fit the models with pathways as outcome variables as LMMs with a Gaussian distribution and did not include a log total reads offset. Features where </w:t>
      </w:r>
      <w:proofErr w:type="spellStart"/>
      <w:r w:rsidRPr="00E17CBD">
        <w:rPr>
          <w:i/>
          <w:iCs/>
        </w:rPr>
        <w:t>m_immune_full</w:t>
      </w:r>
      <w:proofErr w:type="spellEnd"/>
      <w:r>
        <w:t xml:space="preserve"> held greater than 50% of the model weight were considered to have a relationship between temperature and abundance that changes depending on neopterin levels. We visualized these features using a coplot, where the relationship between feature abundance and temperature was plotted over distinct</w:t>
      </w:r>
      <w:r w:rsidRPr="00C03151">
        <w:t xml:space="preserve"> </w:t>
      </w:r>
      <w:r>
        <w:t>ranges of neopterin values.</w:t>
      </w:r>
    </w:p>
    <w:p w14:paraId="3B2C5E5E" w14:textId="77777777" w:rsidR="00835F44" w:rsidRDefault="00835F44" w:rsidP="00DE0C60"/>
    <w:p w14:paraId="78BEE7E6" w14:textId="091AB9BE" w:rsidR="00DE0C60" w:rsidRDefault="00DE0C60" w:rsidP="00DE0C60">
      <w:r>
        <w:t>Data availability statement: All the data and computer code used for this manuscript have been</w:t>
      </w:r>
      <w:r w:rsidRPr="00B85BCA">
        <w:t xml:space="preserve"> </w:t>
      </w:r>
      <w:r>
        <w:t xml:space="preserve">deposited in a GitHub repository that will be made public upon acceptance. Raw sequence data generated by 16s rRNA amplicon sequencing and shotgun metagenomics will be deposited on NCBI upon </w:t>
      </w:r>
      <w:r w:rsidR="00A0098F">
        <w:t>acceptance</w:t>
      </w:r>
      <w:r>
        <w:t xml:space="preserve">. </w:t>
      </w:r>
    </w:p>
    <w:p w14:paraId="4ED35DD0" w14:textId="77777777" w:rsidR="00DE0C60" w:rsidRDefault="00DE0C60" w:rsidP="00DE0C60">
      <w:pPr>
        <w:ind w:firstLine="720"/>
      </w:pPr>
    </w:p>
    <w:p w14:paraId="1DC2C6C3" w14:textId="77777777" w:rsidR="00DE0C60" w:rsidRDefault="00DE0C60" w:rsidP="00DE0C60">
      <w:r>
        <w:t xml:space="preserve">Author contributions statement: </w:t>
      </w:r>
    </w:p>
    <w:p w14:paraId="544FE448" w14:textId="77777777" w:rsidR="00DE0C60" w:rsidRDefault="00DE0C60" w:rsidP="00DE0C60">
      <w:r>
        <w:t xml:space="preserve">Conception and design of the manuscript: J.M.L. and A.J.M. </w:t>
      </w:r>
    </w:p>
    <w:p w14:paraId="17F575E6" w14:textId="77777777" w:rsidR="00DE0C60" w:rsidRDefault="00DE0C60" w:rsidP="00DE0C60">
      <w:r>
        <w:t xml:space="preserve">Drafting of the manuscript: J.M.L., A.J.M., and K.R.A. </w:t>
      </w:r>
    </w:p>
    <w:p w14:paraId="3EB8C6EE" w14:textId="77777777" w:rsidR="00DE0C60" w:rsidRDefault="00DE0C60" w:rsidP="00DE0C60">
      <w:r>
        <w:t xml:space="preserve">Statistical analysis and figures: J.M.L. and A.J.M. </w:t>
      </w:r>
    </w:p>
    <w:p w14:paraId="51B47226" w14:textId="77777777" w:rsidR="00DE0C60" w:rsidRDefault="00DE0C60" w:rsidP="00DE0C60">
      <w:r w:rsidRPr="00AA2BE7">
        <w:t xml:space="preserve">R code: J.M.L. </w:t>
      </w:r>
    </w:p>
    <w:p w14:paraId="128C05E8" w14:textId="77777777" w:rsidR="00DE0C60" w:rsidRDefault="00DE0C60" w:rsidP="00DE0C60">
      <w:r>
        <w:t xml:space="preserve">Sample acquisition: J.M.L., </w:t>
      </w:r>
      <w:r w:rsidRPr="00AA2BE7">
        <w:t>A.F.W.</w:t>
      </w:r>
      <w:r>
        <w:t>, and</w:t>
      </w:r>
      <w:r w:rsidRPr="00AA2BE7">
        <w:t xml:space="preserve"> J.C.O.</w:t>
      </w:r>
    </w:p>
    <w:p w14:paraId="20CB508D" w14:textId="77777777" w:rsidR="00DE0C60" w:rsidRDefault="00DE0C60" w:rsidP="00DE0C60">
      <w:r>
        <w:t xml:space="preserve">Sample processing: J.M.L., M.L.S.S., M.E.B., and </w:t>
      </w:r>
      <w:r w:rsidRPr="00AA2BE7">
        <w:t>A.F.W.</w:t>
      </w:r>
    </w:p>
    <w:p w14:paraId="32DDFEB3" w14:textId="77777777" w:rsidR="00DE0C60" w:rsidRDefault="00DE0C60" w:rsidP="00DE0C60">
      <w:r>
        <w:t xml:space="preserve">Study funding: </w:t>
      </w:r>
      <w:r w:rsidRPr="00DC0AF6">
        <w:t>J.M.L., M.E.B., and A.J.M.</w:t>
      </w:r>
    </w:p>
    <w:p w14:paraId="0980EBD4" w14:textId="77777777" w:rsidR="00DE0C60" w:rsidRDefault="00DE0C60" w:rsidP="00DE0C60">
      <w:r>
        <w:t>Field site funding, logistics, and management:</w:t>
      </w:r>
      <w:r w:rsidRPr="00AA2BE7">
        <w:t xml:space="preserve"> M.E.B., J.C.B., T.J.B.</w:t>
      </w:r>
      <w:r>
        <w:t>,</w:t>
      </w:r>
      <w:r w:rsidRPr="00AA2BE7">
        <w:t xml:space="preserve"> and J.C.O.</w:t>
      </w:r>
    </w:p>
    <w:p w14:paraId="31E3CC7A" w14:textId="77777777" w:rsidR="00DE0C60" w:rsidRDefault="00DE0C60" w:rsidP="00DE0C60"/>
    <w:p w14:paraId="0B284176" w14:textId="77777777" w:rsidR="00DE0C60" w:rsidRDefault="00DE0C60" w:rsidP="00DE0C60">
      <w:r>
        <w:t>Competing interests: The authors declare that they have no competing interests.</w:t>
      </w:r>
    </w:p>
    <w:p w14:paraId="2263F6E1" w14:textId="77777777" w:rsidR="00DE0C60" w:rsidRDefault="00DE0C60" w:rsidP="00DE0C60"/>
    <w:p w14:paraId="7002D340" w14:textId="77777777" w:rsidR="00DE0C60" w:rsidRDefault="00DE0C60" w:rsidP="00DE0C60">
      <w:r>
        <w:t>Funding information: This research was supported by National Science Foundation grant BA-DDRIG 2236061 awarded to J.M.L. and A.J.M.;  National Science Foundation grant BCS 1945121 awarded to T.J.B. (PI), M.E.B (Co-PI), and J.C.B. (Co-PI); National Science Foundation grant BCS 2127373 awarded to M.E.B.; a Leakey Foundation Research grant awarded to J.M.L. and A.J.M.; an International Primatological Society Research Award awarded to J.M.L., a University of Michigan International Institute grant awarded to J.M.L.; and a University of Michigan Rackham Graduate School grant awarded to J.M.L.</w:t>
      </w:r>
    </w:p>
    <w:p w14:paraId="376F4353" w14:textId="77777777" w:rsidR="00DE0C60" w:rsidRDefault="00DE0C60" w:rsidP="00DE0C60"/>
    <w:p w14:paraId="2A04F351" w14:textId="3DB50CF2" w:rsidR="00DE0C60" w:rsidRDefault="00DE0C60" w:rsidP="00DE0C60">
      <w:r>
        <w:t xml:space="preserve">Acknowledgements: We acknowledge the Capuchinos de </w:t>
      </w:r>
      <w:proofErr w:type="spellStart"/>
      <w:r>
        <w:t>Taboga</w:t>
      </w:r>
      <w:proofErr w:type="spellEnd"/>
      <w:r>
        <w:t xml:space="preserve"> field</w:t>
      </w:r>
      <w:r w:rsidR="00A27A8C">
        <w:t xml:space="preserve"> </w:t>
      </w:r>
      <w:r>
        <w:t xml:space="preserve">team for contributing to site logistics and data collection. We specifically want to thank L. F. Sinclair, V. A. Martins, S. A. </w:t>
      </w:r>
      <w:proofErr w:type="spellStart"/>
      <w:r>
        <w:t>Kovalaskas</w:t>
      </w:r>
      <w:proofErr w:type="spellEnd"/>
      <w:r>
        <w:t xml:space="preserve">, W. E. Acevedo, E. M. </w:t>
      </w:r>
      <w:proofErr w:type="spellStart"/>
      <w:r>
        <w:t>Saborío</w:t>
      </w:r>
      <w:proofErr w:type="spellEnd"/>
      <w:r>
        <w:t xml:space="preserve">, M. Chaves, C. I. Wright, C. Berry, and N. </w:t>
      </w:r>
      <w:proofErr w:type="spellStart"/>
      <w:r>
        <w:t>Guisneuf</w:t>
      </w:r>
      <w:proofErr w:type="spellEnd"/>
      <w:r>
        <w:t xml:space="preserve"> for help with sample collection and V. Viard for assistance in the laboratory. We would also like to thank Amato lab member A. Pulvino, University of Michigan Bioinformatics Core director C. Gates, and University of Michigan </w:t>
      </w:r>
      <w:r w:rsidRPr="00B85BCA">
        <w:t xml:space="preserve">High Performance Computing Consultant </w:t>
      </w:r>
      <w:r>
        <w:t xml:space="preserve">C. Antonelli for their assistance with bioinformatics. </w:t>
      </w:r>
    </w:p>
    <w:p w14:paraId="6CA4A1D4" w14:textId="77777777" w:rsidR="00A27A8C" w:rsidRDefault="00A27A8C" w:rsidP="00DE0C60"/>
    <w:p w14:paraId="1CD65332" w14:textId="720DBBF9" w:rsidR="00A27A8C" w:rsidRDefault="00A27A8C" w:rsidP="00A27A8C">
      <w:r>
        <w:t xml:space="preserve">Ethics Statement: </w:t>
      </w:r>
      <w:r>
        <w:t>All protocols involved in this study were previously approved by the University of Michigan IACUC (no. PRO00011898).</w:t>
      </w:r>
      <w:r w:rsidRPr="00A27A8C">
        <w:t xml:space="preserve"> </w:t>
      </w:r>
      <w:r>
        <w:t>To minimize disturbance</w:t>
      </w:r>
      <w:r>
        <w:t xml:space="preserve"> </w:t>
      </w:r>
      <w:r>
        <w:t>and reduce disease transmission risk, observers maintained a minimum distance of 5 m</w:t>
      </w:r>
      <w:r>
        <w:t xml:space="preserve">eters </w:t>
      </w:r>
      <w:r>
        <w:t>from animals and wore face masks at all times.</w:t>
      </w:r>
      <w:r w:rsidRPr="00A27A8C">
        <w:t xml:space="preserve"> </w:t>
      </w:r>
      <w:r>
        <w:t xml:space="preserve">We would like to thank the Costa Rican institutions </w:t>
      </w:r>
      <w:proofErr w:type="spellStart"/>
      <w:r>
        <w:t>el</w:t>
      </w:r>
      <w:proofErr w:type="spellEnd"/>
      <w:r>
        <w:t xml:space="preserve"> Sistema Nacional</w:t>
      </w:r>
      <w:r>
        <w:t xml:space="preserve"> </w:t>
      </w:r>
      <w:r>
        <w:t xml:space="preserve">de </w:t>
      </w:r>
      <w:proofErr w:type="spellStart"/>
      <w:r>
        <w:t>Áreas</w:t>
      </w:r>
      <w:proofErr w:type="spellEnd"/>
      <w:r>
        <w:t xml:space="preserve"> de </w:t>
      </w:r>
      <w:proofErr w:type="spellStart"/>
      <w:r>
        <w:t>Conservación</w:t>
      </w:r>
      <w:proofErr w:type="spellEnd"/>
      <w:r>
        <w:t xml:space="preserve"> (SINAC), the Comisión Nacional para la </w:t>
      </w:r>
      <w:proofErr w:type="spellStart"/>
      <w:r>
        <w:t>Gestión</w:t>
      </w:r>
      <w:proofErr w:type="spellEnd"/>
      <w:r>
        <w:t xml:space="preserve"> de la </w:t>
      </w:r>
      <w:proofErr w:type="spellStart"/>
      <w:r>
        <w:t>Biodiversidad</w:t>
      </w:r>
      <w:proofErr w:type="spellEnd"/>
      <w:r>
        <w:t xml:space="preserve"> </w:t>
      </w:r>
      <w:r>
        <w:t>(CONAGEBIO)</w:t>
      </w:r>
      <w:r w:rsidR="007A2D5C">
        <w:t xml:space="preserve"> permit number </w:t>
      </w:r>
      <w:r w:rsidR="007A2D5C" w:rsidRPr="007A2D5C">
        <w:t>R-018-2023-OT-CONAGEBIO</w:t>
      </w:r>
      <w:r>
        <w:t xml:space="preserve">, the </w:t>
      </w:r>
      <w:proofErr w:type="spellStart"/>
      <w:r w:rsidRPr="00673BCB">
        <w:t>Ministerio</w:t>
      </w:r>
      <w:proofErr w:type="spellEnd"/>
      <w:r w:rsidRPr="00673BCB">
        <w:t xml:space="preserve"> de </w:t>
      </w:r>
      <w:proofErr w:type="spellStart"/>
      <w:r w:rsidRPr="00673BCB">
        <w:t>Ambiente</w:t>
      </w:r>
      <w:proofErr w:type="spellEnd"/>
      <w:r w:rsidRPr="00673BCB">
        <w:t xml:space="preserve"> y Energía</w:t>
      </w:r>
      <w:r w:rsidRPr="00A16306">
        <w:rPr>
          <w:rFonts w:ascii="Helvetica" w:hAnsi="Helvetica"/>
          <w:sz w:val="22"/>
          <w:szCs w:val="22"/>
        </w:rPr>
        <w:t xml:space="preserve"> </w:t>
      </w:r>
      <w:r>
        <w:t>(MINAE), and the Universidad Técnica</w:t>
      </w:r>
      <w:r>
        <w:t xml:space="preserve"> </w:t>
      </w:r>
      <w:r>
        <w:t>Nacional (UTN) for supporting our research.</w:t>
      </w:r>
    </w:p>
    <w:p w14:paraId="20748B5A" w14:textId="77777777" w:rsidR="006A4942" w:rsidRDefault="006A4942" w:rsidP="006F07A1"/>
    <w:p w14:paraId="59D54178" w14:textId="1ACF9CD8" w:rsidR="00DE0C60" w:rsidRDefault="00DE0C60" w:rsidP="00DE0C60">
      <w:r>
        <w:t>Figures</w:t>
      </w:r>
    </w:p>
    <w:p w14:paraId="7E3E1752" w14:textId="77777777" w:rsidR="00DE0C60" w:rsidRDefault="00DE0C60" w:rsidP="00DE0C60">
      <w:r w:rsidRPr="00F86AC3">
        <w:rPr>
          <w:b/>
          <w:bCs/>
        </w:rPr>
        <w:t>Figure 1:</w:t>
      </w:r>
      <w:r>
        <w:rPr>
          <w:b/>
          <w:bCs/>
        </w:rPr>
        <w:t xml:space="preserve"> </w:t>
      </w:r>
      <w:r>
        <w:t xml:space="preserve">Model comparison results assessing whether adding temperature to a base model of known microbiome predictors improves the explanation of community-level taxonomic and metabolic diversity. Panels </w:t>
      </w:r>
      <w:r w:rsidRPr="00F86AC3">
        <w:rPr>
          <w:b/>
          <w:bCs/>
        </w:rPr>
        <w:t>A</w:t>
      </w:r>
      <w:r>
        <w:t xml:space="preserve"> and </w:t>
      </w:r>
      <w:r w:rsidRPr="00F86AC3">
        <w:rPr>
          <w:b/>
          <w:bCs/>
        </w:rPr>
        <w:t>C</w:t>
      </w:r>
      <w:r>
        <w:t xml:space="preserve"> show the coefficients of the temperature predictor for community diversity metrics, including </w:t>
      </w:r>
      <w:r w:rsidRPr="009B4C2B">
        <w:t xml:space="preserve">beta diversity (measured by principal </w:t>
      </w:r>
      <w:r>
        <w:t>components</w:t>
      </w:r>
      <w:r w:rsidRPr="009B4C2B">
        <w:t xml:space="preserve"> 1-</w:t>
      </w:r>
      <w:r>
        <w:t>3</w:t>
      </w:r>
      <w:r w:rsidRPr="009B4C2B">
        <w:t>) and alpha diversity (measured by the Shannon Index and the observed number of ASVs</w:t>
      </w:r>
      <w:r>
        <w:t xml:space="preserve"> or metabolic pathways</w:t>
      </w:r>
      <w:r w:rsidRPr="009B4C2B">
        <w:t>).</w:t>
      </w:r>
      <w:r>
        <w:t xml:space="preserve"> </w:t>
      </w:r>
      <w:r w:rsidRPr="009B4C2B">
        <w:t>The</w:t>
      </w:r>
      <w:r>
        <w:t xml:space="preserve"> thick</w:t>
      </w:r>
      <w:r w:rsidRPr="009B4C2B">
        <w:t xml:space="preserve"> bars represent 50% confidence intervals (CI), while the thin bars represent 95% CI.</w:t>
      </w:r>
      <w:r>
        <w:t xml:space="preserve"> Panels </w:t>
      </w:r>
      <w:r w:rsidRPr="00F86AC3">
        <w:rPr>
          <w:b/>
          <w:bCs/>
        </w:rPr>
        <w:t>B</w:t>
      </w:r>
      <w:r>
        <w:t xml:space="preserve"> and </w:t>
      </w:r>
      <w:r w:rsidRPr="00F86AC3">
        <w:rPr>
          <w:b/>
          <w:bCs/>
        </w:rPr>
        <w:t>D</w:t>
      </w:r>
      <w:r>
        <w:t xml:space="preserve"> compare the model weights of the base model (in green) to the temperature model (in yellow). The weights of the base model plus the temperature model equal 100%. The top panels </w:t>
      </w:r>
      <w:r w:rsidRPr="00F86AC3">
        <w:rPr>
          <w:b/>
          <w:bCs/>
        </w:rPr>
        <w:t>A</w:t>
      </w:r>
      <w:r>
        <w:t xml:space="preserve"> and </w:t>
      </w:r>
      <w:r w:rsidRPr="00F86AC3">
        <w:rPr>
          <w:b/>
          <w:bCs/>
        </w:rPr>
        <w:t>B</w:t>
      </w:r>
      <w:r>
        <w:t xml:space="preserve"> show the results for community-level taxonomic diversity, while the bottom panels </w:t>
      </w:r>
      <w:r w:rsidRPr="00F86AC3">
        <w:rPr>
          <w:b/>
          <w:bCs/>
        </w:rPr>
        <w:t>C</w:t>
      </w:r>
      <w:r>
        <w:t xml:space="preserve"> and </w:t>
      </w:r>
      <w:r w:rsidRPr="00F86AC3">
        <w:rPr>
          <w:b/>
          <w:bCs/>
        </w:rPr>
        <w:t>D</w:t>
      </w:r>
      <w:r>
        <w:t xml:space="preserve"> show the results for metabolic pathway diversity. Results show a strong association between temperature and beta diversity for both taxonomic composition and metabolic capacity. In contrast, the association between temperature and alpha diversity differs by data type: taxonomic alpha diversity declines with rising temperature, whereas metabolic alpha diversity indicates a possible reduction in the number of unique pathways at higher temperatures but no relationship with pathway evenness. </w:t>
      </w:r>
    </w:p>
    <w:p w14:paraId="2B4E5190" w14:textId="01FEC8C9" w:rsidR="00DE0C60" w:rsidRDefault="00DE0C60" w:rsidP="00DE0C60"/>
    <w:p w14:paraId="4DF96433" w14:textId="77777777" w:rsidR="00DE0C60" w:rsidRDefault="00DE0C60" w:rsidP="00DE0C60">
      <w:r>
        <w:rPr>
          <w:b/>
          <w:bCs/>
        </w:rPr>
        <w:t>F</w:t>
      </w:r>
      <w:r w:rsidRPr="001B7A29">
        <w:rPr>
          <w:b/>
          <w:bCs/>
        </w:rPr>
        <w:t>igure 2:</w:t>
      </w:r>
      <w:r>
        <w:t xml:space="preserve"> Cladogram showing ancestral state reconstruction of temperature sensitivity for 97 genera with ≥ 0.2% average relative abundance. Branch color indicates model weight for the temperature model (includes base predictors plus temperature), with yellow representing high model weight (greater temperature sensitivity) and green representing low model weight. Genera where the temperature model accounts for ≥ 50% of the model weight are classified as temperature sensitive and are depicted with red (negative association) or blue (positive association) circles at the branch tips. Genera with &lt; 50% model weight are considered not temperature sensitive and are shown with grey circles. Most temperature-sensitive taxa decline in abundance with rising temperatures, especially within the Firmicutes and </w:t>
      </w:r>
      <w:proofErr w:type="spellStart"/>
      <w:r>
        <w:t>Bacteroidota</w:t>
      </w:r>
      <w:proofErr w:type="spellEnd"/>
      <w:r>
        <w:t xml:space="preserve"> phyla. In contrast, Proteobacteria and </w:t>
      </w:r>
      <w:proofErr w:type="spellStart"/>
      <w:r>
        <w:t>Campylobacterota</w:t>
      </w:r>
      <w:proofErr w:type="spellEnd"/>
      <w:r>
        <w:t xml:space="preserve"> appear less temperature sensitive compared to the other phyla. </w:t>
      </w:r>
    </w:p>
    <w:p w14:paraId="513C5AFB" w14:textId="754D64B6" w:rsidR="00DE0C60" w:rsidRDefault="00DE0C60" w:rsidP="00DE0C60"/>
    <w:p w14:paraId="4C82FC7D" w14:textId="7B02C5F6" w:rsidR="004C046C" w:rsidRDefault="004C046C" w:rsidP="00DE0C60">
      <w:r w:rsidRPr="00CA25BE">
        <w:rPr>
          <w:b/>
          <w:bCs/>
        </w:rPr>
        <w:t>Figure 3:</w:t>
      </w:r>
      <w:r>
        <w:t xml:space="preserve"> Model results for the microbial metabolic pathways associated with temperature. Pathways are grouped into five functional categories (Panels </w:t>
      </w:r>
      <w:r w:rsidRPr="007D498D">
        <w:rPr>
          <w:b/>
          <w:bCs/>
        </w:rPr>
        <w:t>A-</w:t>
      </w:r>
      <w:r>
        <w:rPr>
          <w:b/>
          <w:bCs/>
        </w:rPr>
        <w:t>E</w:t>
      </w:r>
      <w:r>
        <w:t xml:space="preserve">) based on shared biological roles and their associations with temperature. </w:t>
      </w:r>
      <w:r w:rsidRPr="009B4C2B">
        <w:t>The</w:t>
      </w:r>
      <w:r>
        <w:t xml:space="preserve"> thick</w:t>
      </w:r>
      <w:r w:rsidRPr="009B4C2B">
        <w:t xml:space="preserve"> bars represent 50% confidence intervals (CI), while the thin bars represent 95% CI.</w:t>
      </w:r>
      <w:r>
        <w:t xml:space="preserve"> Summary annotations to the right of each panel describe the broad functional roles of the pathways within each category. </w:t>
      </w:r>
      <w:r w:rsidRPr="002E2B9C">
        <w:t xml:space="preserve">Panel </w:t>
      </w:r>
      <w:r w:rsidRPr="002E2B9C">
        <w:rPr>
          <w:b/>
          <w:bCs/>
        </w:rPr>
        <w:t>F</w:t>
      </w:r>
      <w:r w:rsidRPr="002E2B9C">
        <w:t xml:space="preserve"> visualizes the effects consistent with experimentally induced heat stress and how they may reinforce one another during extended periods of high temperatures.</w:t>
      </w:r>
      <w:r>
        <w:t xml:space="preserve"> </w:t>
      </w:r>
    </w:p>
    <w:p w14:paraId="73B361D6" w14:textId="74DBA693" w:rsidR="004C046C" w:rsidRDefault="004C046C" w:rsidP="00DE0C60"/>
    <w:p w14:paraId="6DB3ABAC" w14:textId="781E03A3" w:rsidR="00616C99" w:rsidRDefault="00616C99" w:rsidP="00DE0C60">
      <w:r w:rsidRPr="00CA25BE">
        <w:rPr>
          <w:b/>
          <w:bCs/>
        </w:rPr>
        <w:t>Figure 4:</w:t>
      </w:r>
      <w:r>
        <w:t xml:space="preserve"> The relationship between taxa abundance and temperature plotted across three distinct ranges of neopterin concentration. There are two main effects. Row </w:t>
      </w:r>
      <w:r w:rsidRPr="00622318">
        <w:rPr>
          <w:b/>
          <w:bCs/>
        </w:rPr>
        <w:t>A</w:t>
      </w:r>
      <w:r>
        <w:t xml:space="preserve"> includes taxa for which the relationship between temperature and abundance becomes increasingly negative at higher neopterin concentrations. Rows </w:t>
      </w:r>
      <w:r w:rsidRPr="00622318">
        <w:rPr>
          <w:b/>
          <w:bCs/>
        </w:rPr>
        <w:t>B</w:t>
      </w:r>
      <w:r>
        <w:t xml:space="preserve"> and </w:t>
      </w:r>
      <w:r w:rsidRPr="00622318">
        <w:rPr>
          <w:b/>
          <w:bCs/>
        </w:rPr>
        <w:t>C</w:t>
      </w:r>
      <w:r>
        <w:t xml:space="preserve"> include taxa for which the relationship becomes increasingly positive, either through an increasingly positive slope (Row </w:t>
      </w:r>
      <w:r w:rsidRPr="00622318">
        <w:rPr>
          <w:b/>
          <w:bCs/>
        </w:rPr>
        <w:t>B</w:t>
      </w:r>
      <w:r>
        <w:t xml:space="preserve">) or a slope that switches from negative to positive (Row </w:t>
      </w:r>
      <w:r w:rsidRPr="00622318">
        <w:rPr>
          <w:b/>
          <w:bCs/>
        </w:rPr>
        <w:t>C</w:t>
      </w:r>
      <w:r>
        <w:t xml:space="preserve">). Taxa highlighted in the results and discussion are labeled on the right side of each row. A complete list of all taxa included in the plots is available in Supplementary Table 3. </w:t>
      </w:r>
    </w:p>
    <w:p w14:paraId="5BA8525A" w14:textId="77777777" w:rsidR="0091666E" w:rsidRDefault="0091666E" w:rsidP="00DE0C60"/>
    <w:p w14:paraId="20CDE9E3" w14:textId="2F96AFF7" w:rsidR="00616C99" w:rsidRDefault="00616C99" w:rsidP="00616C99">
      <w:r w:rsidRPr="008F171B">
        <w:rPr>
          <w:b/>
          <w:bCs/>
        </w:rPr>
        <w:t>Figure 5:</w:t>
      </w:r>
      <w:r>
        <w:t xml:space="preserve"> The relationship between metabolic pathway abundance and temperature plotted across two distinct ranges of neopterin concentration. Pathway abundances are shown as centered log-ratio (</w:t>
      </w:r>
      <w:proofErr w:type="spellStart"/>
      <w:r>
        <w:t>clr</w:t>
      </w:r>
      <w:proofErr w:type="spellEnd"/>
      <w:r>
        <w:t xml:space="preserve">)–transformed values. There are two main effects. Rows </w:t>
      </w:r>
      <w:r w:rsidRPr="008F171B">
        <w:rPr>
          <w:b/>
          <w:bCs/>
        </w:rPr>
        <w:t>A-C</w:t>
      </w:r>
      <w:r>
        <w:t xml:space="preserve"> include pathways for which the relationship becomes increasingly negative at higher neopterin, either through a slope that switches from positive to negative (Row </w:t>
      </w:r>
      <w:r>
        <w:rPr>
          <w:b/>
          <w:bCs/>
        </w:rPr>
        <w:t>A</w:t>
      </w:r>
      <w:r>
        <w:t xml:space="preserve">), a slope that becomes less positive (Row </w:t>
      </w:r>
      <w:r>
        <w:rPr>
          <w:b/>
          <w:bCs/>
        </w:rPr>
        <w:t>B</w:t>
      </w:r>
      <w:r>
        <w:t xml:space="preserve">), or an increasingly negative slope (Row </w:t>
      </w:r>
      <w:r>
        <w:rPr>
          <w:b/>
          <w:bCs/>
        </w:rPr>
        <w:t>C</w:t>
      </w:r>
      <w:r>
        <w:t xml:space="preserve">). Rows </w:t>
      </w:r>
      <w:r>
        <w:rPr>
          <w:b/>
          <w:bCs/>
        </w:rPr>
        <w:t xml:space="preserve">D </w:t>
      </w:r>
      <w:r>
        <w:t xml:space="preserve">and </w:t>
      </w:r>
      <w:r>
        <w:rPr>
          <w:b/>
          <w:bCs/>
        </w:rPr>
        <w:t>E</w:t>
      </w:r>
      <w:r>
        <w:t xml:space="preserve"> include pathways for which the relationship between temperature and abundance becomes increasingly positive at higher neopterin, either through a slope that switches from negative to positive (Row </w:t>
      </w:r>
      <w:r>
        <w:rPr>
          <w:b/>
          <w:bCs/>
        </w:rPr>
        <w:t>D</w:t>
      </w:r>
      <w:r>
        <w:t xml:space="preserve">) or an increasingly positive slope (Row </w:t>
      </w:r>
      <w:r>
        <w:rPr>
          <w:b/>
          <w:bCs/>
        </w:rPr>
        <w:t>E</w:t>
      </w:r>
      <w:r>
        <w:t xml:space="preserve">). Pathways highlighted in the results and discussion are labeled on the right side of each row. A complete list of all pathways included in the plots is available in Supplementary Table 4. </w:t>
      </w:r>
    </w:p>
    <w:p w14:paraId="49949E49" w14:textId="77777777" w:rsidR="009E5AD7" w:rsidRDefault="009E5AD7" w:rsidP="002D1193"/>
    <w:p w14:paraId="5B646758" w14:textId="07B75C9E" w:rsidR="009E5AD7" w:rsidRDefault="009E5AD7" w:rsidP="002D1193">
      <w:r>
        <w:t xml:space="preserve">References: </w:t>
      </w:r>
    </w:p>
    <w:p w14:paraId="6D8E95CE" w14:textId="77777777" w:rsidR="009E5AD7" w:rsidRDefault="009E5AD7" w:rsidP="002D1193"/>
    <w:p w14:paraId="28CDC3E4" w14:textId="77777777" w:rsidR="002B00BC" w:rsidRPr="002B00BC" w:rsidRDefault="009E5AD7" w:rsidP="002B00BC">
      <w:pPr>
        <w:pStyle w:val="Bibliography"/>
        <w:rPr>
          <w:rFonts w:eastAsiaTheme="minorHAnsi"/>
        </w:rPr>
      </w:pPr>
      <w:r>
        <w:fldChar w:fldCharType="begin"/>
      </w:r>
      <w:r w:rsidR="002B00BC">
        <w:instrText xml:space="preserve"> ADDIN ZOTERO_BIBL {"uncited":[],"omitted":[],"custom":[]} CSL_BIBLIOGRAPHY </w:instrText>
      </w:r>
      <w:r>
        <w:fldChar w:fldCharType="separate"/>
      </w:r>
      <w:r w:rsidR="002B00BC" w:rsidRPr="002B00BC">
        <w:rPr>
          <w:rFonts w:eastAsiaTheme="minorHAnsi"/>
        </w:rPr>
        <w:t xml:space="preserve">1. </w:t>
      </w:r>
      <w:r w:rsidR="002B00BC" w:rsidRPr="002B00BC">
        <w:rPr>
          <w:rFonts w:eastAsiaTheme="minorHAnsi"/>
        </w:rPr>
        <w:tab/>
        <w:t xml:space="preserve">C. Bellard, C. Bertelsmeier, P. Leadley, W. Thuiller, F. Courchamp, Impacts of climate change on the future of biodiversity. </w:t>
      </w:r>
      <w:r w:rsidR="002B00BC" w:rsidRPr="002B00BC">
        <w:rPr>
          <w:rFonts w:eastAsiaTheme="minorHAnsi"/>
          <w:i/>
          <w:iCs/>
        </w:rPr>
        <w:t>Ecology Letters</w:t>
      </w:r>
      <w:r w:rsidR="002B00BC" w:rsidRPr="002B00BC">
        <w:rPr>
          <w:rFonts w:eastAsiaTheme="minorHAnsi"/>
        </w:rPr>
        <w:t xml:space="preserve"> </w:t>
      </w:r>
      <w:r w:rsidR="002B00BC" w:rsidRPr="002B00BC">
        <w:rPr>
          <w:rFonts w:eastAsiaTheme="minorHAnsi"/>
          <w:b/>
          <w:bCs/>
        </w:rPr>
        <w:t>15</w:t>
      </w:r>
      <w:r w:rsidR="002B00BC" w:rsidRPr="002B00BC">
        <w:rPr>
          <w:rFonts w:eastAsiaTheme="minorHAnsi"/>
        </w:rPr>
        <w:t>, 365–377 (2012).</w:t>
      </w:r>
    </w:p>
    <w:p w14:paraId="78E0DBD0" w14:textId="77777777" w:rsidR="002B00BC" w:rsidRPr="002B00BC" w:rsidRDefault="002B00BC" w:rsidP="002B00BC">
      <w:pPr>
        <w:pStyle w:val="Bibliography"/>
        <w:rPr>
          <w:rFonts w:eastAsiaTheme="minorHAnsi"/>
        </w:rPr>
      </w:pPr>
      <w:r w:rsidRPr="002B00BC">
        <w:rPr>
          <w:rFonts w:eastAsiaTheme="minorHAnsi"/>
        </w:rPr>
        <w:t xml:space="preserve">2. </w:t>
      </w:r>
      <w:r w:rsidRPr="002B00BC">
        <w:rPr>
          <w:rFonts w:eastAsiaTheme="minorHAnsi"/>
        </w:rPr>
        <w:tab/>
        <w:t xml:space="preserve">J. M. Bennett, J. Sunday, P. Calosi, F. Villalobos, B. Martínez, R. Molina-Venegas, M. B. Araújo, A. C. Algar, S. Clusella-Trullas, B. A. Hawkins, S. A. Keith, I. Kühn, C. Rahbek, L. Rodríguez, A. Singer, I. Morales-Castilla, M. Á. Olalla-Tárraga, The evolution of critical thermal limits of life on Earth. </w:t>
      </w:r>
      <w:r w:rsidRPr="002B00BC">
        <w:rPr>
          <w:rFonts w:eastAsiaTheme="minorHAnsi"/>
          <w:i/>
          <w:iCs/>
        </w:rPr>
        <w:t>Nat Commun</w:t>
      </w:r>
      <w:r w:rsidRPr="002B00BC">
        <w:rPr>
          <w:rFonts w:eastAsiaTheme="minorHAnsi"/>
        </w:rPr>
        <w:t xml:space="preserve"> </w:t>
      </w:r>
      <w:r w:rsidRPr="002B00BC">
        <w:rPr>
          <w:rFonts w:eastAsiaTheme="minorHAnsi"/>
          <w:b/>
          <w:bCs/>
        </w:rPr>
        <w:t>12</w:t>
      </w:r>
      <w:r w:rsidRPr="002B00BC">
        <w:rPr>
          <w:rFonts w:eastAsiaTheme="minorHAnsi"/>
        </w:rPr>
        <w:t>, 1198 (2021).</w:t>
      </w:r>
    </w:p>
    <w:p w14:paraId="655DC088" w14:textId="77777777" w:rsidR="002B00BC" w:rsidRPr="002B00BC" w:rsidRDefault="002B00BC" w:rsidP="002B00BC">
      <w:pPr>
        <w:pStyle w:val="Bibliography"/>
        <w:rPr>
          <w:rFonts w:eastAsiaTheme="minorHAnsi"/>
        </w:rPr>
      </w:pPr>
      <w:r w:rsidRPr="002B00BC">
        <w:rPr>
          <w:rFonts w:eastAsiaTheme="minorHAnsi"/>
        </w:rPr>
        <w:t xml:space="preserve">3. </w:t>
      </w:r>
      <w:r w:rsidRPr="002B00BC">
        <w:rPr>
          <w:rFonts w:eastAsiaTheme="minorHAnsi"/>
        </w:rPr>
        <w:tab/>
        <w:t xml:space="preserve">W. W. Dowd, F. A. King, M. W. Denny, Thermal variation, thermal extremes and the physiological performance of individuals. </w:t>
      </w:r>
      <w:r w:rsidRPr="002B00BC">
        <w:rPr>
          <w:rFonts w:eastAsiaTheme="minorHAnsi"/>
          <w:i/>
          <w:iCs/>
        </w:rPr>
        <w:t>Journal of Experimental Biology</w:t>
      </w:r>
      <w:r w:rsidRPr="002B00BC">
        <w:rPr>
          <w:rFonts w:eastAsiaTheme="minorHAnsi"/>
        </w:rPr>
        <w:t xml:space="preserve"> </w:t>
      </w:r>
      <w:r w:rsidRPr="002B00BC">
        <w:rPr>
          <w:rFonts w:eastAsiaTheme="minorHAnsi"/>
          <w:b/>
          <w:bCs/>
        </w:rPr>
        <w:t>218</w:t>
      </w:r>
      <w:r w:rsidRPr="002B00BC">
        <w:rPr>
          <w:rFonts w:eastAsiaTheme="minorHAnsi"/>
        </w:rPr>
        <w:t>, 1956–1967 (2015).</w:t>
      </w:r>
    </w:p>
    <w:p w14:paraId="58B018EA" w14:textId="77777777" w:rsidR="002B00BC" w:rsidRPr="002B00BC" w:rsidRDefault="002B00BC" w:rsidP="002B00BC">
      <w:pPr>
        <w:pStyle w:val="Bibliography"/>
        <w:rPr>
          <w:rFonts w:eastAsiaTheme="minorHAnsi"/>
        </w:rPr>
      </w:pPr>
      <w:r w:rsidRPr="002B00BC">
        <w:rPr>
          <w:rFonts w:eastAsiaTheme="minorHAnsi"/>
        </w:rPr>
        <w:t xml:space="preserve">4. </w:t>
      </w:r>
      <w:r w:rsidRPr="002B00BC">
        <w:rPr>
          <w:rFonts w:eastAsiaTheme="minorHAnsi"/>
        </w:rPr>
        <w:tab/>
        <w:t xml:space="preserve">H. O. Pörtner, R. Knust, Climate Change Affects Marine Fishes Through the Oxygen Limitation of Thermal Tolerance. </w:t>
      </w:r>
      <w:r w:rsidRPr="002B00BC">
        <w:rPr>
          <w:rFonts w:eastAsiaTheme="minorHAnsi"/>
          <w:i/>
          <w:iCs/>
        </w:rPr>
        <w:t>Science</w:t>
      </w:r>
      <w:r w:rsidRPr="002B00BC">
        <w:rPr>
          <w:rFonts w:eastAsiaTheme="minorHAnsi"/>
        </w:rPr>
        <w:t xml:space="preserve"> </w:t>
      </w:r>
      <w:r w:rsidRPr="002B00BC">
        <w:rPr>
          <w:rFonts w:eastAsiaTheme="minorHAnsi"/>
          <w:b/>
          <w:bCs/>
        </w:rPr>
        <w:t>315</w:t>
      </w:r>
      <w:r w:rsidRPr="002B00BC">
        <w:rPr>
          <w:rFonts w:eastAsiaTheme="minorHAnsi"/>
        </w:rPr>
        <w:t>, 95–97 (2007).</w:t>
      </w:r>
    </w:p>
    <w:p w14:paraId="76B8BE58" w14:textId="77777777" w:rsidR="002B00BC" w:rsidRPr="002B00BC" w:rsidRDefault="002B00BC" w:rsidP="002B00BC">
      <w:pPr>
        <w:pStyle w:val="Bibliography"/>
        <w:rPr>
          <w:rFonts w:eastAsiaTheme="minorHAnsi"/>
        </w:rPr>
      </w:pPr>
      <w:r w:rsidRPr="002B00BC">
        <w:rPr>
          <w:rFonts w:eastAsiaTheme="minorHAnsi"/>
        </w:rPr>
        <w:t xml:space="preserve">5. </w:t>
      </w:r>
      <w:r w:rsidRPr="002B00BC">
        <w:rPr>
          <w:rFonts w:eastAsiaTheme="minorHAnsi"/>
        </w:rPr>
        <w:tab/>
        <w:t xml:space="preserve">B. J. Sinclair, K. E. Marshall, M. A. Sewell, D. L. Levesque, C. S. Willett, S. Slotsbo, Y. Dong, C. D. G. Harley, D. J. Marshall, B. S. Helmuth, R. B. Huey, Can we predict ectotherm responses to climate change using thermal performance curves and body temperatures? </w:t>
      </w:r>
      <w:r w:rsidRPr="002B00BC">
        <w:rPr>
          <w:rFonts w:eastAsiaTheme="minorHAnsi"/>
          <w:i/>
          <w:iCs/>
        </w:rPr>
        <w:t>Ecology Letters</w:t>
      </w:r>
      <w:r w:rsidRPr="002B00BC">
        <w:rPr>
          <w:rFonts w:eastAsiaTheme="minorHAnsi"/>
        </w:rPr>
        <w:t xml:space="preserve"> </w:t>
      </w:r>
      <w:r w:rsidRPr="002B00BC">
        <w:rPr>
          <w:rFonts w:eastAsiaTheme="minorHAnsi"/>
          <w:b/>
          <w:bCs/>
        </w:rPr>
        <w:t>19</w:t>
      </w:r>
      <w:r w:rsidRPr="002B00BC">
        <w:rPr>
          <w:rFonts w:eastAsiaTheme="minorHAnsi"/>
        </w:rPr>
        <w:t>, 1372–1385 (2016).</w:t>
      </w:r>
    </w:p>
    <w:p w14:paraId="286B210B" w14:textId="77777777" w:rsidR="002B00BC" w:rsidRPr="002B00BC" w:rsidRDefault="002B00BC" w:rsidP="002B00BC">
      <w:pPr>
        <w:pStyle w:val="Bibliography"/>
        <w:rPr>
          <w:rFonts w:eastAsiaTheme="minorHAnsi"/>
        </w:rPr>
      </w:pPr>
      <w:r w:rsidRPr="002B00BC">
        <w:rPr>
          <w:rFonts w:eastAsiaTheme="minorHAnsi"/>
        </w:rPr>
        <w:t xml:space="preserve">6. </w:t>
      </w:r>
      <w:r w:rsidRPr="002B00BC">
        <w:rPr>
          <w:rFonts w:eastAsiaTheme="minorHAnsi"/>
        </w:rPr>
        <w:tab/>
        <w:t xml:space="preserve">R. S. Telemeco, M. J. Elphick, R. Shine, Nesting lizards (Bassiana duperreyi) compensate partly, but not completely, for climate change. </w:t>
      </w:r>
      <w:r w:rsidRPr="002B00BC">
        <w:rPr>
          <w:rFonts w:eastAsiaTheme="minorHAnsi"/>
          <w:i/>
          <w:iCs/>
        </w:rPr>
        <w:t>Ecology</w:t>
      </w:r>
      <w:r w:rsidRPr="002B00BC">
        <w:rPr>
          <w:rFonts w:eastAsiaTheme="minorHAnsi"/>
        </w:rPr>
        <w:t xml:space="preserve"> </w:t>
      </w:r>
      <w:r w:rsidRPr="002B00BC">
        <w:rPr>
          <w:rFonts w:eastAsiaTheme="minorHAnsi"/>
          <w:b/>
          <w:bCs/>
        </w:rPr>
        <w:t>90</w:t>
      </w:r>
      <w:r w:rsidRPr="002B00BC">
        <w:rPr>
          <w:rFonts w:eastAsiaTheme="minorHAnsi"/>
        </w:rPr>
        <w:t>, 17–22 (2009).</w:t>
      </w:r>
    </w:p>
    <w:p w14:paraId="30DF6C34" w14:textId="77777777" w:rsidR="002B00BC" w:rsidRPr="002B00BC" w:rsidRDefault="002B00BC" w:rsidP="002B00BC">
      <w:pPr>
        <w:pStyle w:val="Bibliography"/>
        <w:rPr>
          <w:rFonts w:eastAsiaTheme="minorHAnsi"/>
        </w:rPr>
      </w:pPr>
      <w:r w:rsidRPr="002B00BC">
        <w:rPr>
          <w:rFonts w:eastAsiaTheme="minorHAnsi"/>
        </w:rPr>
        <w:lastRenderedPageBreak/>
        <w:t xml:space="preserve">7. </w:t>
      </w:r>
      <w:r w:rsidRPr="002B00BC">
        <w:rPr>
          <w:rFonts w:eastAsiaTheme="minorHAnsi"/>
        </w:rPr>
        <w:tab/>
        <w:t xml:space="preserve">B. G. Lovegrove, C. Canale, D. Levesque, G. Fluch, M. Řeháková-Petrů, T. Ruf, Are Tropical Small Mammals Physiologically Vulnerable to Arrhenius Effects and Climate Change? </w:t>
      </w:r>
      <w:r w:rsidRPr="002B00BC">
        <w:rPr>
          <w:rFonts w:eastAsiaTheme="minorHAnsi"/>
          <w:i/>
          <w:iCs/>
        </w:rPr>
        <w:t>Physiological and Biochemical Zoology</w:t>
      </w:r>
      <w:r w:rsidRPr="002B00BC">
        <w:rPr>
          <w:rFonts w:eastAsiaTheme="minorHAnsi"/>
        </w:rPr>
        <w:t xml:space="preserve"> </w:t>
      </w:r>
      <w:r w:rsidRPr="002B00BC">
        <w:rPr>
          <w:rFonts w:eastAsiaTheme="minorHAnsi"/>
          <w:b/>
          <w:bCs/>
        </w:rPr>
        <w:t>87</w:t>
      </w:r>
      <w:r w:rsidRPr="002B00BC">
        <w:rPr>
          <w:rFonts w:eastAsiaTheme="minorHAnsi"/>
        </w:rPr>
        <w:t>, 30–45 (2014).</w:t>
      </w:r>
    </w:p>
    <w:p w14:paraId="0646CC21" w14:textId="77777777" w:rsidR="002B00BC" w:rsidRPr="002B00BC" w:rsidRDefault="002B00BC" w:rsidP="002B00BC">
      <w:pPr>
        <w:pStyle w:val="Bibliography"/>
        <w:rPr>
          <w:rFonts w:eastAsiaTheme="minorHAnsi"/>
        </w:rPr>
      </w:pPr>
      <w:r w:rsidRPr="002B00BC">
        <w:rPr>
          <w:rFonts w:eastAsiaTheme="minorHAnsi"/>
        </w:rPr>
        <w:t xml:space="preserve">8. </w:t>
      </w:r>
      <w:r w:rsidRPr="002B00BC">
        <w:rPr>
          <w:rFonts w:eastAsiaTheme="minorHAnsi"/>
        </w:rPr>
        <w:tab/>
        <w:t xml:space="preserve">J. M. Lucore, J. C. Beehner, A. F. White, L. F. Sinclair, V. A. Martins, S. A. Kovalaskas, J. C. Ordoñez, T. J. Bergman, M. E. Benítez, A. J. Marshall, High temperatures are associated with decreased immune system performance in a wild primate. </w:t>
      </w:r>
      <w:r w:rsidRPr="002B00BC">
        <w:rPr>
          <w:rFonts w:eastAsiaTheme="minorHAnsi"/>
          <w:i/>
          <w:iCs/>
        </w:rPr>
        <w:t>Science Advances</w:t>
      </w:r>
      <w:r w:rsidRPr="002B00BC">
        <w:rPr>
          <w:rFonts w:eastAsiaTheme="minorHAnsi"/>
        </w:rPr>
        <w:t xml:space="preserve"> </w:t>
      </w:r>
      <w:r w:rsidRPr="002B00BC">
        <w:rPr>
          <w:rFonts w:eastAsiaTheme="minorHAnsi"/>
          <w:b/>
          <w:bCs/>
        </w:rPr>
        <w:t>10</w:t>
      </w:r>
      <w:r w:rsidRPr="002B00BC">
        <w:rPr>
          <w:rFonts w:eastAsiaTheme="minorHAnsi"/>
        </w:rPr>
        <w:t>, eadq6629 (2024).</w:t>
      </w:r>
    </w:p>
    <w:p w14:paraId="6511BB2B" w14:textId="77777777" w:rsidR="002B00BC" w:rsidRPr="002B00BC" w:rsidRDefault="002B00BC" w:rsidP="002B00BC">
      <w:pPr>
        <w:pStyle w:val="Bibliography"/>
        <w:rPr>
          <w:rFonts w:eastAsiaTheme="minorHAnsi"/>
        </w:rPr>
      </w:pPr>
      <w:r w:rsidRPr="002B00BC">
        <w:rPr>
          <w:rFonts w:eastAsiaTheme="minorHAnsi"/>
        </w:rPr>
        <w:t xml:space="preserve">9. </w:t>
      </w:r>
      <w:r w:rsidRPr="002B00BC">
        <w:rPr>
          <w:rFonts w:eastAsiaTheme="minorHAnsi"/>
        </w:rPr>
        <w:tab/>
        <w:t xml:space="preserve">N. N. Moghadam, Thorshauge ,Pia Mai, Kristensen ,Torsten N., de Jonge ,Nadieh, Bahrndorff ,Simon, Kjeldal ,Henrik, J. L. and Nielsen, Strong responses of Drosophila melanogaster microbiota to developmental temperature. </w:t>
      </w:r>
      <w:r w:rsidRPr="002B00BC">
        <w:rPr>
          <w:rFonts w:eastAsiaTheme="minorHAnsi"/>
          <w:i/>
          <w:iCs/>
        </w:rPr>
        <w:t>Fly</w:t>
      </w:r>
      <w:r w:rsidRPr="002B00BC">
        <w:rPr>
          <w:rFonts w:eastAsiaTheme="minorHAnsi"/>
        </w:rPr>
        <w:t xml:space="preserve"> </w:t>
      </w:r>
      <w:r w:rsidRPr="002B00BC">
        <w:rPr>
          <w:rFonts w:eastAsiaTheme="minorHAnsi"/>
          <w:b/>
          <w:bCs/>
        </w:rPr>
        <w:t>12</w:t>
      </w:r>
      <w:r w:rsidRPr="002B00BC">
        <w:rPr>
          <w:rFonts w:eastAsiaTheme="minorHAnsi"/>
        </w:rPr>
        <w:t>, 1–12 (2018).</w:t>
      </w:r>
    </w:p>
    <w:p w14:paraId="74464EC3" w14:textId="77777777" w:rsidR="002B00BC" w:rsidRPr="002B00BC" w:rsidRDefault="002B00BC" w:rsidP="002B00BC">
      <w:pPr>
        <w:pStyle w:val="Bibliography"/>
        <w:rPr>
          <w:rFonts w:eastAsiaTheme="minorHAnsi"/>
        </w:rPr>
      </w:pPr>
      <w:r w:rsidRPr="002B00BC">
        <w:rPr>
          <w:rFonts w:eastAsiaTheme="minorHAnsi"/>
        </w:rPr>
        <w:t xml:space="preserve">10. </w:t>
      </w:r>
      <w:r w:rsidRPr="002B00BC">
        <w:rPr>
          <w:rFonts w:eastAsiaTheme="minorHAnsi"/>
        </w:rPr>
        <w:tab/>
        <w:t xml:space="preserve">M. Ziegler, F. O. Seneca, L. K. Yum, S. R. Palumbi, C. R. Voolstra, Bacterial community dynamics are linked to patterns of coral heat tolerance. </w:t>
      </w:r>
      <w:r w:rsidRPr="002B00BC">
        <w:rPr>
          <w:rFonts w:eastAsiaTheme="minorHAnsi"/>
          <w:i/>
          <w:iCs/>
        </w:rPr>
        <w:t>Nat Commun</w:t>
      </w:r>
      <w:r w:rsidRPr="002B00BC">
        <w:rPr>
          <w:rFonts w:eastAsiaTheme="minorHAnsi"/>
        </w:rPr>
        <w:t xml:space="preserve"> </w:t>
      </w:r>
      <w:r w:rsidRPr="002B00BC">
        <w:rPr>
          <w:rFonts w:eastAsiaTheme="minorHAnsi"/>
          <w:b/>
          <w:bCs/>
        </w:rPr>
        <w:t>8</w:t>
      </w:r>
      <w:r w:rsidRPr="002B00BC">
        <w:rPr>
          <w:rFonts w:eastAsiaTheme="minorHAnsi"/>
        </w:rPr>
        <w:t>, 14213 (2017).</w:t>
      </w:r>
    </w:p>
    <w:p w14:paraId="48488F7E" w14:textId="77777777" w:rsidR="002B00BC" w:rsidRPr="002B00BC" w:rsidRDefault="002B00BC" w:rsidP="002B00BC">
      <w:pPr>
        <w:pStyle w:val="Bibliography"/>
        <w:rPr>
          <w:rFonts w:eastAsiaTheme="minorHAnsi"/>
        </w:rPr>
      </w:pPr>
      <w:r w:rsidRPr="002B00BC">
        <w:rPr>
          <w:rFonts w:eastAsiaTheme="minorHAnsi"/>
        </w:rPr>
        <w:t xml:space="preserve">11. </w:t>
      </w:r>
      <w:r w:rsidRPr="002B00BC">
        <w:rPr>
          <w:rFonts w:eastAsiaTheme="minorHAnsi"/>
        </w:rPr>
        <w:tab/>
        <w:t xml:space="preserve">L. Baldassarre, H. Ying, A. M. Reitzel, S. Franzenburg, S. Fraune, Microbiota mediated plasticity promotes thermal adaptation in the sea anemone Nematostella vectensis. </w:t>
      </w:r>
      <w:r w:rsidRPr="002B00BC">
        <w:rPr>
          <w:rFonts w:eastAsiaTheme="minorHAnsi"/>
          <w:i/>
          <w:iCs/>
        </w:rPr>
        <w:t>Nat Commun</w:t>
      </w:r>
      <w:r w:rsidRPr="002B00BC">
        <w:rPr>
          <w:rFonts w:eastAsiaTheme="minorHAnsi"/>
        </w:rPr>
        <w:t xml:space="preserve"> </w:t>
      </w:r>
      <w:r w:rsidRPr="002B00BC">
        <w:rPr>
          <w:rFonts w:eastAsiaTheme="minorHAnsi"/>
          <w:b/>
          <w:bCs/>
        </w:rPr>
        <w:t>13</w:t>
      </w:r>
      <w:r w:rsidRPr="002B00BC">
        <w:rPr>
          <w:rFonts w:eastAsiaTheme="minorHAnsi"/>
        </w:rPr>
        <w:t>, 3804 (2022).</w:t>
      </w:r>
    </w:p>
    <w:p w14:paraId="22B5A9F8" w14:textId="77777777" w:rsidR="002B00BC" w:rsidRPr="002B00BC" w:rsidRDefault="002B00BC" w:rsidP="002B00BC">
      <w:pPr>
        <w:pStyle w:val="Bibliography"/>
        <w:rPr>
          <w:rFonts w:eastAsiaTheme="minorHAnsi"/>
        </w:rPr>
      </w:pPr>
      <w:r w:rsidRPr="002B00BC">
        <w:rPr>
          <w:rFonts w:eastAsiaTheme="minorHAnsi"/>
        </w:rPr>
        <w:t xml:space="preserve">12. </w:t>
      </w:r>
      <w:r w:rsidRPr="002B00BC">
        <w:rPr>
          <w:rFonts w:eastAsiaTheme="minorHAnsi"/>
        </w:rPr>
        <w:tab/>
        <w:t xml:space="preserve">S. S. Fontaine, K. D. Kohl, Ectotherm heat tolerance and the microbiome: current understanding, future directions and potential applications. </w:t>
      </w:r>
      <w:r w:rsidRPr="002B00BC">
        <w:rPr>
          <w:rFonts w:eastAsiaTheme="minorHAnsi"/>
          <w:i/>
          <w:iCs/>
        </w:rPr>
        <w:t>Journal of Experimental Biology</w:t>
      </w:r>
      <w:r w:rsidRPr="002B00BC">
        <w:rPr>
          <w:rFonts w:eastAsiaTheme="minorHAnsi"/>
        </w:rPr>
        <w:t xml:space="preserve"> </w:t>
      </w:r>
      <w:r w:rsidRPr="002B00BC">
        <w:rPr>
          <w:rFonts w:eastAsiaTheme="minorHAnsi"/>
          <w:b/>
          <w:bCs/>
        </w:rPr>
        <w:t>226</w:t>
      </w:r>
      <w:r w:rsidRPr="002B00BC">
        <w:rPr>
          <w:rFonts w:eastAsiaTheme="minorHAnsi"/>
        </w:rPr>
        <w:t>, jeb245761 (2023).</w:t>
      </w:r>
    </w:p>
    <w:p w14:paraId="2E4656BA" w14:textId="77777777" w:rsidR="002B00BC" w:rsidRPr="002B00BC" w:rsidRDefault="002B00BC" w:rsidP="002B00BC">
      <w:pPr>
        <w:pStyle w:val="Bibliography"/>
        <w:rPr>
          <w:rFonts w:eastAsiaTheme="minorHAnsi"/>
        </w:rPr>
      </w:pPr>
      <w:r w:rsidRPr="002B00BC">
        <w:rPr>
          <w:rFonts w:eastAsiaTheme="minorHAnsi"/>
        </w:rPr>
        <w:t xml:space="preserve">13. </w:t>
      </w:r>
      <w:r w:rsidRPr="002B00BC">
        <w:rPr>
          <w:rFonts w:eastAsiaTheme="minorHAnsi"/>
        </w:rPr>
        <w:tab/>
        <w:t xml:space="preserve">A. Jaramillo, L. E. Castañeda, Gut Microbiota of Drosophila subobscura Contributes to Its Heat Tolerance and Is Sensitive to Transient Thermal Stress. </w:t>
      </w:r>
      <w:r w:rsidRPr="002B00BC">
        <w:rPr>
          <w:rFonts w:eastAsiaTheme="minorHAnsi"/>
          <w:i/>
          <w:iCs/>
        </w:rPr>
        <w:t>Front. Microbiol.</w:t>
      </w:r>
      <w:r w:rsidRPr="002B00BC">
        <w:rPr>
          <w:rFonts w:eastAsiaTheme="minorHAnsi"/>
        </w:rPr>
        <w:t xml:space="preserve"> </w:t>
      </w:r>
      <w:r w:rsidRPr="002B00BC">
        <w:rPr>
          <w:rFonts w:eastAsiaTheme="minorHAnsi"/>
          <w:b/>
          <w:bCs/>
        </w:rPr>
        <w:t>12</w:t>
      </w:r>
      <w:r w:rsidRPr="002B00BC">
        <w:rPr>
          <w:rFonts w:eastAsiaTheme="minorHAnsi"/>
        </w:rPr>
        <w:t xml:space="preserve"> (2021).</w:t>
      </w:r>
    </w:p>
    <w:p w14:paraId="5B79E9EC" w14:textId="77777777" w:rsidR="002B00BC" w:rsidRPr="002B00BC" w:rsidRDefault="002B00BC" w:rsidP="002B00BC">
      <w:pPr>
        <w:pStyle w:val="Bibliography"/>
        <w:rPr>
          <w:rFonts w:eastAsiaTheme="minorHAnsi"/>
        </w:rPr>
      </w:pPr>
      <w:r w:rsidRPr="002B00BC">
        <w:rPr>
          <w:rFonts w:eastAsiaTheme="minorHAnsi"/>
        </w:rPr>
        <w:t xml:space="preserve">14. </w:t>
      </w:r>
      <w:r w:rsidRPr="002B00BC">
        <w:rPr>
          <w:rFonts w:eastAsiaTheme="minorHAnsi"/>
        </w:rPr>
        <w:tab/>
        <w:t xml:space="preserve">B. Zhang, S. P. Leonard, Y. Li, N. A. Moran, Obligate bacterial endosymbionts limit thermal tolerance of insect host species. </w:t>
      </w:r>
      <w:r w:rsidRPr="002B00BC">
        <w:rPr>
          <w:rFonts w:eastAsiaTheme="minorHAnsi"/>
          <w:i/>
          <w:iCs/>
        </w:rPr>
        <w:t>Proceedings of the National Academy of Sciences</w:t>
      </w:r>
      <w:r w:rsidRPr="002B00BC">
        <w:rPr>
          <w:rFonts w:eastAsiaTheme="minorHAnsi"/>
        </w:rPr>
        <w:t xml:space="preserve"> </w:t>
      </w:r>
      <w:r w:rsidRPr="002B00BC">
        <w:rPr>
          <w:rFonts w:eastAsiaTheme="minorHAnsi"/>
          <w:b/>
          <w:bCs/>
        </w:rPr>
        <w:t>116</w:t>
      </w:r>
      <w:r w:rsidRPr="002B00BC">
        <w:rPr>
          <w:rFonts w:eastAsiaTheme="minorHAnsi"/>
        </w:rPr>
        <w:t>, 24712–24718 (2019).</w:t>
      </w:r>
    </w:p>
    <w:p w14:paraId="6F0FE018" w14:textId="77777777" w:rsidR="002B00BC" w:rsidRPr="002B00BC" w:rsidRDefault="002B00BC" w:rsidP="002B00BC">
      <w:pPr>
        <w:pStyle w:val="Bibliography"/>
        <w:rPr>
          <w:rFonts w:eastAsiaTheme="minorHAnsi"/>
        </w:rPr>
      </w:pPr>
      <w:r w:rsidRPr="002B00BC">
        <w:rPr>
          <w:rFonts w:eastAsiaTheme="minorHAnsi"/>
        </w:rPr>
        <w:t xml:space="preserve">15. </w:t>
      </w:r>
      <w:r w:rsidRPr="002B00BC">
        <w:rPr>
          <w:rFonts w:eastAsiaTheme="minorHAnsi"/>
        </w:rPr>
        <w:tab/>
        <w:t xml:space="preserve">K. R. Amato, Incorporating the gut microbiota into models of human and non-human primate ecology and evolution. </w:t>
      </w:r>
      <w:r w:rsidRPr="002B00BC">
        <w:rPr>
          <w:rFonts w:eastAsiaTheme="minorHAnsi"/>
          <w:i/>
          <w:iCs/>
        </w:rPr>
        <w:t>American Journal of Physical Anthropology</w:t>
      </w:r>
      <w:r w:rsidRPr="002B00BC">
        <w:rPr>
          <w:rFonts w:eastAsiaTheme="minorHAnsi"/>
        </w:rPr>
        <w:t xml:space="preserve"> </w:t>
      </w:r>
      <w:r w:rsidRPr="002B00BC">
        <w:rPr>
          <w:rFonts w:eastAsiaTheme="minorHAnsi"/>
          <w:b/>
          <w:bCs/>
        </w:rPr>
        <w:t>159</w:t>
      </w:r>
      <w:r w:rsidRPr="002B00BC">
        <w:rPr>
          <w:rFonts w:eastAsiaTheme="minorHAnsi"/>
        </w:rPr>
        <w:t>, 196–215 (2016).</w:t>
      </w:r>
    </w:p>
    <w:p w14:paraId="4F14DEFF" w14:textId="77777777" w:rsidR="002B00BC" w:rsidRPr="002B00BC" w:rsidRDefault="002B00BC" w:rsidP="002B00BC">
      <w:pPr>
        <w:pStyle w:val="Bibliography"/>
        <w:rPr>
          <w:rFonts w:eastAsiaTheme="minorHAnsi"/>
        </w:rPr>
      </w:pPr>
      <w:r w:rsidRPr="002B00BC">
        <w:rPr>
          <w:rFonts w:eastAsiaTheme="minorHAnsi"/>
        </w:rPr>
        <w:t xml:space="preserve">16. </w:t>
      </w:r>
      <w:r w:rsidRPr="002B00BC">
        <w:rPr>
          <w:rFonts w:eastAsiaTheme="minorHAnsi"/>
        </w:rPr>
        <w:tab/>
        <w:t xml:space="preserve">J. Sepulveda, A. H. Moeller, The Effects of Temperature on Animal Gut Microbiomes. </w:t>
      </w:r>
      <w:r w:rsidRPr="002B00BC">
        <w:rPr>
          <w:rFonts w:eastAsiaTheme="minorHAnsi"/>
          <w:i/>
          <w:iCs/>
        </w:rPr>
        <w:t>Front. Microbiol.</w:t>
      </w:r>
      <w:r w:rsidRPr="002B00BC">
        <w:rPr>
          <w:rFonts w:eastAsiaTheme="minorHAnsi"/>
        </w:rPr>
        <w:t xml:space="preserve"> </w:t>
      </w:r>
      <w:r w:rsidRPr="002B00BC">
        <w:rPr>
          <w:rFonts w:eastAsiaTheme="minorHAnsi"/>
          <w:b/>
          <w:bCs/>
        </w:rPr>
        <w:t>11</w:t>
      </w:r>
      <w:r w:rsidRPr="002B00BC">
        <w:rPr>
          <w:rFonts w:eastAsiaTheme="minorHAnsi"/>
        </w:rPr>
        <w:t>, 384 (2020).</w:t>
      </w:r>
    </w:p>
    <w:p w14:paraId="6EBBB43A" w14:textId="77777777" w:rsidR="002B00BC" w:rsidRPr="002B00BC" w:rsidRDefault="002B00BC" w:rsidP="002B00BC">
      <w:pPr>
        <w:pStyle w:val="Bibliography"/>
        <w:rPr>
          <w:rFonts w:eastAsiaTheme="minorHAnsi"/>
        </w:rPr>
      </w:pPr>
      <w:r w:rsidRPr="002B00BC">
        <w:rPr>
          <w:rFonts w:eastAsiaTheme="minorHAnsi"/>
        </w:rPr>
        <w:t xml:space="preserve">17. </w:t>
      </w:r>
      <w:r w:rsidRPr="002B00BC">
        <w:rPr>
          <w:rFonts w:eastAsiaTheme="minorHAnsi"/>
        </w:rPr>
        <w:tab/>
        <w:t xml:space="preserve">S. Chen, J. Wang, D. Peng, G. Li, J. Chen, X. Gu, Exposure to heat-stress environment affects the physiology, circulation levels of cytokines, and microbiome in dairy cows. </w:t>
      </w:r>
      <w:r w:rsidRPr="002B00BC">
        <w:rPr>
          <w:rFonts w:eastAsiaTheme="minorHAnsi"/>
          <w:i/>
          <w:iCs/>
        </w:rPr>
        <w:t>Sci Rep</w:t>
      </w:r>
      <w:r w:rsidRPr="002B00BC">
        <w:rPr>
          <w:rFonts w:eastAsiaTheme="minorHAnsi"/>
        </w:rPr>
        <w:t xml:space="preserve"> </w:t>
      </w:r>
      <w:r w:rsidRPr="002B00BC">
        <w:rPr>
          <w:rFonts w:eastAsiaTheme="minorHAnsi"/>
          <w:b/>
          <w:bCs/>
        </w:rPr>
        <w:t>8</w:t>
      </w:r>
      <w:r w:rsidRPr="002B00BC">
        <w:rPr>
          <w:rFonts w:eastAsiaTheme="minorHAnsi"/>
        </w:rPr>
        <w:t>, 14606 (2018).</w:t>
      </w:r>
    </w:p>
    <w:p w14:paraId="31FDFBE0" w14:textId="77777777" w:rsidR="002B00BC" w:rsidRPr="002B00BC" w:rsidRDefault="002B00BC" w:rsidP="002B00BC">
      <w:pPr>
        <w:pStyle w:val="Bibliography"/>
        <w:rPr>
          <w:rFonts w:eastAsiaTheme="minorHAnsi"/>
        </w:rPr>
      </w:pPr>
      <w:r w:rsidRPr="002B00BC">
        <w:rPr>
          <w:rFonts w:eastAsiaTheme="minorHAnsi"/>
        </w:rPr>
        <w:t xml:space="preserve">18. </w:t>
      </w:r>
      <w:r w:rsidRPr="002B00BC">
        <w:rPr>
          <w:rFonts w:eastAsiaTheme="minorHAnsi"/>
        </w:rPr>
        <w:tab/>
        <w:t xml:space="preserve">S. S. Fontaine, A. J. Novarro, K. D. Kohl, Environmental temperature alters the digestive performance and gut microbiota of a terrestrial amphibian. </w:t>
      </w:r>
      <w:r w:rsidRPr="002B00BC">
        <w:rPr>
          <w:rFonts w:eastAsiaTheme="minorHAnsi"/>
          <w:i/>
          <w:iCs/>
        </w:rPr>
        <w:t>Journal of Experimental Biology</w:t>
      </w:r>
      <w:r w:rsidRPr="002B00BC">
        <w:rPr>
          <w:rFonts w:eastAsiaTheme="minorHAnsi"/>
        </w:rPr>
        <w:t xml:space="preserve"> </w:t>
      </w:r>
      <w:r w:rsidRPr="002B00BC">
        <w:rPr>
          <w:rFonts w:eastAsiaTheme="minorHAnsi"/>
          <w:b/>
          <w:bCs/>
        </w:rPr>
        <w:t>221</w:t>
      </w:r>
      <w:r w:rsidRPr="002B00BC">
        <w:rPr>
          <w:rFonts w:eastAsiaTheme="minorHAnsi"/>
        </w:rPr>
        <w:t>, jeb187559 (2018).</w:t>
      </w:r>
    </w:p>
    <w:p w14:paraId="77B47BF1" w14:textId="77777777" w:rsidR="002B00BC" w:rsidRPr="002B00BC" w:rsidRDefault="002B00BC" w:rsidP="002B00BC">
      <w:pPr>
        <w:pStyle w:val="Bibliography"/>
        <w:rPr>
          <w:rFonts w:eastAsiaTheme="minorHAnsi"/>
        </w:rPr>
      </w:pPr>
      <w:r w:rsidRPr="002B00BC">
        <w:rPr>
          <w:rFonts w:eastAsiaTheme="minorHAnsi"/>
        </w:rPr>
        <w:lastRenderedPageBreak/>
        <w:t xml:space="preserve">19. </w:t>
      </w:r>
      <w:r w:rsidRPr="002B00BC">
        <w:rPr>
          <w:rFonts w:eastAsiaTheme="minorHAnsi"/>
        </w:rPr>
        <w:tab/>
        <w:t xml:space="preserve">K. Tajima, I. Nonaka, K. Higuchi, N. Takusari, M. Kurihara, A. Takenaka, M. Mitsumori, H. Kajikawa, R. I. Aminov, Influence of high temperature and humidity on rumen bacterial diversity in Holstein heifers. </w:t>
      </w:r>
      <w:r w:rsidRPr="002B00BC">
        <w:rPr>
          <w:rFonts w:eastAsiaTheme="minorHAnsi"/>
          <w:i/>
          <w:iCs/>
        </w:rPr>
        <w:t>Anaerobe</w:t>
      </w:r>
      <w:r w:rsidRPr="002B00BC">
        <w:rPr>
          <w:rFonts w:eastAsiaTheme="minorHAnsi"/>
        </w:rPr>
        <w:t xml:space="preserve"> </w:t>
      </w:r>
      <w:r w:rsidRPr="002B00BC">
        <w:rPr>
          <w:rFonts w:eastAsiaTheme="minorHAnsi"/>
          <w:b/>
          <w:bCs/>
        </w:rPr>
        <w:t>13</w:t>
      </w:r>
      <w:r w:rsidRPr="002B00BC">
        <w:rPr>
          <w:rFonts w:eastAsiaTheme="minorHAnsi"/>
        </w:rPr>
        <w:t>, 57–64 (2007).</w:t>
      </w:r>
    </w:p>
    <w:p w14:paraId="6203B5E6" w14:textId="77777777" w:rsidR="002B00BC" w:rsidRPr="002B00BC" w:rsidRDefault="002B00BC" w:rsidP="002B00BC">
      <w:pPr>
        <w:pStyle w:val="Bibliography"/>
        <w:rPr>
          <w:rFonts w:eastAsiaTheme="minorHAnsi"/>
        </w:rPr>
      </w:pPr>
      <w:r w:rsidRPr="002B00BC">
        <w:rPr>
          <w:rFonts w:eastAsiaTheme="minorHAnsi"/>
        </w:rPr>
        <w:t xml:space="preserve">20. </w:t>
      </w:r>
      <w:r w:rsidRPr="002B00BC">
        <w:rPr>
          <w:rFonts w:eastAsiaTheme="minorHAnsi"/>
        </w:rPr>
        <w:tab/>
        <w:t xml:space="preserve">L. Zhu, R. Liao, N. Wu, G. Zhu, C. Yang, Heat stress mediates changes in fecal microbiome and functional pathways of laying hens. </w:t>
      </w:r>
      <w:r w:rsidRPr="002B00BC">
        <w:rPr>
          <w:rFonts w:eastAsiaTheme="minorHAnsi"/>
          <w:i/>
          <w:iCs/>
        </w:rPr>
        <w:t>Appl Microbiol Biotechnol</w:t>
      </w:r>
      <w:r w:rsidRPr="002B00BC">
        <w:rPr>
          <w:rFonts w:eastAsiaTheme="minorHAnsi"/>
        </w:rPr>
        <w:t xml:space="preserve"> </w:t>
      </w:r>
      <w:r w:rsidRPr="002B00BC">
        <w:rPr>
          <w:rFonts w:eastAsiaTheme="minorHAnsi"/>
          <w:b/>
          <w:bCs/>
        </w:rPr>
        <w:t>103</w:t>
      </w:r>
      <w:r w:rsidRPr="002B00BC">
        <w:rPr>
          <w:rFonts w:eastAsiaTheme="minorHAnsi"/>
        </w:rPr>
        <w:t>, 461–472 (2019).</w:t>
      </w:r>
    </w:p>
    <w:p w14:paraId="4366213B" w14:textId="77777777" w:rsidR="002B00BC" w:rsidRPr="002B00BC" w:rsidRDefault="002B00BC" w:rsidP="002B00BC">
      <w:pPr>
        <w:pStyle w:val="Bibliography"/>
        <w:rPr>
          <w:rFonts w:eastAsiaTheme="minorHAnsi"/>
        </w:rPr>
      </w:pPr>
      <w:r w:rsidRPr="002B00BC">
        <w:rPr>
          <w:rFonts w:eastAsiaTheme="minorHAnsi"/>
        </w:rPr>
        <w:t xml:space="preserve">21. </w:t>
      </w:r>
      <w:r w:rsidRPr="002B00BC">
        <w:rPr>
          <w:rFonts w:eastAsiaTheme="minorHAnsi"/>
        </w:rPr>
        <w:tab/>
        <w:t xml:space="preserve">I. Belhadj Slimen, N. Taha, G. Abdeljelil, D. Hajer, B. M. Moncef, A. Manef, Reactive oxygen species, heat stress and oxidative-induced mitochondrial damage. A review. </w:t>
      </w:r>
      <w:r w:rsidRPr="002B00BC">
        <w:rPr>
          <w:rFonts w:eastAsiaTheme="minorHAnsi"/>
          <w:i/>
          <w:iCs/>
        </w:rPr>
        <w:t>International Journal of Hyperthermia</w:t>
      </w:r>
      <w:r w:rsidRPr="002B00BC">
        <w:rPr>
          <w:rFonts w:eastAsiaTheme="minorHAnsi"/>
        </w:rPr>
        <w:t xml:space="preserve"> </w:t>
      </w:r>
      <w:r w:rsidRPr="002B00BC">
        <w:rPr>
          <w:rFonts w:eastAsiaTheme="minorHAnsi"/>
          <w:b/>
          <w:bCs/>
        </w:rPr>
        <w:t>30</w:t>
      </w:r>
      <w:r w:rsidRPr="002B00BC">
        <w:rPr>
          <w:rFonts w:eastAsiaTheme="minorHAnsi"/>
        </w:rPr>
        <w:t>, 513–523 (2014).</w:t>
      </w:r>
    </w:p>
    <w:p w14:paraId="4015A4C2" w14:textId="77777777" w:rsidR="002B00BC" w:rsidRPr="002B00BC" w:rsidRDefault="002B00BC" w:rsidP="002B00BC">
      <w:pPr>
        <w:pStyle w:val="Bibliography"/>
        <w:rPr>
          <w:rFonts w:eastAsiaTheme="minorHAnsi"/>
        </w:rPr>
      </w:pPr>
      <w:r w:rsidRPr="002B00BC">
        <w:rPr>
          <w:rFonts w:eastAsiaTheme="minorHAnsi"/>
        </w:rPr>
        <w:t xml:space="preserve">22. </w:t>
      </w:r>
      <w:r w:rsidRPr="002B00BC">
        <w:rPr>
          <w:rFonts w:eastAsiaTheme="minorHAnsi"/>
        </w:rPr>
        <w:tab/>
        <w:t xml:space="preserve">M. Dodson, R. Castro-Portuguez, D. D. Zhang, NRF2 plays a critical role in mitigating lipid peroxidation and ferroptosis. </w:t>
      </w:r>
      <w:r w:rsidRPr="002B00BC">
        <w:rPr>
          <w:rFonts w:eastAsiaTheme="minorHAnsi"/>
          <w:i/>
          <w:iCs/>
        </w:rPr>
        <w:t>Redox Biology</w:t>
      </w:r>
      <w:r w:rsidRPr="002B00BC">
        <w:rPr>
          <w:rFonts w:eastAsiaTheme="minorHAnsi"/>
        </w:rPr>
        <w:t xml:space="preserve"> </w:t>
      </w:r>
      <w:r w:rsidRPr="002B00BC">
        <w:rPr>
          <w:rFonts w:eastAsiaTheme="minorHAnsi"/>
          <w:b/>
          <w:bCs/>
        </w:rPr>
        <w:t>23</w:t>
      </w:r>
      <w:r w:rsidRPr="002B00BC">
        <w:rPr>
          <w:rFonts w:eastAsiaTheme="minorHAnsi"/>
        </w:rPr>
        <w:t>, 101107 (2019).</w:t>
      </w:r>
    </w:p>
    <w:p w14:paraId="195E7587" w14:textId="77777777" w:rsidR="002B00BC" w:rsidRPr="002B00BC" w:rsidRDefault="002B00BC" w:rsidP="002B00BC">
      <w:pPr>
        <w:pStyle w:val="Bibliography"/>
        <w:rPr>
          <w:rFonts w:eastAsiaTheme="minorHAnsi"/>
        </w:rPr>
      </w:pPr>
      <w:r w:rsidRPr="002B00BC">
        <w:rPr>
          <w:rFonts w:eastAsiaTheme="minorHAnsi"/>
        </w:rPr>
        <w:t xml:space="preserve">23. </w:t>
      </w:r>
      <w:r w:rsidRPr="002B00BC">
        <w:rPr>
          <w:rFonts w:eastAsiaTheme="minorHAnsi"/>
        </w:rPr>
        <w:tab/>
        <w:t xml:space="preserve">G. P. Lambert, C. V. Gisolfi, D. J. Berg, P. L. Moseley, L. W. Oberley, K. C. Kregel, Selected Contribution: Hyperthermia-induced intestinal  permeability and the role of oxidative  and nitrosative stress. </w:t>
      </w:r>
      <w:r w:rsidRPr="002B00BC">
        <w:rPr>
          <w:rFonts w:eastAsiaTheme="minorHAnsi"/>
          <w:i/>
          <w:iCs/>
        </w:rPr>
        <w:t>Journal of Applied Physiology</w:t>
      </w:r>
      <w:r w:rsidRPr="002B00BC">
        <w:rPr>
          <w:rFonts w:eastAsiaTheme="minorHAnsi"/>
        </w:rPr>
        <w:t xml:space="preserve"> </w:t>
      </w:r>
      <w:r w:rsidRPr="002B00BC">
        <w:rPr>
          <w:rFonts w:eastAsiaTheme="minorHAnsi"/>
          <w:b/>
          <w:bCs/>
        </w:rPr>
        <w:t>92</w:t>
      </w:r>
      <w:r w:rsidRPr="002B00BC">
        <w:rPr>
          <w:rFonts w:eastAsiaTheme="minorHAnsi"/>
        </w:rPr>
        <w:t>, 1750–1761 (2002).</w:t>
      </w:r>
    </w:p>
    <w:p w14:paraId="57CF87B8" w14:textId="77777777" w:rsidR="002B00BC" w:rsidRPr="002B00BC" w:rsidRDefault="002B00BC" w:rsidP="002B00BC">
      <w:pPr>
        <w:pStyle w:val="Bibliography"/>
        <w:rPr>
          <w:rFonts w:eastAsiaTheme="minorHAnsi"/>
        </w:rPr>
      </w:pPr>
      <w:r w:rsidRPr="002B00BC">
        <w:rPr>
          <w:rFonts w:eastAsiaTheme="minorHAnsi"/>
        </w:rPr>
        <w:t xml:space="preserve">24. </w:t>
      </w:r>
      <w:r w:rsidRPr="002B00BC">
        <w:rPr>
          <w:rFonts w:eastAsiaTheme="minorHAnsi"/>
        </w:rPr>
        <w:tab/>
        <w:t xml:space="preserve">F. Koch, U. Thom, E. Albrecht, R. Weikard, W. Nolte, B. Kuhla, C. Kuehn, Heat stress directly impairs gut integrity and recruits distinct immune cell populations into the bovine intestine. </w:t>
      </w:r>
      <w:r w:rsidRPr="002B00BC">
        <w:rPr>
          <w:rFonts w:eastAsiaTheme="minorHAnsi"/>
          <w:i/>
          <w:iCs/>
        </w:rPr>
        <w:t>Proceedings of the National Academy of Sciences</w:t>
      </w:r>
      <w:r w:rsidRPr="002B00BC">
        <w:rPr>
          <w:rFonts w:eastAsiaTheme="minorHAnsi"/>
        </w:rPr>
        <w:t xml:space="preserve"> </w:t>
      </w:r>
      <w:r w:rsidRPr="002B00BC">
        <w:rPr>
          <w:rFonts w:eastAsiaTheme="minorHAnsi"/>
          <w:b/>
          <w:bCs/>
        </w:rPr>
        <w:t>116</w:t>
      </w:r>
      <w:r w:rsidRPr="002B00BC">
        <w:rPr>
          <w:rFonts w:eastAsiaTheme="minorHAnsi"/>
        </w:rPr>
        <w:t>, 10333–10338 (2019).</w:t>
      </w:r>
    </w:p>
    <w:p w14:paraId="4F968937" w14:textId="77777777" w:rsidR="002B00BC" w:rsidRPr="002B00BC" w:rsidRDefault="002B00BC" w:rsidP="002B00BC">
      <w:pPr>
        <w:pStyle w:val="Bibliography"/>
        <w:rPr>
          <w:rFonts w:eastAsiaTheme="minorHAnsi"/>
        </w:rPr>
      </w:pPr>
      <w:r w:rsidRPr="002B00BC">
        <w:rPr>
          <w:rFonts w:eastAsiaTheme="minorHAnsi"/>
        </w:rPr>
        <w:t xml:space="preserve">25. </w:t>
      </w:r>
      <w:r w:rsidRPr="002B00BC">
        <w:rPr>
          <w:rFonts w:eastAsiaTheme="minorHAnsi"/>
        </w:rPr>
        <w:tab/>
        <w:t xml:space="preserve">C. Kunst, S. Schmid, M. Michalski, D. Tümen, J. Buttenschön, M. Müller, K. Gülow, The Influence of Gut Microbiota on Oxidative Stress and the Immune System. </w:t>
      </w:r>
      <w:r w:rsidRPr="002B00BC">
        <w:rPr>
          <w:rFonts w:eastAsiaTheme="minorHAnsi"/>
          <w:i/>
          <w:iCs/>
        </w:rPr>
        <w:t>Biomedicines</w:t>
      </w:r>
      <w:r w:rsidRPr="002B00BC">
        <w:rPr>
          <w:rFonts w:eastAsiaTheme="minorHAnsi"/>
        </w:rPr>
        <w:t xml:space="preserve"> </w:t>
      </w:r>
      <w:r w:rsidRPr="002B00BC">
        <w:rPr>
          <w:rFonts w:eastAsiaTheme="minorHAnsi"/>
          <w:b/>
          <w:bCs/>
        </w:rPr>
        <w:t>11</w:t>
      </w:r>
      <w:r w:rsidRPr="002B00BC">
        <w:rPr>
          <w:rFonts w:eastAsiaTheme="minorHAnsi"/>
        </w:rPr>
        <w:t>, 1388 (2023).</w:t>
      </w:r>
    </w:p>
    <w:p w14:paraId="5D1AE7FB" w14:textId="77777777" w:rsidR="002B00BC" w:rsidRPr="002B00BC" w:rsidRDefault="002B00BC" w:rsidP="002B00BC">
      <w:pPr>
        <w:pStyle w:val="Bibliography"/>
        <w:rPr>
          <w:rFonts w:eastAsiaTheme="minorHAnsi"/>
        </w:rPr>
      </w:pPr>
      <w:r w:rsidRPr="002B00BC">
        <w:rPr>
          <w:rFonts w:eastAsiaTheme="minorHAnsi"/>
        </w:rPr>
        <w:t xml:space="preserve">26. </w:t>
      </w:r>
      <w:r w:rsidRPr="002B00BC">
        <w:rPr>
          <w:rFonts w:eastAsiaTheme="minorHAnsi"/>
        </w:rPr>
        <w:tab/>
        <w:t xml:space="preserve">Y. Sun, X. Wang, L. Li, C. Zhong, Y. Zhang, X. Yang, M. Li, C. Yang, The role of gut microbiota in intestinal disease: from an oxidative stress perspective. </w:t>
      </w:r>
      <w:r w:rsidRPr="002B00BC">
        <w:rPr>
          <w:rFonts w:eastAsiaTheme="minorHAnsi"/>
          <w:i/>
          <w:iCs/>
        </w:rPr>
        <w:t>Front. Microbiol.</w:t>
      </w:r>
      <w:r w:rsidRPr="002B00BC">
        <w:rPr>
          <w:rFonts w:eastAsiaTheme="minorHAnsi"/>
        </w:rPr>
        <w:t xml:space="preserve"> </w:t>
      </w:r>
      <w:r w:rsidRPr="002B00BC">
        <w:rPr>
          <w:rFonts w:eastAsiaTheme="minorHAnsi"/>
          <w:b/>
          <w:bCs/>
        </w:rPr>
        <w:t>15</w:t>
      </w:r>
      <w:r w:rsidRPr="002B00BC">
        <w:rPr>
          <w:rFonts w:eastAsiaTheme="minorHAnsi"/>
        </w:rPr>
        <w:t xml:space="preserve"> (2024).</w:t>
      </w:r>
    </w:p>
    <w:p w14:paraId="6C4282B0" w14:textId="77777777" w:rsidR="002B00BC" w:rsidRPr="002B00BC" w:rsidRDefault="002B00BC" w:rsidP="002B00BC">
      <w:pPr>
        <w:pStyle w:val="Bibliography"/>
        <w:rPr>
          <w:rFonts w:eastAsiaTheme="minorHAnsi"/>
        </w:rPr>
      </w:pPr>
      <w:r w:rsidRPr="002B00BC">
        <w:rPr>
          <w:rFonts w:eastAsiaTheme="minorHAnsi"/>
        </w:rPr>
        <w:t xml:space="preserve">27. </w:t>
      </w:r>
      <w:r w:rsidRPr="002B00BC">
        <w:rPr>
          <w:rFonts w:eastAsiaTheme="minorHAnsi"/>
        </w:rPr>
        <w:tab/>
        <w:t xml:space="preserve">T. Yardeni, C. E. Tanes, K. Bittinger, L. M. Mattei, P. M. Schaefer, L. N. Singh, G. D. Wu, D. G. Murdock, D. C. Wallace, Host mitochondria influence gut microbiome diversity: A role for ROS. </w:t>
      </w:r>
      <w:r w:rsidRPr="002B00BC">
        <w:rPr>
          <w:rFonts w:eastAsiaTheme="minorHAnsi"/>
          <w:i/>
          <w:iCs/>
        </w:rPr>
        <w:t>Science Signaling</w:t>
      </w:r>
      <w:r w:rsidRPr="002B00BC">
        <w:rPr>
          <w:rFonts w:eastAsiaTheme="minorHAnsi"/>
        </w:rPr>
        <w:t xml:space="preserve"> </w:t>
      </w:r>
      <w:r w:rsidRPr="002B00BC">
        <w:rPr>
          <w:rFonts w:eastAsiaTheme="minorHAnsi"/>
          <w:b/>
          <w:bCs/>
        </w:rPr>
        <w:t>12</w:t>
      </w:r>
      <w:r w:rsidRPr="002B00BC">
        <w:rPr>
          <w:rFonts w:eastAsiaTheme="minorHAnsi"/>
        </w:rPr>
        <w:t>, eaaw3159 (2019).</w:t>
      </w:r>
    </w:p>
    <w:p w14:paraId="4E9C9977" w14:textId="77777777" w:rsidR="002B00BC" w:rsidRPr="002B00BC" w:rsidRDefault="002B00BC" w:rsidP="002B00BC">
      <w:pPr>
        <w:pStyle w:val="Bibliography"/>
        <w:rPr>
          <w:rFonts w:eastAsiaTheme="minorHAnsi"/>
        </w:rPr>
      </w:pPr>
      <w:r w:rsidRPr="002B00BC">
        <w:rPr>
          <w:rFonts w:eastAsiaTheme="minorHAnsi"/>
        </w:rPr>
        <w:t xml:space="preserve">28. </w:t>
      </w:r>
      <w:r w:rsidRPr="002B00BC">
        <w:rPr>
          <w:rFonts w:eastAsiaTheme="minorHAnsi"/>
        </w:rPr>
        <w:tab/>
        <w:t xml:space="preserve">M. Fang, Z. Lei, M. Ruilin, W. Jing, D. Leqiang, High temperature stress induced oxidative stress, gut inflammation and disordered metabolome and microbiome in tsinling lenok trout. </w:t>
      </w:r>
      <w:r w:rsidRPr="002B00BC">
        <w:rPr>
          <w:rFonts w:eastAsiaTheme="minorHAnsi"/>
          <w:i/>
          <w:iCs/>
        </w:rPr>
        <w:t>Ecotoxicology and Environmental Safety</w:t>
      </w:r>
      <w:r w:rsidRPr="002B00BC">
        <w:rPr>
          <w:rFonts w:eastAsiaTheme="minorHAnsi"/>
        </w:rPr>
        <w:t xml:space="preserve"> </w:t>
      </w:r>
      <w:r w:rsidRPr="002B00BC">
        <w:rPr>
          <w:rFonts w:eastAsiaTheme="minorHAnsi"/>
          <w:b/>
          <w:bCs/>
        </w:rPr>
        <w:t>266</w:t>
      </w:r>
      <w:r w:rsidRPr="002B00BC">
        <w:rPr>
          <w:rFonts w:eastAsiaTheme="minorHAnsi"/>
        </w:rPr>
        <w:t>, 115607 (2023).</w:t>
      </w:r>
    </w:p>
    <w:p w14:paraId="68B849E9" w14:textId="77777777" w:rsidR="002B00BC" w:rsidRPr="002B00BC" w:rsidRDefault="002B00BC" w:rsidP="002B00BC">
      <w:pPr>
        <w:pStyle w:val="Bibliography"/>
        <w:rPr>
          <w:rFonts w:eastAsiaTheme="minorHAnsi"/>
        </w:rPr>
      </w:pPr>
      <w:r w:rsidRPr="002B00BC">
        <w:rPr>
          <w:rFonts w:eastAsiaTheme="minorHAnsi"/>
        </w:rPr>
        <w:t xml:space="preserve">29. </w:t>
      </w:r>
      <w:r w:rsidRPr="002B00BC">
        <w:rPr>
          <w:rFonts w:eastAsiaTheme="minorHAnsi"/>
        </w:rPr>
        <w:tab/>
        <w:t xml:space="preserve">X. Liu, Z. Ma, Y. Wang, H. Jia, Z. Wang, L. Zhang, Heat stress exposure cause alterations in intestinal microbiota, transcriptome, and metabolome of broilers. </w:t>
      </w:r>
      <w:r w:rsidRPr="002B00BC">
        <w:rPr>
          <w:rFonts w:eastAsiaTheme="minorHAnsi"/>
          <w:i/>
          <w:iCs/>
        </w:rPr>
        <w:t>Front. Microbiol.</w:t>
      </w:r>
      <w:r w:rsidRPr="002B00BC">
        <w:rPr>
          <w:rFonts w:eastAsiaTheme="minorHAnsi"/>
        </w:rPr>
        <w:t xml:space="preserve"> </w:t>
      </w:r>
      <w:r w:rsidRPr="002B00BC">
        <w:rPr>
          <w:rFonts w:eastAsiaTheme="minorHAnsi"/>
          <w:b/>
          <w:bCs/>
        </w:rPr>
        <w:t>14</w:t>
      </w:r>
      <w:r w:rsidRPr="002B00BC">
        <w:rPr>
          <w:rFonts w:eastAsiaTheme="minorHAnsi"/>
        </w:rPr>
        <w:t xml:space="preserve"> (2023).</w:t>
      </w:r>
    </w:p>
    <w:p w14:paraId="00F86E21" w14:textId="77777777" w:rsidR="002B00BC" w:rsidRPr="002B00BC" w:rsidRDefault="002B00BC" w:rsidP="002B00BC">
      <w:pPr>
        <w:pStyle w:val="Bibliography"/>
        <w:rPr>
          <w:rFonts w:eastAsiaTheme="minorHAnsi"/>
        </w:rPr>
      </w:pPr>
      <w:r w:rsidRPr="002B00BC">
        <w:rPr>
          <w:rFonts w:eastAsiaTheme="minorHAnsi"/>
        </w:rPr>
        <w:t xml:space="preserve">30. </w:t>
      </w:r>
      <w:r w:rsidRPr="002B00BC">
        <w:rPr>
          <w:rFonts w:eastAsiaTheme="minorHAnsi"/>
        </w:rPr>
        <w:tab/>
        <w:t xml:space="preserve">B. Xia, W. Wu, W. Fang, X. Wen, J. Xie, H. Zhang, Heat stress-induced mucosal barrier dysfunction is potentially associated with gut microbiota dysbiosis in pigs. </w:t>
      </w:r>
      <w:r w:rsidRPr="002B00BC">
        <w:rPr>
          <w:rFonts w:eastAsiaTheme="minorHAnsi"/>
          <w:i/>
          <w:iCs/>
        </w:rPr>
        <w:t>Animal Nutrition</w:t>
      </w:r>
      <w:r w:rsidRPr="002B00BC">
        <w:rPr>
          <w:rFonts w:eastAsiaTheme="minorHAnsi"/>
        </w:rPr>
        <w:t xml:space="preserve"> </w:t>
      </w:r>
      <w:r w:rsidRPr="002B00BC">
        <w:rPr>
          <w:rFonts w:eastAsiaTheme="minorHAnsi"/>
          <w:b/>
          <w:bCs/>
        </w:rPr>
        <w:t>8</w:t>
      </w:r>
      <w:r w:rsidRPr="002B00BC">
        <w:rPr>
          <w:rFonts w:eastAsiaTheme="minorHAnsi"/>
        </w:rPr>
        <w:t>, 289–299 (2022).</w:t>
      </w:r>
    </w:p>
    <w:p w14:paraId="55A58C7A" w14:textId="77777777" w:rsidR="002B00BC" w:rsidRPr="002B00BC" w:rsidRDefault="002B00BC" w:rsidP="002B00BC">
      <w:pPr>
        <w:pStyle w:val="Bibliography"/>
        <w:rPr>
          <w:rFonts w:eastAsiaTheme="minorHAnsi"/>
        </w:rPr>
      </w:pPr>
      <w:r w:rsidRPr="002B00BC">
        <w:rPr>
          <w:rFonts w:eastAsiaTheme="minorHAnsi"/>
        </w:rPr>
        <w:lastRenderedPageBreak/>
        <w:t xml:space="preserve">31. </w:t>
      </w:r>
      <w:r w:rsidRPr="002B00BC">
        <w:rPr>
          <w:rFonts w:eastAsiaTheme="minorHAnsi"/>
        </w:rPr>
        <w:tab/>
        <w:t xml:space="preserve">X. Bai, Y. Shi, L. Tang, L. Chen, H. Fan, H. Wang, J. Wang, X. Jia, S. Chen, S. Lai, Heat Stress Affects Faecal Microbial and Metabolic Alterations of Rabbits. </w:t>
      </w:r>
      <w:r w:rsidRPr="002B00BC">
        <w:rPr>
          <w:rFonts w:eastAsiaTheme="minorHAnsi"/>
          <w:i/>
          <w:iCs/>
        </w:rPr>
        <w:t>Front. Microbiol.</w:t>
      </w:r>
      <w:r w:rsidRPr="002B00BC">
        <w:rPr>
          <w:rFonts w:eastAsiaTheme="minorHAnsi"/>
        </w:rPr>
        <w:t xml:space="preserve"> </w:t>
      </w:r>
      <w:r w:rsidRPr="002B00BC">
        <w:rPr>
          <w:rFonts w:eastAsiaTheme="minorHAnsi"/>
          <w:b/>
          <w:bCs/>
        </w:rPr>
        <w:t>12</w:t>
      </w:r>
      <w:r w:rsidRPr="002B00BC">
        <w:rPr>
          <w:rFonts w:eastAsiaTheme="minorHAnsi"/>
        </w:rPr>
        <w:t xml:space="preserve"> (2022).</w:t>
      </w:r>
    </w:p>
    <w:p w14:paraId="4B0B0FC5" w14:textId="77777777" w:rsidR="002B00BC" w:rsidRPr="002B00BC" w:rsidRDefault="002B00BC" w:rsidP="002B00BC">
      <w:pPr>
        <w:pStyle w:val="Bibliography"/>
        <w:rPr>
          <w:rFonts w:eastAsiaTheme="minorHAnsi"/>
        </w:rPr>
      </w:pPr>
      <w:r w:rsidRPr="002B00BC">
        <w:rPr>
          <w:rFonts w:eastAsiaTheme="minorHAnsi"/>
        </w:rPr>
        <w:t xml:space="preserve">32. </w:t>
      </w:r>
      <w:r w:rsidRPr="002B00BC">
        <w:rPr>
          <w:rFonts w:eastAsiaTheme="minorHAnsi"/>
        </w:rPr>
        <w:tab/>
        <w:t xml:space="preserve">E. Bestion, S. Jacob, L. Zinger, L. Di Gesu, M. Richard, J. White, J. Cote, Climate warming reduces gut microbiota diversity in a vertebrate ectotherm. </w:t>
      </w:r>
      <w:r w:rsidRPr="002B00BC">
        <w:rPr>
          <w:rFonts w:eastAsiaTheme="minorHAnsi"/>
          <w:i/>
          <w:iCs/>
        </w:rPr>
        <w:t>Nat Ecol Evol</w:t>
      </w:r>
      <w:r w:rsidRPr="002B00BC">
        <w:rPr>
          <w:rFonts w:eastAsiaTheme="minorHAnsi"/>
        </w:rPr>
        <w:t xml:space="preserve"> </w:t>
      </w:r>
      <w:r w:rsidRPr="002B00BC">
        <w:rPr>
          <w:rFonts w:eastAsiaTheme="minorHAnsi"/>
          <w:b/>
          <w:bCs/>
        </w:rPr>
        <w:t>1</w:t>
      </w:r>
      <w:r w:rsidRPr="002B00BC">
        <w:rPr>
          <w:rFonts w:eastAsiaTheme="minorHAnsi"/>
        </w:rPr>
        <w:t>, 1–3 (2017).</w:t>
      </w:r>
    </w:p>
    <w:p w14:paraId="0268C9A5" w14:textId="77777777" w:rsidR="002B00BC" w:rsidRPr="002B00BC" w:rsidRDefault="002B00BC" w:rsidP="002B00BC">
      <w:pPr>
        <w:pStyle w:val="Bibliography"/>
        <w:rPr>
          <w:rFonts w:eastAsiaTheme="minorHAnsi"/>
        </w:rPr>
      </w:pPr>
      <w:r w:rsidRPr="002B00BC">
        <w:rPr>
          <w:rFonts w:eastAsiaTheme="minorHAnsi"/>
        </w:rPr>
        <w:t xml:space="preserve">33. </w:t>
      </w:r>
      <w:r w:rsidRPr="002B00BC">
        <w:rPr>
          <w:rFonts w:eastAsiaTheme="minorHAnsi"/>
        </w:rPr>
        <w:tab/>
        <w:t xml:space="preserve">Z. Lu, R. Sethu, J. A. Imlay, Endogenous superoxide is a key effector of the oxygen sensitivity of a model obligate anaerobe. </w:t>
      </w:r>
      <w:r w:rsidRPr="002B00BC">
        <w:rPr>
          <w:rFonts w:eastAsiaTheme="minorHAnsi"/>
          <w:i/>
          <w:iCs/>
        </w:rPr>
        <w:t>Proceedings of the National Academy of Sciences</w:t>
      </w:r>
      <w:r w:rsidRPr="002B00BC">
        <w:rPr>
          <w:rFonts w:eastAsiaTheme="minorHAnsi"/>
        </w:rPr>
        <w:t xml:space="preserve"> </w:t>
      </w:r>
      <w:r w:rsidRPr="002B00BC">
        <w:rPr>
          <w:rFonts w:eastAsiaTheme="minorHAnsi"/>
          <w:b/>
          <w:bCs/>
        </w:rPr>
        <w:t>115</w:t>
      </w:r>
      <w:r w:rsidRPr="002B00BC">
        <w:rPr>
          <w:rFonts w:eastAsiaTheme="minorHAnsi"/>
        </w:rPr>
        <w:t>, E3266–E3275 (2018).</w:t>
      </w:r>
    </w:p>
    <w:p w14:paraId="090C6097" w14:textId="77777777" w:rsidR="002B00BC" w:rsidRPr="002B00BC" w:rsidRDefault="002B00BC" w:rsidP="002B00BC">
      <w:pPr>
        <w:pStyle w:val="Bibliography"/>
        <w:rPr>
          <w:rFonts w:eastAsiaTheme="minorHAnsi"/>
        </w:rPr>
      </w:pPr>
      <w:r w:rsidRPr="002B00BC">
        <w:rPr>
          <w:rFonts w:eastAsiaTheme="minorHAnsi"/>
        </w:rPr>
        <w:t xml:space="preserve">34. </w:t>
      </w:r>
      <w:r w:rsidRPr="002B00BC">
        <w:rPr>
          <w:rFonts w:eastAsiaTheme="minorHAnsi"/>
        </w:rPr>
        <w:tab/>
        <w:t xml:space="preserve">J. M. McCord, B. B. Keele, I. Fridovich, An Enzyme-Based Theory of Obligate Anaerobiosis: The Physiological Function of Superoxide Dismutase. </w:t>
      </w:r>
      <w:r w:rsidRPr="002B00BC">
        <w:rPr>
          <w:rFonts w:eastAsiaTheme="minorHAnsi"/>
          <w:i/>
          <w:iCs/>
        </w:rPr>
        <w:t>Proceedings of the National Academy of Sciences</w:t>
      </w:r>
      <w:r w:rsidRPr="002B00BC">
        <w:rPr>
          <w:rFonts w:eastAsiaTheme="minorHAnsi"/>
        </w:rPr>
        <w:t xml:space="preserve"> </w:t>
      </w:r>
      <w:r w:rsidRPr="002B00BC">
        <w:rPr>
          <w:rFonts w:eastAsiaTheme="minorHAnsi"/>
          <w:b/>
          <w:bCs/>
        </w:rPr>
        <w:t>68</w:t>
      </w:r>
      <w:r w:rsidRPr="002B00BC">
        <w:rPr>
          <w:rFonts w:eastAsiaTheme="minorHAnsi"/>
        </w:rPr>
        <w:t>, 1024–1027 (1971).</w:t>
      </w:r>
    </w:p>
    <w:p w14:paraId="3AE22353" w14:textId="77777777" w:rsidR="002B00BC" w:rsidRPr="002B00BC" w:rsidRDefault="002B00BC" w:rsidP="002B00BC">
      <w:pPr>
        <w:pStyle w:val="Bibliography"/>
        <w:rPr>
          <w:rFonts w:eastAsiaTheme="minorHAnsi"/>
        </w:rPr>
      </w:pPr>
      <w:r w:rsidRPr="002B00BC">
        <w:rPr>
          <w:rFonts w:eastAsiaTheme="minorHAnsi"/>
        </w:rPr>
        <w:t xml:space="preserve">35. </w:t>
      </w:r>
      <w:r w:rsidRPr="002B00BC">
        <w:rPr>
          <w:rFonts w:eastAsiaTheme="minorHAnsi"/>
        </w:rPr>
        <w:tab/>
        <w:t xml:space="preserve">L. Albenberg, T. V. Esipova, C. P. Judge, K. Bittinger, J. Chen, A. Laughlin, S. Grunberg, R. N. Baldassano, J. D. Lewis, H. Li, S. R. Thom, F. D. Bushman, S. A. Vinogradov, G. D. Wu, Correlation Between Intraluminal Oxygen Gradient and Radial Partitioning of Intestinal Microbiota. </w:t>
      </w:r>
      <w:r w:rsidRPr="002B00BC">
        <w:rPr>
          <w:rFonts w:eastAsiaTheme="minorHAnsi"/>
          <w:i/>
          <w:iCs/>
        </w:rPr>
        <w:t>Gastroenterology</w:t>
      </w:r>
      <w:r w:rsidRPr="002B00BC">
        <w:rPr>
          <w:rFonts w:eastAsiaTheme="minorHAnsi"/>
        </w:rPr>
        <w:t xml:space="preserve"> </w:t>
      </w:r>
      <w:r w:rsidRPr="002B00BC">
        <w:rPr>
          <w:rFonts w:eastAsiaTheme="minorHAnsi"/>
          <w:b/>
          <w:bCs/>
        </w:rPr>
        <w:t>147</w:t>
      </w:r>
      <w:r w:rsidRPr="002B00BC">
        <w:rPr>
          <w:rFonts w:eastAsiaTheme="minorHAnsi"/>
        </w:rPr>
        <w:t>, 1055-1063.e8 (2014).</w:t>
      </w:r>
    </w:p>
    <w:p w14:paraId="107206E8" w14:textId="77777777" w:rsidR="002B00BC" w:rsidRPr="002B00BC" w:rsidRDefault="002B00BC" w:rsidP="002B00BC">
      <w:pPr>
        <w:pStyle w:val="Bibliography"/>
        <w:rPr>
          <w:rFonts w:eastAsiaTheme="minorHAnsi"/>
        </w:rPr>
      </w:pPr>
      <w:r w:rsidRPr="002B00BC">
        <w:rPr>
          <w:rFonts w:eastAsiaTheme="minorHAnsi"/>
        </w:rPr>
        <w:t xml:space="preserve">36. </w:t>
      </w:r>
      <w:r w:rsidRPr="002B00BC">
        <w:rPr>
          <w:rFonts w:eastAsiaTheme="minorHAnsi"/>
        </w:rPr>
        <w:tab/>
        <w:t xml:space="preserve">N.-R. Shin, T. W. Whon, J.-W. Bae, </w:t>
      </w:r>
      <w:r w:rsidRPr="002B00BC">
        <w:rPr>
          <w:rFonts w:eastAsiaTheme="minorHAnsi"/>
          <w:i/>
          <w:iCs/>
        </w:rPr>
        <w:t>Proteobacteria</w:t>
      </w:r>
      <w:r w:rsidRPr="002B00BC">
        <w:rPr>
          <w:rFonts w:eastAsiaTheme="minorHAnsi"/>
        </w:rPr>
        <w:t xml:space="preserve">: microbial signature of dysbiosis in gut microbiota. </w:t>
      </w:r>
      <w:r w:rsidRPr="002B00BC">
        <w:rPr>
          <w:rFonts w:eastAsiaTheme="minorHAnsi"/>
          <w:i/>
          <w:iCs/>
        </w:rPr>
        <w:t>Trends in Biotechnology</w:t>
      </w:r>
      <w:r w:rsidRPr="002B00BC">
        <w:rPr>
          <w:rFonts w:eastAsiaTheme="minorHAnsi"/>
        </w:rPr>
        <w:t xml:space="preserve"> </w:t>
      </w:r>
      <w:r w:rsidRPr="002B00BC">
        <w:rPr>
          <w:rFonts w:eastAsiaTheme="minorHAnsi"/>
          <w:b/>
          <w:bCs/>
        </w:rPr>
        <w:t>33</w:t>
      </w:r>
      <w:r w:rsidRPr="002B00BC">
        <w:rPr>
          <w:rFonts w:eastAsiaTheme="minorHAnsi"/>
        </w:rPr>
        <w:t>, 496–503 (2015).</w:t>
      </w:r>
    </w:p>
    <w:p w14:paraId="017F9BB9" w14:textId="77777777" w:rsidR="002B00BC" w:rsidRPr="002B00BC" w:rsidRDefault="002B00BC" w:rsidP="002B00BC">
      <w:pPr>
        <w:pStyle w:val="Bibliography"/>
        <w:rPr>
          <w:rFonts w:eastAsiaTheme="minorHAnsi"/>
        </w:rPr>
      </w:pPr>
      <w:r w:rsidRPr="002B00BC">
        <w:rPr>
          <w:rFonts w:eastAsiaTheme="minorHAnsi"/>
        </w:rPr>
        <w:t xml:space="preserve">37. </w:t>
      </w:r>
      <w:r w:rsidRPr="002B00BC">
        <w:rPr>
          <w:rFonts w:eastAsiaTheme="minorHAnsi"/>
        </w:rPr>
        <w:tab/>
        <w:t xml:space="preserve">H. J. Flint, Scott ,Karen P., Duncan ,Sylvia H., Louis ,Petra, E. and Forano, Microbial degradation of complex carbohydrates in the gut. </w:t>
      </w:r>
      <w:r w:rsidRPr="002B00BC">
        <w:rPr>
          <w:rFonts w:eastAsiaTheme="minorHAnsi"/>
          <w:i/>
          <w:iCs/>
        </w:rPr>
        <w:t>Gut Microbes</w:t>
      </w:r>
      <w:r w:rsidRPr="002B00BC">
        <w:rPr>
          <w:rFonts w:eastAsiaTheme="minorHAnsi"/>
        </w:rPr>
        <w:t xml:space="preserve"> </w:t>
      </w:r>
      <w:r w:rsidRPr="002B00BC">
        <w:rPr>
          <w:rFonts w:eastAsiaTheme="minorHAnsi"/>
          <w:b/>
          <w:bCs/>
        </w:rPr>
        <w:t>3</w:t>
      </w:r>
      <w:r w:rsidRPr="002B00BC">
        <w:rPr>
          <w:rFonts w:eastAsiaTheme="minorHAnsi"/>
        </w:rPr>
        <w:t>, 289–306 (2012).</w:t>
      </w:r>
    </w:p>
    <w:p w14:paraId="1785A67B" w14:textId="77777777" w:rsidR="002B00BC" w:rsidRPr="002B00BC" w:rsidRDefault="002B00BC" w:rsidP="002B00BC">
      <w:pPr>
        <w:pStyle w:val="Bibliography"/>
        <w:rPr>
          <w:rFonts w:eastAsiaTheme="minorHAnsi"/>
        </w:rPr>
      </w:pPr>
      <w:r w:rsidRPr="002B00BC">
        <w:rPr>
          <w:rFonts w:eastAsiaTheme="minorHAnsi"/>
        </w:rPr>
        <w:t xml:space="preserve">38. </w:t>
      </w:r>
      <w:r w:rsidRPr="002B00BC">
        <w:rPr>
          <w:rFonts w:eastAsiaTheme="minorHAnsi"/>
        </w:rPr>
        <w:tab/>
        <w:t xml:space="preserve">L. V. Hooper, T. Midtvedt, J. I. Gordon, How host-microbial interactions shape the nutrient environment of the mammalian intestine. </w:t>
      </w:r>
      <w:r w:rsidRPr="002B00BC">
        <w:rPr>
          <w:rFonts w:eastAsiaTheme="minorHAnsi"/>
          <w:i/>
          <w:iCs/>
        </w:rPr>
        <w:t>Annual Review of Nutrition</w:t>
      </w:r>
      <w:r w:rsidRPr="002B00BC">
        <w:rPr>
          <w:rFonts w:eastAsiaTheme="minorHAnsi"/>
        </w:rPr>
        <w:t xml:space="preserve"> </w:t>
      </w:r>
      <w:r w:rsidRPr="002B00BC">
        <w:rPr>
          <w:rFonts w:eastAsiaTheme="minorHAnsi"/>
          <w:b/>
          <w:bCs/>
        </w:rPr>
        <w:t>22</w:t>
      </w:r>
      <w:r w:rsidRPr="002B00BC">
        <w:rPr>
          <w:rFonts w:eastAsiaTheme="minorHAnsi"/>
        </w:rPr>
        <w:t>, 283–307 (2002).</w:t>
      </w:r>
    </w:p>
    <w:p w14:paraId="7D507ED8" w14:textId="77777777" w:rsidR="002B00BC" w:rsidRPr="002B00BC" w:rsidRDefault="002B00BC" w:rsidP="002B00BC">
      <w:pPr>
        <w:pStyle w:val="Bibliography"/>
        <w:rPr>
          <w:rFonts w:eastAsiaTheme="minorHAnsi"/>
        </w:rPr>
      </w:pPr>
      <w:r w:rsidRPr="002B00BC">
        <w:rPr>
          <w:rFonts w:eastAsiaTheme="minorHAnsi"/>
        </w:rPr>
        <w:t xml:space="preserve">39. </w:t>
      </w:r>
      <w:r w:rsidRPr="002B00BC">
        <w:rPr>
          <w:rFonts w:eastAsiaTheme="minorHAnsi"/>
        </w:rPr>
        <w:tab/>
        <w:t xml:space="preserve">E. Maier, R. C. Anderson, N. C. Roy, Understanding How Commensal Obligate Anaerobic Bacteria Regulate Immune Functions in the Large Intestine. </w:t>
      </w:r>
      <w:r w:rsidRPr="002B00BC">
        <w:rPr>
          <w:rFonts w:eastAsiaTheme="minorHAnsi"/>
          <w:i/>
          <w:iCs/>
        </w:rPr>
        <w:t>Nutrients</w:t>
      </w:r>
      <w:r w:rsidRPr="002B00BC">
        <w:rPr>
          <w:rFonts w:eastAsiaTheme="minorHAnsi"/>
        </w:rPr>
        <w:t xml:space="preserve"> </w:t>
      </w:r>
      <w:r w:rsidRPr="002B00BC">
        <w:rPr>
          <w:rFonts w:eastAsiaTheme="minorHAnsi"/>
          <w:b/>
          <w:bCs/>
        </w:rPr>
        <w:t>7</w:t>
      </w:r>
      <w:r w:rsidRPr="002B00BC">
        <w:rPr>
          <w:rFonts w:eastAsiaTheme="minorHAnsi"/>
        </w:rPr>
        <w:t>, 45–73 (2014).</w:t>
      </w:r>
    </w:p>
    <w:p w14:paraId="141F18B9" w14:textId="77777777" w:rsidR="002B00BC" w:rsidRPr="002B00BC" w:rsidRDefault="002B00BC" w:rsidP="002B00BC">
      <w:pPr>
        <w:pStyle w:val="Bibliography"/>
        <w:rPr>
          <w:rFonts w:eastAsiaTheme="minorHAnsi"/>
        </w:rPr>
      </w:pPr>
      <w:r w:rsidRPr="002B00BC">
        <w:rPr>
          <w:rFonts w:eastAsiaTheme="minorHAnsi"/>
        </w:rPr>
        <w:t xml:space="preserve">40. </w:t>
      </w:r>
      <w:r w:rsidRPr="002B00BC">
        <w:rPr>
          <w:rFonts w:eastAsiaTheme="minorHAnsi"/>
        </w:rPr>
        <w:tab/>
        <w:t xml:space="preserve">R. Corrêa-Oliveira, J. L. Fachi, A. Vieira, F. T. Sato, M. A. R. Vinolo, Regulation of immune cell function by short-chain fatty acids. </w:t>
      </w:r>
      <w:r w:rsidRPr="002B00BC">
        <w:rPr>
          <w:rFonts w:eastAsiaTheme="minorHAnsi"/>
          <w:i/>
          <w:iCs/>
        </w:rPr>
        <w:t>Clinical &amp; Translational Immunology</w:t>
      </w:r>
      <w:r w:rsidRPr="002B00BC">
        <w:rPr>
          <w:rFonts w:eastAsiaTheme="minorHAnsi"/>
        </w:rPr>
        <w:t xml:space="preserve"> </w:t>
      </w:r>
      <w:r w:rsidRPr="002B00BC">
        <w:rPr>
          <w:rFonts w:eastAsiaTheme="minorHAnsi"/>
          <w:b/>
          <w:bCs/>
        </w:rPr>
        <w:t>5</w:t>
      </w:r>
      <w:r w:rsidRPr="002B00BC">
        <w:rPr>
          <w:rFonts w:eastAsiaTheme="minorHAnsi"/>
        </w:rPr>
        <w:t>, e73 (2016).</w:t>
      </w:r>
    </w:p>
    <w:p w14:paraId="080430D3" w14:textId="77777777" w:rsidR="002B00BC" w:rsidRPr="002B00BC" w:rsidRDefault="002B00BC" w:rsidP="002B00BC">
      <w:pPr>
        <w:pStyle w:val="Bibliography"/>
        <w:rPr>
          <w:rFonts w:eastAsiaTheme="minorHAnsi"/>
        </w:rPr>
      </w:pPr>
      <w:r w:rsidRPr="002B00BC">
        <w:rPr>
          <w:rFonts w:eastAsiaTheme="minorHAnsi"/>
        </w:rPr>
        <w:t xml:space="preserve">41. </w:t>
      </w:r>
      <w:r w:rsidRPr="002B00BC">
        <w:rPr>
          <w:rFonts w:eastAsiaTheme="minorHAnsi"/>
        </w:rPr>
        <w:tab/>
        <w:t xml:space="preserve">Y. Furusawa, Y. Obata, S. Fukuda, T. A. Endo, G. Nakato, D. Takahashi, Y. Nakanishi, C. Uetake, K. Kato, T. Kato, M. Takahashi, N. N. Fukuda, S. Murakami, E. Miyauchi, S. Hino, K. Atarashi, S. Onawa, Y. Fujimura, T. Lockett, J. M. Clarke, D. L. Topping, M. Tomita, S. Hori, O. Ohara, T. Morita, H. Koseki, J. Kikuchi, K. Honda, K. Hase, H. Ohno, Commensal microbe-derived butyrate induces the differentiation of colonic regulatory T cells. </w:t>
      </w:r>
      <w:r w:rsidRPr="002B00BC">
        <w:rPr>
          <w:rFonts w:eastAsiaTheme="minorHAnsi"/>
          <w:i/>
          <w:iCs/>
        </w:rPr>
        <w:t>Nature</w:t>
      </w:r>
      <w:r w:rsidRPr="002B00BC">
        <w:rPr>
          <w:rFonts w:eastAsiaTheme="minorHAnsi"/>
        </w:rPr>
        <w:t xml:space="preserve"> </w:t>
      </w:r>
      <w:r w:rsidRPr="002B00BC">
        <w:rPr>
          <w:rFonts w:eastAsiaTheme="minorHAnsi"/>
          <w:b/>
          <w:bCs/>
        </w:rPr>
        <w:t>504</w:t>
      </w:r>
      <w:r w:rsidRPr="002B00BC">
        <w:rPr>
          <w:rFonts w:eastAsiaTheme="minorHAnsi"/>
        </w:rPr>
        <w:t>, 446–450 (2013).</w:t>
      </w:r>
    </w:p>
    <w:p w14:paraId="23D1CA4C" w14:textId="77777777" w:rsidR="002B00BC" w:rsidRPr="002B00BC" w:rsidRDefault="002B00BC" w:rsidP="002B00BC">
      <w:pPr>
        <w:pStyle w:val="Bibliography"/>
        <w:rPr>
          <w:rFonts w:eastAsiaTheme="minorHAnsi"/>
        </w:rPr>
      </w:pPr>
      <w:r w:rsidRPr="002B00BC">
        <w:rPr>
          <w:rFonts w:eastAsiaTheme="minorHAnsi"/>
        </w:rPr>
        <w:lastRenderedPageBreak/>
        <w:t xml:space="preserve">42. </w:t>
      </w:r>
      <w:r w:rsidRPr="002B00BC">
        <w:rPr>
          <w:rFonts w:eastAsiaTheme="minorHAnsi"/>
        </w:rPr>
        <w:tab/>
        <w:t xml:space="preserve">L. Klampfer, J. Huang, T. Sasazuki, S. Shirasawa, L. Augenlicht, Inhibition of Interferon γ Signaling by the Short Chain Fatty Acid Butyrate1. </w:t>
      </w:r>
      <w:r w:rsidRPr="002B00BC">
        <w:rPr>
          <w:rFonts w:eastAsiaTheme="minorHAnsi"/>
          <w:i/>
          <w:iCs/>
        </w:rPr>
        <w:t>Molecular Cancer Research</w:t>
      </w:r>
      <w:r w:rsidRPr="002B00BC">
        <w:rPr>
          <w:rFonts w:eastAsiaTheme="minorHAnsi"/>
        </w:rPr>
        <w:t xml:space="preserve"> </w:t>
      </w:r>
      <w:r w:rsidRPr="002B00BC">
        <w:rPr>
          <w:rFonts w:eastAsiaTheme="minorHAnsi"/>
          <w:b/>
          <w:bCs/>
        </w:rPr>
        <w:t>1</w:t>
      </w:r>
      <w:r w:rsidRPr="002B00BC">
        <w:rPr>
          <w:rFonts w:eastAsiaTheme="minorHAnsi"/>
        </w:rPr>
        <w:t>, 855–862 (2003).</w:t>
      </w:r>
    </w:p>
    <w:p w14:paraId="424A8F90" w14:textId="77777777" w:rsidR="002B00BC" w:rsidRPr="002B00BC" w:rsidRDefault="002B00BC" w:rsidP="002B00BC">
      <w:pPr>
        <w:pStyle w:val="Bibliography"/>
        <w:rPr>
          <w:rFonts w:eastAsiaTheme="minorHAnsi"/>
        </w:rPr>
      </w:pPr>
      <w:r w:rsidRPr="002B00BC">
        <w:rPr>
          <w:rFonts w:eastAsiaTheme="minorHAnsi"/>
        </w:rPr>
        <w:t xml:space="preserve">43. </w:t>
      </w:r>
      <w:r w:rsidRPr="002B00BC">
        <w:rPr>
          <w:rFonts w:eastAsiaTheme="minorHAnsi"/>
        </w:rPr>
        <w:tab/>
        <w:t xml:space="preserve">X. Liu, J. Shao, Y.-T. Liao, L.-N. Wang, Y. Jia, P. Dong, Z. Liu, D. He, C. Li, X. Zhang, Regulation of short-chain fatty acids in the immune system. </w:t>
      </w:r>
      <w:r w:rsidRPr="002B00BC">
        <w:rPr>
          <w:rFonts w:eastAsiaTheme="minorHAnsi"/>
          <w:i/>
          <w:iCs/>
        </w:rPr>
        <w:t>Front Immunol</w:t>
      </w:r>
      <w:r w:rsidRPr="002B00BC">
        <w:rPr>
          <w:rFonts w:eastAsiaTheme="minorHAnsi"/>
        </w:rPr>
        <w:t xml:space="preserve"> </w:t>
      </w:r>
      <w:r w:rsidRPr="002B00BC">
        <w:rPr>
          <w:rFonts w:eastAsiaTheme="minorHAnsi"/>
          <w:b/>
          <w:bCs/>
        </w:rPr>
        <w:t>14</w:t>
      </w:r>
      <w:r w:rsidRPr="002B00BC">
        <w:rPr>
          <w:rFonts w:eastAsiaTheme="minorHAnsi"/>
        </w:rPr>
        <w:t>, 1186892 (2023).</w:t>
      </w:r>
    </w:p>
    <w:p w14:paraId="41726BDE" w14:textId="77777777" w:rsidR="002B00BC" w:rsidRPr="002B00BC" w:rsidRDefault="002B00BC" w:rsidP="002B00BC">
      <w:pPr>
        <w:pStyle w:val="Bibliography"/>
        <w:rPr>
          <w:rFonts w:eastAsiaTheme="minorHAnsi"/>
        </w:rPr>
      </w:pPr>
      <w:r w:rsidRPr="002B00BC">
        <w:rPr>
          <w:rFonts w:eastAsiaTheme="minorHAnsi"/>
        </w:rPr>
        <w:t xml:space="preserve">44. </w:t>
      </w:r>
      <w:r w:rsidRPr="002B00BC">
        <w:rPr>
          <w:rFonts w:eastAsiaTheme="minorHAnsi"/>
        </w:rPr>
        <w:tab/>
        <w:t xml:space="preserve">Z. Yu, J. M. Cantet, H. A. Paz, J. D. Kaufman, M. S. Orellano, I. R. Ipharraguerre, A. G. Ríus, Heat stress–associated changes in the intestinal barrier, inflammatory signals, and microbiome communities in dairy calves. </w:t>
      </w:r>
      <w:r w:rsidRPr="002B00BC">
        <w:rPr>
          <w:rFonts w:eastAsiaTheme="minorHAnsi"/>
          <w:i/>
          <w:iCs/>
        </w:rPr>
        <w:t>Journal of Dairy Science</w:t>
      </w:r>
      <w:r w:rsidRPr="002B00BC">
        <w:rPr>
          <w:rFonts w:eastAsiaTheme="minorHAnsi"/>
        </w:rPr>
        <w:t xml:space="preserve"> </w:t>
      </w:r>
      <w:r w:rsidRPr="002B00BC">
        <w:rPr>
          <w:rFonts w:eastAsiaTheme="minorHAnsi"/>
          <w:b/>
          <w:bCs/>
        </w:rPr>
        <w:t>107</w:t>
      </w:r>
      <w:r w:rsidRPr="002B00BC">
        <w:rPr>
          <w:rFonts w:eastAsiaTheme="minorHAnsi"/>
        </w:rPr>
        <w:t>, 1175–1196 (2024).</w:t>
      </w:r>
    </w:p>
    <w:p w14:paraId="5DA0F458" w14:textId="77777777" w:rsidR="002B00BC" w:rsidRPr="002B00BC" w:rsidRDefault="002B00BC" w:rsidP="002B00BC">
      <w:pPr>
        <w:pStyle w:val="Bibliography"/>
        <w:rPr>
          <w:rFonts w:eastAsiaTheme="minorHAnsi"/>
        </w:rPr>
      </w:pPr>
      <w:r w:rsidRPr="002B00BC">
        <w:rPr>
          <w:rFonts w:eastAsiaTheme="minorHAnsi"/>
        </w:rPr>
        <w:t xml:space="preserve">45. </w:t>
      </w:r>
      <w:r w:rsidRPr="002B00BC">
        <w:rPr>
          <w:rFonts w:eastAsiaTheme="minorHAnsi"/>
        </w:rPr>
        <w:tab/>
        <w:t xml:space="preserve">J. He, Y. He, D. Pan, J. Cao, Y. Sun, X. Zeng, Associations of Gut Microbiota With Heat Stress-Induced Changes of Growth, Fat Deposition, Intestinal Morphology, and Antioxidant Capacity in Ducks. </w:t>
      </w:r>
      <w:r w:rsidRPr="002B00BC">
        <w:rPr>
          <w:rFonts w:eastAsiaTheme="minorHAnsi"/>
          <w:i/>
          <w:iCs/>
        </w:rPr>
        <w:t>Front. Microbiol.</w:t>
      </w:r>
      <w:r w:rsidRPr="002B00BC">
        <w:rPr>
          <w:rFonts w:eastAsiaTheme="minorHAnsi"/>
        </w:rPr>
        <w:t xml:space="preserve"> </w:t>
      </w:r>
      <w:r w:rsidRPr="002B00BC">
        <w:rPr>
          <w:rFonts w:eastAsiaTheme="minorHAnsi"/>
          <w:b/>
          <w:bCs/>
        </w:rPr>
        <w:t>10</w:t>
      </w:r>
      <w:r w:rsidRPr="002B00BC">
        <w:rPr>
          <w:rFonts w:eastAsiaTheme="minorHAnsi"/>
        </w:rPr>
        <w:t xml:space="preserve"> (2019).</w:t>
      </w:r>
    </w:p>
    <w:p w14:paraId="02CAC5DD" w14:textId="77777777" w:rsidR="002B00BC" w:rsidRPr="002B00BC" w:rsidRDefault="002B00BC" w:rsidP="002B00BC">
      <w:pPr>
        <w:pStyle w:val="Bibliography"/>
        <w:rPr>
          <w:rFonts w:eastAsiaTheme="minorHAnsi"/>
        </w:rPr>
      </w:pPr>
      <w:r w:rsidRPr="002B00BC">
        <w:rPr>
          <w:rFonts w:eastAsiaTheme="minorHAnsi"/>
        </w:rPr>
        <w:t xml:space="preserve">46. </w:t>
      </w:r>
      <w:r w:rsidRPr="002B00BC">
        <w:rPr>
          <w:rFonts w:eastAsiaTheme="minorHAnsi"/>
        </w:rPr>
        <w:tab/>
        <w:t xml:space="preserve">Y.-J. Seo, L. Chiwoong, L. Byeonghwi, K. Jun-Mo, Microbial-transcriptome integrative analysis of heat stress effects on amino acid metabolism and lipid peroxidation in poultry jejunum. </w:t>
      </w:r>
      <w:r w:rsidRPr="002B00BC">
        <w:rPr>
          <w:rFonts w:eastAsiaTheme="minorHAnsi"/>
          <w:i/>
          <w:iCs/>
        </w:rPr>
        <w:t>Animal Biotechnology</w:t>
      </w:r>
      <w:r w:rsidRPr="002B00BC">
        <w:rPr>
          <w:rFonts w:eastAsiaTheme="minorHAnsi"/>
        </w:rPr>
        <w:t xml:space="preserve"> </w:t>
      </w:r>
      <w:r w:rsidRPr="002B00BC">
        <w:rPr>
          <w:rFonts w:eastAsiaTheme="minorHAnsi"/>
          <w:b/>
          <w:bCs/>
        </w:rPr>
        <w:t>35</w:t>
      </w:r>
      <w:r w:rsidRPr="002B00BC">
        <w:rPr>
          <w:rFonts w:eastAsiaTheme="minorHAnsi"/>
        </w:rPr>
        <w:t>, 2331179 (2024).</w:t>
      </w:r>
    </w:p>
    <w:p w14:paraId="3815665C" w14:textId="77777777" w:rsidR="002B00BC" w:rsidRPr="002B00BC" w:rsidRDefault="002B00BC" w:rsidP="002B00BC">
      <w:pPr>
        <w:pStyle w:val="Bibliography"/>
        <w:rPr>
          <w:rFonts w:eastAsiaTheme="minorHAnsi"/>
        </w:rPr>
      </w:pPr>
      <w:r w:rsidRPr="002B00BC">
        <w:rPr>
          <w:rFonts w:eastAsiaTheme="minorHAnsi"/>
        </w:rPr>
        <w:t xml:space="preserve">47. </w:t>
      </w:r>
      <w:r w:rsidRPr="002B00BC">
        <w:rPr>
          <w:rFonts w:eastAsiaTheme="minorHAnsi"/>
        </w:rPr>
        <w:tab/>
        <w:t xml:space="preserve">K. J. Emerson, S. S. Fontaine, K. D. Kohl, S. K. Woodley, Temperature and the microbial environment alter brain morphology in a larval amphibian. </w:t>
      </w:r>
      <w:r w:rsidRPr="002B00BC">
        <w:rPr>
          <w:rFonts w:eastAsiaTheme="minorHAnsi"/>
          <w:i/>
          <w:iCs/>
        </w:rPr>
        <w:t>Journal of Experimental Biology</w:t>
      </w:r>
      <w:r w:rsidRPr="002B00BC">
        <w:rPr>
          <w:rFonts w:eastAsiaTheme="minorHAnsi"/>
        </w:rPr>
        <w:t xml:space="preserve"> </w:t>
      </w:r>
      <w:r w:rsidRPr="002B00BC">
        <w:rPr>
          <w:rFonts w:eastAsiaTheme="minorHAnsi"/>
          <w:b/>
          <w:bCs/>
        </w:rPr>
        <w:t>226</w:t>
      </w:r>
      <w:r w:rsidRPr="002B00BC">
        <w:rPr>
          <w:rFonts w:eastAsiaTheme="minorHAnsi"/>
        </w:rPr>
        <w:t>, jeb245333 (2023).</w:t>
      </w:r>
    </w:p>
    <w:p w14:paraId="28049E4F" w14:textId="77777777" w:rsidR="002B00BC" w:rsidRPr="002B00BC" w:rsidRDefault="002B00BC" w:rsidP="002B00BC">
      <w:pPr>
        <w:pStyle w:val="Bibliography"/>
        <w:rPr>
          <w:rFonts w:eastAsiaTheme="minorHAnsi"/>
        </w:rPr>
      </w:pPr>
      <w:r w:rsidRPr="002B00BC">
        <w:rPr>
          <w:rFonts w:eastAsiaTheme="minorHAnsi"/>
        </w:rPr>
        <w:t xml:space="preserve">48. </w:t>
      </w:r>
      <w:r w:rsidRPr="002B00BC">
        <w:rPr>
          <w:rFonts w:eastAsiaTheme="minorHAnsi"/>
        </w:rPr>
        <w:tab/>
        <w:t xml:space="preserve">A. H. Moeller, K. Ivey, M. B. Cornwall, K. Herr, J. Rede, E. N. Taylor, A. R. Gunderson, The Lizard Gut Microbiome Changes with Temperature and Is Associated with Heat Tolerance. </w:t>
      </w:r>
      <w:r w:rsidRPr="002B00BC">
        <w:rPr>
          <w:rFonts w:eastAsiaTheme="minorHAnsi"/>
          <w:i/>
          <w:iCs/>
        </w:rPr>
        <w:t>Applied and Environmental Microbiology</w:t>
      </w:r>
      <w:r w:rsidRPr="002B00BC">
        <w:rPr>
          <w:rFonts w:eastAsiaTheme="minorHAnsi"/>
        </w:rPr>
        <w:t xml:space="preserve"> </w:t>
      </w:r>
      <w:r w:rsidRPr="002B00BC">
        <w:rPr>
          <w:rFonts w:eastAsiaTheme="minorHAnsi"/>
          <w:b/>
          <w:bCs/>
        </w:rPr>
        <w:t>86</w:t>
      </w:r>
      <w:r w:rsidRPr="002B00BC">
        <w:rPr>
          <w:rFonts w:eastAsiaTheme="minorHAnsi"/>
        </w:rPr>
        <w:t>, e01181-20 (2020).</w:t>
      </w:r>
    </w:p>
    <w:p w14:paraId="543A00BC" w14:textId="77777777" w:rsidR="002B00BC" w:rsidRPr="002B00BC" w:rsidRDefault="002B00BC" w:rsidP="002B00BC">
      <w:pPr>
        <w:pStyle w:val="Bibliography"/>
        <w:rPr>
          <w:rFonts w:eastAsiaTheme="minorHAnsi"/>
        </w:rPr>
      </w:pPr>
      <w:r w:rsidRPr="002B00BC">
        <w:rPr>
          <w:rFonts w:eastAsiaTheme="minorHAnsi"/>
        </w:rPr>
        <w:t xml:space="preserve">49. </w:t>
      </w:r>
      <w:r w:rsidRPr="002B00BC">
        <w:rPr>
          <w:rFonts w:eastAsiaTheme="minorHAnsi"/>
        </w:rPr>
        <w:tab/>
        <w:t xml:space="preserve">G. Wang, X. Li, Y. Zhou, J. Feng, M. Zhang, Effects of Heat Stress on Gut-Microbial Metabolites, Gastrointestinal Peptides, Glycolipid Metabolism, and Performance of Broilers. </w:t>
      </w:r>
      <w:r w:rsidRPr="002B00BC">
        <w:rPr>
          <w:rFonts w:eastAsiaTheme="minorHAnsi"/>
          <w:i/>
          <w:iCs/>
        </w:rPr>
        <w:t>Animals</w:t>
      </w:r>
      <w:r w:rsidRPr="002B00BC">
        <w:rPr>
          <w:rFonts w:eastAsiaTheme="minorHAnsi"/>
        </w:rPr>
        <w:t xml:space="preserve"> </w:t>
      </w:r>
      <w:r w:rsidRPr="002B00BC">
        <w:rPr>
          <w:rFonts w:eastAsiaTheme="minorHAnsi"/>
          <w:b/>
          <w:bCs/>
        </w:rPr>
        <w:t>11</w:t>
      </w:r>
      <w:r w:rsidRPr="002B00BC">
        <w:rPr>
          <w:rFonts w:eastAsiaTheme="minorHAnsi"/>
        </w:rPr>
        <w:t>, 1286 (2021).</w:t>
      </w:r>
    </w:p>
    <w:p w14:paraId="503B0370" w14:textId="77777777" w:rsidR="002B00BC" w:rsidRPr="002B00BC" w:rsidRDefault="002B00BC" w:rsidP="002B00BC">
      <w:pPr>
        <w:pStyle w:val="Bibliography"/>
        <w:rPr>
          <w:rFonts w:eastAsiaTheme="minorHAnsi"/>
        </w:rPr>
      </w:pPr>
      <w:r w:rsidRPr="002B00BC">
        <w:rPr>
          <w:rFonts w:eastAsiaTheme="minorHAnsi"/>
        </w:rPr>
        <w:t xml:space="preserve">50. </w:t>
      </w:r>
      <w:r w:rsidRPr="002B00BC">
        <w:rPr>
          <w:rFonts w:eastAsiaTheme="minorHAnsi"/>
        </w:rPr>
        <w:tab/>
        <w:t xml:space="preserve">C. Murr, B. Widner, B. Wirleitner, D. Fuchs, Neopterin as a marker for immune system activation. </w:t>
      </w:r>
      <w:r w:rsidRPr="002B00BC">
        <w:rPr>
          <w:rFonts w:eastAsiaTheme="minorHAnsi"/>
          <w:i/>
          <w:iCs/>
        </w:rPr>
        <w:t>Curr Drug Metab</w:t>
      </w:r>
      <w:r w:rsidRPr="002B00BC">
        <w:rPr>
          <w:rFonts w:eastAsiaTheme="minorHAnsi"/>
        </w:rPr>
        <w:t xml:space="preserve"> </w:t>
      </w:r>
      <w:r w:rsidRPr="002B00BC">
        <w:rPr>
          <w:rFonts w:eastAsiaTheme="minorHAnsi"/>
          <w:b/>
          <w:bCs/>
        </w:rPr>
        <w:t>3</w:t>
      </w:r>
      <w:r w:rsidRPr="002B00BC">
        <w:rPr>
          <w:rFonts w:eastAsiaTheme="minorHAnsi"/>
        </w:rPr>
        <w:t>, 175–187 (2002).</w:t>
      </w:r>
    </w:p>
    <w:p w14:paraId="02FFC30C" w14:textId="77777777" w:rsidR="002B00BC" w:rsidRPr="002B00BC" w:rsidRDefault="002B00BC" w:rsidP="002B00BC">
      <w:pPr>
        <w:pStyle w:val="Bibliography"/>
        <w:rPr>
          <w:rFonts w:eastAsiaTheme="minorHAnsi"/>
        </w:rPr>
      </w:pPr>
      <w:r w:rsidRPr="002B00BC">
        <w:rPr>
          <w:rFonts w:eastAsiaTheme="minorHAnsi"/>
        </w:rPr>
        <w:t xml:space="preserve">51. </w:t>
      </w:r>
      <w:r w:rsidRPr="002B00BC">
        <w:rPr>
          <w:rFonts w:eastAsiaTheme="minorHAnsi"/>
        </w:rPr>
        <w:tab/>
        <w:t xml:space="preserve">B. Kelsall, Recent progress in understanding the phenotype and function of intestinal dendritic cells and macrophages. </w:t>
      </w:r>
      <w:r w:rsidRPr="002B00BC">
        <w:rPr>
          <w:rFonts w:eastAsiaTheme="minorHAnsi"/>
          <w:i/>
          <w:iCs/>
        </w:rPr>
        <w:t>Mucosal Immunology</w:t>
      </w:r>
      <w:r w:rsidRPr="002B00BC">
        <w:rPr>
          <w:rFonts w:eastAsiaTheme="minorHAnsi"/>
        </w:rPr>
        <w:t xml:space="preserve"> </w:t>
      </w:r>
      <w:r w:rsidRPr="002B00BC">
        <w:rPr>
          <w:rFonts w:eastAsiaTheme="minorHAnsi"/>
          <w:b/>
          <w:bCs/>
        </w:rPr>
        <w:t>1</w:t>
      </w:r>
      <w:r w:rsidRPr="002B00BC">
        <w:rPr>
          <w:rFonts w:eastAsiaTheme="minorHAnsi"/>
        </w:rPr>
        <w:t>, 460–469 (2008).</w:t>
      </w:r>
    </w:p>
    <w:p w14:paraId="28EA514B" w14:textId="77777777" w:rsidR="002B00BC" w:rsidRPr="002B00BC" w:rsidRDefault="002B00BC" w:rsidP="002B00BC">
      <w:pPr>
        <w:pStyle w:val="Bibliography"/>
        <w:rPr>
          <w:rFonts w:eastAsiaTheme="minorHAnsi"/>
        </w:rPr>
      </w:pPr>
      <w:r w:rsidRPr="002B00BC">
        <w:rPr>
          <w:rFonts w:eastAsiaTheme="minorHAnsi"/>
        </w:rPr>
        <w:t xml:space="preserve">52. </w:t>
      </w:r>
      <w:r w:rsidRPr="002B00BC">
        <w:rPr>
          <w:rFonts w:eastAsiaTheme="minorHAnsi"/>
        </w:rPr>
        <w:tab/>
        <w:t xml:space="preserve">J. Wang, W.-D. Chen, Y.-D. Wang, The Relationship Between Gut Microbiota and Inflammatory Diseases: The Role of Macrophages. </w:t>
      </w:r>
      <w:r w:rsidRPr="002B00BC">
        <w:rPr>
          <w:rFonts w:eastAsiaTheme="minorHAnsi"/>
          <w:i/>
          <w:iCs/>
        </w:rPr>
        <w:t>Front. Microbiol.</w:t>
      </w:r>
      <w:r w:rsidRPr="002B00BC">
        <w:rPr>
          <w:rFonts w:eastAsiaTheme="minorHAnsi"/>
        </w:rPr>
        <w:t xml:space="preserve"> </w:t>
      </w:r>
      <w:r w:rsidRPr="002B00BC">
        <w:rPr>
          <w:rFonts w:eastAsiaTheme="minorHAnsi"/>
          <w:b/>
          <w:bCs/>
        </w:rPr>
        <w:t>11</w:t>
      </w:r>
      <w:r w:rsidRPr="002B00BC">
        <w:rPr>
          <w:rFonts w:eastAsiaTheme="minorHAnsi"/>
        </w:rPr>
        <w:t xml:space="preserve"> (2020).</w:t>
      </w:r>
    </w:p>
    <w:p w14:paraId="403D6AFD" w14:textId="77777777" w:rsidR="002B00BC" w:rsidRPr="002B00BC" w:rsidRDefault="002B00BC" w:rsidP="002B00BC">
      <w:pPr>
        <w:pStyle w:val="Bibliography"/>
        <w:rPr>
          <w:rFonts w:eastAsiaTheme="minorHAnsi"/>
        </w:rPr>
      </w:pPr>
      <w:r w:rsidRPr="002B00BC">
        <w:rPr>
          <w:rFonts w:eastAsiaTheme="minorHAnsi"/>
        </w:rPr>
        <w:t xml:space="preserve">53. </w:t>
      </w:r>
      <w:r w:rsidRPr="002B00BC">
        <w:rPr>
          <w:rFonts w:eastAsiaTheme="minorHAnsi"/>
        </w:rPr>
        <w:tab/>
        <w:t xml:space="preserve">C. A. Portillo-Quintero, G. A. Sánchez-Azofeifa, Extent and conservation of tropical dry forests in the Americas. </w:t>
      </w:r>
      <w:r w:rsidRPr="002B00BC">
        <w:rPr>
          <w:rFonts w:eastAsiaTheme="minorHAnsi"/>
          <w:i/>
          <w:iCs/>
        </w:rPr>
        <w:t>Biological Conservation</w:t>
      </w:r>
      <w:r w:rsidRPr="002B00BC">
        <w:rPr>
          <w:rFonts w:eastAsiaTheme="minorHAnsi"/>
        </w:rPr>
        <w:t xml:space="preserve"> </w:t>
      </w:r>
      <w:r w:rsidRPr="002B00BC">
        <w:rPr>
          <w:rFonts w:eastAsiaTheme="minorHAnsi"/>
          <w:b/>
          <w:bCs/>
        </w:rPr>
        <w:t>143</w:t>
      </w:r>
      <w:r w:rsidRPr="002B00BC">
        <w:rPr>
          <w:rFonts w:eastAsiaTheme="minorHAnsi"/>
        </w:rPr>
        <w:t>, 144–155 (2010).</w:t>
      </w:r>
    </w:p>
    <w:p w14:paraId="0F3E33FF" w14:textId="77777777" w:rsidR="002B00BC" w:rsidRPr="002B00BC" w:rsidRDefault="002B00BC" w:rsidP="002B00BC">
      <w:pPr>
        <w:pStyle w:val="Bibliography"/>
        <w:rPr>
          <w:rFonts w:eastAsiaTheme="minorHAnsi"/>
        </w:rPr>
      </w:pPr>
      <w:r w:rsidRPr="002B00BC">
        <w:rPr>
          <w:rFonts w:eastAsiaTheme="minorHAnsi"/>
        </w:rPr>
        <w:t xml:space="preserve">54. </w:t>
      </w:r>
      <w:r w:rsidRPr="002B00BC">
        <w:rPr>
          <w:rFonts w:eastAsiaTheme="minorHAnsi"/>
        </w:rPr>
        <w:tab/>
        <w:t xml:space="preserve">M. L. Bergstrom, M. Emery Thompson, A. D. Melin, L. M. Fedigan, Using urinary parameters to estimate seasonal variation in the physical condition of female white-faced </w:t>
      </w:r>
      <w:r w:rsidRPr="002B00BC">
        <w:rPr>
          <w:rFonts w:eastAsiaTheme="minorHAnsi"/>
        </w:rPr>
        <w:lastRenderedPageBreak/>
        <w:t xml:space="preserve">capuchin monkeys (Cebus capucinus imitator). </w:t>
      </w:r>
      <w:r w:rsidRPr="002B00BC">
        <w:rPr>
          <w:rFonts w:eastAsiaTheme="minorHAnsi"/>
          <w:i/>
          <w:iCs/>
        </w:rPr>
        <w:t>American Journal of Physical Anthropology</w:t>
      </w:r>
      <w:r w:rsidRPr="002B00BC">
        <w:rPr>
          <w:rFonts w:eastAsiaTheme="minorHAnsi"/>
        </w:rPr>
        <w:t xml:space="preserve"> </w:t>
      </w:r>
      <w:r w:rsidRPr="002B00BC">
        <w:rPr>
          <w:rFonts w:eastAsiaTheme="minorHAnsi"/>
          <w:b/>
          <w:bCs/>
        </w:rPr>
        <w:t>163</w:t>
      </w:r>
      <w:r w:rsidRPr="002B00BC">
        <w:rPr>
          <w:rFonts w:eastAsiaTheme="minorHAnsi"/>
        </w:rPr>
        <w:t>, 707–715 (2017).</w:t>
      </w:r>
    </w:p>
    <w:p w14:paraId="605D6712" w14:textId="77777777" w:rsidR="002B00BC" w:rsidRPr="002B00BC" w:rsidRDefault="002B00BC" w:rsidP="002B00BC">
      <w:pPr>
        <w:pStyle w:val="Bibliography"/>
        <w:rPr>
          <w:rFonts w:eastAsiaTheme="minorHAnsi"/>
        </w:rPr>
      </w:pPr>
      <w:r w:rsidRPr="002B00BC">
        <w:rPr>
          <w:rFonts w:eastAsiaTheme="minorHAnsi"/>
        </w:rPr>
        <w:t xml:space="preserve">55. </w:t>
      </w:r>
      <w:r w:rsidRPr="002B00BC">
        <w:rPr>
          <w:rFonts w:eastAsiaTheme="minorHAnsi"/>
        </w:rPr>
        <w:tab/>
        <w:t xml:space="preserve">J. D. Orkin, F. A. Campos, M. S. Myers, S. E. Cheves Hernandez, A. Guadamuz, A. D. Melin, Seasonality of the gut microbiota of free-ranging white-faced capuchins in a tropical dry forest. </w:t>
      </w:r>
      <w:r w:rsidRPr="002B00BC">
        <w:rPr>
          <w:rFonts w:eastAsiaTheme="minorHAnsi"/>
          <w:i/>
          <w:iCs/>
        </w:rPr>
        <w:t>The ISME Journal</w:t>
      </w:r>
      <w:r w:rsidRPr="002B00BC">
        <w:rPr>
          <w:rFonts w:eastAsiaTheme="minorHAnsi"/>
        </w:rPr>
        <w:t xml:space="preserve"> </w:t>
      </w:r>
      <w:r w:rsidRPr="002B00BC">
        <w:rPr>
          <w:rFonts w:eastAsiaTheme="minorHAnsi"/>
          <w:b/>
          <w:bCs/>
        </w:rPr>
        <w:t>13</w:t>
      </w:r>
      <w:r w:rsidRPr="002B00BC">
        <w:rPr>
          <w:rFonts w:eastAsiaTheme="minorHAnsi"/>
        </w:rPr>
        <w:t>, 183–196 (2019).</w:t>
      </w:r>
    </w:p>
    <w:p w14:paraId="7A480889" w14:textId="77777777" w:rsidR="002B00BC" w:rsidRPr="002B00BC" w:rsidRDefault="002B00BC" w:rsidP="002B00BC">
      <w:pPr>
        <w:pStyle w:val="Bibliography"/>
        <w:rPr>
          <w:rFonts w:eastAsiaTheme="minorHAnsi"/>
        </w:rPr>
      </w:pPr>
      <w:r w:rsidRPr="002B00BC">
        <w:rPr>
          <w:rFonts w:eastAsiaTheme="minorHAnsi"/>
        </w:rPr>
        <w:t xml:space="preserve">56. </w:t>
      </w:r>
      <w:r w:rsidRPr="002B00BC">
        <w:rPr>
          <w:rFonts w:eastAsiaTheme="minorHAnsi"/>
        </w:rPr>
        <w:tab/>
        <w:t xml:space="preserve">J. C. Beehner, J. Alfaro, C. Allen, M. E. Benítez, T. J. Bergman, M. S. Buehler, S. C. Carrera, E. M. Chester, T. Deschner, A. Fuentes, C. M. Gault, I. Godoy, K. M. Jack, J. D. Kim, L. Kolinski, N. K. Kulick, T. Losch, J. C. Ordoñez, S. E. Perry, F. Pinto, O. T. Reilly, E. T. Johnson, M. D. Wasserman, Using an on-site laboratory for fecal steroid analysis in wild white-faced capuchins. </w:t>
      </w:r>
      <w:r w:rsidRPr="002B00BC">
        <w:rPr>
          <w:rFonts w:eastAsiaTheme="minorHAnsi"/>
          <w:i/>
          <w:iCs/>
        </w:rPr>
        <w:t>General and Comparative Endocrinology</w:t>
      </w:r>
      <w:r w:rsidRPr="002B00BC">
        <w:rPr>
          <w:rFonts w:eastAsiaTheme="minorHAnsi"/>
        </w:rPr>
        <w:t xml:space="preserve"> </w:t>
      </w:r>
      <w:r w:rsidRPr="002B00BC">
        <w:rPr>
          <w:rFonts w:eastAsiaTheme="minorHAnsi"/>
          <w:b/>
          <w:bCs/>
        </w:rPr>
        <w:t>329</w:t>
      </w:r>
      <w:r w:rsidRPr="002B00BC">
        <w:rPr>
          <w:rFonts w:eastAsiaTheme="minorHAnsi"/>
        </w:rPr>
        <w:t>, 114109 (2022).</w:t>
      </w:r>
    </w:p>
    <w:p w14:paraId="387C584C" w14:textId="77777777" w:rsidR="002B00BC" w:rsidRPr="002B00BC" w:rsidRDefault="002B00BC" w:rsidP="002B00BC">
      <w:pPr>
        <w:pStyle w:val="Bibliography"/>
        <w:rPr>
          <w:rFonts w:eastAsiaTheme="minorHAnsi"/>
        </w:rPr>
      </w:pPr>
      <w:r w:rsidRPr="002B00BC">
        <w:rPr>
          <w:rFonts w:eastAsiaTheme="minorHAnsi"/>
        </w:rPr>
        <w:t xml:space="preserve">57. </w:t>
      </w:r>
      <w:r w:rsidRPr="002B00BC">
        <w:rPr>
          <w:rFonts w:eastAsiaTheme="minorHAnsi"/>
        </w:rPr>
        <w:tab/>
        <w:t xml:space="preserve">E. Tinsley Johnson, M. E. Benítez, A. Fuentes, C. R. McLean, A. B. Norford, J. C. Ordoñez, J. C. Beehner, T. J. Bergman, High density of white-faced capuchins (Cebus capucinus) and habitat quality in the Taboga Forest of Costa Rica. </w:t>
      </w:r>
      <w:r w:rsidRPr="002B00BC">
        <w:rPr>
          <w:rFonts w:eastAsiaTheme="minorHAnsi"/>
          <w:i/>
          <w:iCs/>
        </w:rPr>
        <w:t>American Journal of Primatology</w:t>
      </w:r>
      <w:r w:rsidRPr="002B00BC">
        <w:rPr>
          <w:rFonts w:eastAsiaTheme="minorHAnsi"/>
        </w:rPr>
        <w:t xml:space="preserve"> </w:t>
      </w:r>
      <w:r w:rsidRPr="002B00BC">
        <w:rPr>
          <w:rFonts w:eastAsiaTheme="minorHAnsi"/>
          <w:b/>
          <w:bCs/>
        </w:rPr>
        <w:t>82</w:t>
      </w:r>
      <w:r w:rsidRPr="002B00BC">
        <w:rPr>
          <w:rFonts w:eastAsiaTheme="minorHAnsi"/>
        </w:rPr>
        <w:t>, e23096 (2020).</w:t>
      </w:r>
    </w:p>
    <w:p w14:paraId="15541E13" w14:textId="77777777" w:rsidR="002B00BC" w:rsidRPr="002B00BC" w:rsidRDefault="002B00BC" w:rsidP="002B00BC">
      <w:pPr>
        <w:pStyle w:val="Bibliography"/>
        <w:rPr>
          <w:rFonts w:eastAsiaTheme="minorHAnsi"/>
        </w:rPr>
      </w:pPr>
      <w:r w:rsidRPr="002B00BC">
        <w:rPr>
          <w:rFonts w:eastAsiaTheme="minorHAnsi"/>
        </w:rPr>
        <w:t xml:space="preserve">58. </w:t>
      </w:r>
      <w:r w:rsidRPr="002B00BC">
        <w:rPr>
          <w:rFonts w:eastAsiaTheme="minorHAnsi"/>
        </w:rPr>
        <w:tab/>
        <w:t xml:space="preserve">M. C. Mansilla, L. E. Cybulski, D. Albanesi, D. de Mendoza, Control of Membrane Lipid Fluidity by Molecular Thermosensors. </w:t>
      </w:r>
      <w:r w:rsidRPr="002B00BC">
        <w:rPr>
          <w:rFonts w:eastAsiaTheme="minorHAnsi"/>
          <w:i/>
          <w:iCs/>
        </w:rPr>
        <w:t>Journal of Bacteriology</w:t>
      </w:r>
      <w:r w:rsidRPr="002B00BC">
        <w:rPr>
          <w:rFonts w:eastAsiaTheme="minorHAnsi"/>
        </w:rPr>
        <w:t xml:space="preserve"> </w:t>
      </w:r>
      <w:r w:rsidRPr="002B00BC">
        <w:rPr>
          <w:rFonts w:eastAsiaTheme="minorHAnsi"/>
          <w:b/>
          <w:bCs/>
        </w:rPr>
        <w:t>186</w:t>
      </w:r>
      <w:r w:rsidRPr="002B00BC">
        <w:rPr>
          <w:rFonts w:eastAsiaTheme="minorHAnsi"/>
        </w:rPr>
        <w:t>, 6681–6688 (2004).</w:t>
      </w:r>
    </w:p>
    <w:p w14:paraId="571276CC" w14:textId="77777777" w:rsidR="002B00BC" w:rsidRPr="002B00BC" w:rsidRDefault="002B00BC" w:rsidP="002B00BC">
      <w:pPr>
        <w:pStyle w:val="Bibliography"/>
        <w:rPr>
          <w:rFonts w:eastAsiaTheme="minorHAnsi"/>
        </w:rPr>
      </w:pPr>
      <w:r w:rsidRPr="002B00BC">
        <w:rPr>
          <w:rFonts w:eastAsiaTheme="minorHAnsi"/>
        </w:rPr>
        <w:t xml:space="preserve">59. </w:t>
      </w:r>
      <w:r w:rsidRPr="002B00BC">
        <w:rPr>
          <w:rFonts w:eastAsiaTheme="minorHAnsi"/>
        </w:rPr>
        <w:tab/>
        <w:t xml:space="preserve">Y.-M. Zhang, C. O. Rock, Membrane lipid homeostasis in bacteria. </w:t>
      </w:r>
      <w:r w:rsidRPr="002B00BC">
        <w:rPr>
          <w:rFonts w:eastAsiaTheme="minorHAnsi"/>
          <w:i/>
          <w:iCs/>
        </w:rPr>
        <w:t>Nat Rev Microbiol</w:t>
      </w:r>
      <w:r w:rsidRPr="002B00BC">
        <w:rPr>
          <w:rFonts w:eastAsiaTheme="minorHAnsi"/>
        </w:rPr>
        <w:t xml:space="preserve"> </w:t>
      </w:r>
      <w:r w:rsidRPr="002B00BC">
        <w:rPr>
          <w:rFonts w:eastAsiaTheme="minorHAnsi"/>
          <w:b/>
          <w:bCs/>
        </w:rPr>
        <w:t>6</w:t>
      </w:r>
      <w:r w:rsidRPr="002B00BC">
        <w:rPr>
          <w:rFonts w:eastAsiaTheme="minorHAnsi"/>
        </w:rPr>
        <w:t>, 222–233 (2008).</w:t>
      </w:r>
    </w:p>
    <w:p w14:paraId="7A645D47" w14:textId="77777777" w:rsidR="002B00BC" w:rsidRPr="002B00BC" w:rsidRDefault="002B00BC" w:rsidP="002B00BC">
      <w:pPr>
        <w:pStyle w:val="Bibliography"/>
        <w:rPr>
          <w:rFonts w:eastAsiaTheme="minorHAnsi"/>
        </w:rPr>
      </w:pPr>
      <w:r w:rsidRPr="002B00BC">
        <w:rPr>
          <w:rFonts w:eastAsiaTheme="minorHAnsi"/>
        </w:rPr>
        <w:t xml:space="preserve">60. </w:t>
      </w:r>
      <w:r w:rsidRPr="002B00BC">
        <w:rPr>
          <w:rFonts w:eastAsiaTheme="minorHAnsi"/>
        </w:rPr>
        <w:tab/>
        <w:t xml:space="preserve">E. A. Dennis, Diversity of group types, regulation, and function of phospholipase A2. </w:t>
      </w:r>
      <w:r w:rsidRPr="002B00BC">
        <w:rPr>
          <w:rFonts w:eastAsiaTheme="minorHAnsi"/>
          <w:i/>
          <w:iCs/>
        </w:rPr>
        <w:t>Journal of Biological Chemistry</w:t>
      </w:r>
      <w:r w:rsidRPr="002B00BC">
        <w:rPr>
          <w:rFonts w:eastAsiaTheme="minorHAnsi"/>
        </w:rPr>
        <w:t xml:space="preserve"> </w:t>
      </w:r>
      <w:r w:rsidRPr="002B00BC">
        <w:rPr>
          <w:rFonts w:eastAsiaTheme="minorHAnsi"/>
          <w:b/>
          <w:bCs/>
        </w:rPr>
        <w:t>269</w:t>
      </w:r>
      <w:r w:rsidRPr="002B00BC">
        <w:rPr>
          <w:rFonts w:eastAsiaTheme="minorHAnsi"/>
        </w:rPr>
        <w:t>, 13057–13060 (1994).</w:t>
      </w:r>
    </w:p>
    <w:p w14:paraId="775B5F94" w14:textId="77777777" w:rsidR="002B00BC" w:rsidRPr="002B00BC" w:rsidRDefault="002B00BC" w:rsidP="002B00BC">
      <w:pPr>
        <w:pStyle w:val="Bibliography"/>
        <w:rPr>
          <w:rFonts w:eastAsiaTheme="minorHAnsi"/>
        </w:rPr>
      </w:pPr>
      <w:r w:rsidRPr="002B00BC">
        <w:rPr>
          <w:rFonts w:eastAsiaTheme="minorHAnsi"/>
        </w:rPr>
        <w:t xml:space="preserve">61. </w:t>
      </w:r>
      <w:r w:rsidRPr="002B00BC">
        <w:rPr>
          <w:rFonts w:eastAsiaTheme="minorHAnsi"/>
        </w:rPr>
        <w:tab/>
        <w:t xml:space="preserve">D. M. Hall, K. R. Baumgardner, T. D. Oberley, C. V. Gisolfi, Splanchnic tissues undergo hypoxic stress  during whole body hyperthermia. </w:t>
      </w:r>
      <w:r w:rsidRPr="002B00BC">
        <w:rPr>
          <w:rFonts w:eastAsiaTheme="minorHAnsi"/>
          <w:i/>
          <w:iCs/>
        </w:rPr>
        <w:t>American Journal of Physiology-Gastrointestinal and Liver Physiology</w:t>
      </w:r>
      <w:r w:rsidRPr="002B00BC">
        <w:rPr>
          <w:rFonts w:eastAsiaTheme="minorHAnsi"/>
        </w:rPr>
        <w:t xml:space="preserve"> </w:t>
      </w:r>
      <w:r w:rsidRPr="002B00BC">
        <w:rPr>
          <w:rFonts w:eastAsiaTheme="minorHAnsi"/>
          <w:b/>
          <w:bCs/>
        </w:rPr>
        <w:t>276</w:t>
      </w:r>
      <w:r w:rsidRPr="002B00BC">
        <w:rPr>
          <w:rFonts w:eastAsiaTheme="minorHAnsi"/>
        </w:rPr>
        <w:t>, G1195–G1203 (1999).</w:t>
      </w:r>
    </w:p>
    <w:p w14:paraId="076EBB76" w14:textId="77777777" w:rsidR="002B00BC" w:rsidRPr="002B00BC" w:rsidRDefault="002B00BC" w:rsidP="002B00BC">
      <w:pPr>
        <w:pStyle w:val="Bibliography"/>
        <w:rPr>
          <w:rFonts w:eastAsiaTheme="minorHAnsi"/>
        </w:rPr>
      </w:pPr>
      <w:r w:rsidRPr="002B00BC">
        <w:rPr>
          <w:rFonts w:eastAsiaTheme="minorHAnsi"/>
        </w:rPr>
        <w:t xml:space="preserve">62. </w:t>
      </w:r>
      <w:r w:rsidRPr="002B00BC">
        <w:rPr>
          <w:rFonts w:eastAsiaTheme="minorHAnsi"/>
        </w:rPr>
        <w:tab/>
        <w:t xml:space="preserve">H. Hellmann, S. Mooney, Vitamin B6: A Molecule for Human Health? </w:t>
      </w:r>
      <w:r w:rsidRPr="002B00BC">
        <w:rPr>
          <w:rFonts w:eastAsiaTheme="minorHAnsi"/>
          <w:i/>
          <w:iCs/>
        </w:rPr>
        <w:t>Molecules</w:t>
      </w:r>
      <w:r w:rsidRPr="002B00BC">
        <w:rPr>
          <w:rFonts w:eastAsiaTheme="minorHAnsi"/>
        </w:rPr>
        <w:t xml:space="preserve"> </w:t>
      </w:r>
      <w:r w:rsidRPr="002B00BC">
        <w:rPr>
          <w:rFonts w:eastAsiaTheme="minorHAnsi"/>
          <w:b/>
          <w:bCs/>
        </w:rPr>
        <w:t>15</w:t>
      </w:r>
      <w:r w:rsidRPr="002B00BC">
        <w:rPr>
          <w:rFonts w:eastAsiaTheme="minorHAnsi"/>
        </w:rPr>
        <w:t>, 442–459 (2010).</w:t>
      </w:r>
    </w:p>
    <w:p w14:paraId="3E1A59BC" w14:textId="77777777" w:rsidR="002B00BC" w:rsidRPr="002B00BC" w:rsidRDefault="002B00BC" w:rsidP="002B00BC">
      <w:pPr>
        <w:pStyle w:val="Bibliography"/>
        <w:rPr>
          <w:rFonts w:eastAsiaTheme="minorHAnsi"/>
        </w:rPr>
      </w:pPr>
      <w:r w:rsidRPr="002B00BC">
        <w:rPr>
          <w:rFonts w:eastAsiaTheme="minorHAnsi"/>
        </w:rPr>
        <w:t xml:space="preserve">63. </w:t>
      </w:r>
      <w:r w:rsidRPr="002B00BC">
        <w:rPr>
          <w:rFonts w:eastAsiaTheme="minorHAnsi"/>
        </w:rPr>
        <w:tab/>
        <w:t xml:space="preserve">H. J. Powers, Riboflavin (vitamin B-2) and health12. </w:t>
      </w:r>
      <w:r w:rsidRPr="002B00BC">
        <w:rPr>
          <w:rFonts w:eastAsiaTheme="minorHAnsi"/>
          <w:i/>
          <w:iCs/>
        </w:rPr>
        <w:t>The American Journal of Clinical Nutrition</w:t>
      </w:r>
      <w:r w:rsidRPr="002B00BC">
        <w:rPr>
          <w:rFonts w:eastAsiaTheme="minorHAnsi"/>
        </w:rPr>
        <w:t xml:space="preserve"> </w:t>
      </w:r>
      <w:r w:rsidRPr="002B00BC">
        <w:rPr>
          <w:rFonts w:eastAsiaTheme="minorHAnsi"/>
          <w:b/>
          <w:bCs/>
        </w:rPr>
        <w:t>77</w:t>
      </w:r>
      <w:r w:rsidRPr="002B00BC">
        <w:rPr>
          <w:rFonts w:eastAsiaTheme="minorHAnsi"/>
        </w:rPr>
        <w:t>, 1352–1360 (2003).</w:t>
      </w:r>
    </w:p>
    <w:p w14:paraId="13F16029" w14:textId="77777777" w:rsidR="002B00BC" w:rsidRPr="002B00BC" w:rsidRDefault="002B00BC" w:rsidP="002B00BC">
      <w:pPr>
        <w:pStyle w:val="Bibliography"/>
        <w:rPr>
          <w:rFonts w:eastAsiaTheme="minorHAnsi"/>
        </w:rPr>
      </w:pPr>
      <w:r w:rsidRPr="002B00BC">
        <w:rPr>
          <w:rFonts w:eastAsiaTheme="minorHAnsi"/>
        </w:rPr>
        <w:t xml:space="preserve">64. </w:t>
      </w:r>
      <w:r w:rsidRPr="002B00BC">
        <w:rPr>
          <w:rFonts w:eastAsiaTheme="minorHAnsi"/>
        </w:rPr>
        <w:tab/>
        <w:t xml:space="preserve">I. Gout, Coenzyme A, protein CoAlation and redox regulation in mammalian cells. </w:t>
      </w:r>
      <w:r w:rsidRPr="002B00BC">
        <w:rPr>
          <w:rFonts w:eastAsiaTheme="minorHAnsi"/>
          <w:i/>
          <w:iCs/>
        </w:rPr>
        <w:t>Biochemical Society Transactions</w:t>
      </w:r>
      <w:r w:rsidRPr="002B00BC">
        <w:rPr>
          <w:rFonts w:eastAsiaTheme="minorHAnsi"/>
        </w:rPr>
        <w:t xml:space="preserve"> </w:t>
      </w:r>
      <w:r w:rsidRPr="002B00BC">
        <w:rPr>
          <w:rFonts w:eastAsiaTheme="minorHAnsi"/>
          <w:b/>
          <w:bCs/>
        </w:rPr>
        <w:t>46</w:t>
      </w:r>
      <w:r w:rsidRPr="002B00BC">
        <w:rPr>
          <w:rFonts w:eastAsiaTheme="minorHAnsi"/>
        </w:rPr>
        <w:t>, 721–728 (2018).</w:t>
      </w:r>
    </w:p>
    <w:p w14:paraId="2E02B6B9" w14:textId="77777777" w:rsidR="002B00BC" w:rsidRPr="002B00BC" w:rsidRDefault="002B00BC" w:rsidP="002B00BC">
      <w:pPr>
        <w:pStyle w:val="Bibliography"/>
        <w:rPr>
          <w:rFonts w:eastAsiaTheme="minorHAnsi"/>
        </w:rPr>
      </w:pPr>
      <w:r w:rsidRPr="002B00BC">
        <w:rPr>
          <w:rFonts w:eastAsiaTheme="minorHAnsi"/>
        </w:rPr>
        <w:t xml:space="preserve">65. </w:t>
      </w:r>
      <w:r w:rsidRPr="002B00BC">
        <w:rPr>
          <w:rFonts w:eastAsiaTheme="minorHAnsi"/>
        </w:rPr>
        <w:tab/>
        <w:t xml:space="preserve">S. C. Lu, Glutathione synthesis. </w:t>
      </w:r>
      <w:r w:rsidRPr="002B00BC">
        <w:rPr>
          <w:rFonts w:eastAsiaTheme="minorHAnsi"/>
          <w:i/>
          <w:iCs/>
        </w:rPr>
        <w:t>Biochimica et Biophysica Acta (BBA) - General Subjects</w:t>
      </w:r>
      <w:r w:rsidRPr="002B00BC">
        <w:rPr>
          <w:rFonts w:eastAsiaTheme="minorHAnsi"/>
        </w:rPr>
        <w:t xml:space="preserve"> </w:t>
      </w:r>
      <w:r w:rsidRPr="002B00BC">
        <w:rPr>
          <w:rFonts w:eastAsiaTheme="minorHAnsi"/>
          <w:b/>
          <w:bCs/>
        </w:rPr>
        <w:t>1830</w:t>
      </w:r>
      <w:r w:rsidRPr="002B00BC">
        <w:rPr>
          <w:rFonts w:eastAsiaTheme="minorHAnsi"/>
        </w:rPr>
        <w:t>, 3143–3153 (2013).</w:t>
      </w:r>
    </w:p>
    <w:p w14:paraId="3928A908" w14:textId="77777777" w:rsidR="002B00BC" w:rsidRPr="002B00BC" w:rsidRDefault="002B00BC" w:rsidP="002B00BC">
      <w:pPr>
        <w:pStyle w:val="Bibliography"/>
        <w:rPr>
          <w:rFonts w:eastAsiaTheme="minorHAnsi"/>
        </w:rPr>
      </w:pPr>
      <w:r w:rsidRPr="002B00BC">
        <w:rPr>
          <w:rFonts w:eastAsiaTheme="minorHAnsi"/>
        </w:rPr>
        <w:t xml:space="preserve">66. </w:t>
      </w:r>
      <w:r w:rsidRPr="002B00BC">
        <w:rPr>
          <w:rFonts w:eastAsiaTheme="minorHAnsi"/>
        </w:rPr>
        <w:tab/>
        <w:t xml:space="preserve">S. Dhungana, A. L. and Crumbliss, Coordination Chemistry and Redox Processes in Siderophore-Mediated Iron Transport. </w:t>
      </w:r>
      <w:r w:rsidRPr="002B00BC">
        <w:rPr>
          <w:rFonts w:eastAsiaTheme="minorHAnsi"/>
          <w:i/>
          <w:iCs/>
        </w:rPr>
        <w:t>Geomicrobiology Journal</w:t>
      </w:r>
      <w:r w:rsidRPr="002B00BC">
        <w:rPr>
          <w:rFonts w:eastAsiaTheme="minorHAnsi"/>
        </w:rPr>
        <w:t xml:space="preserve"> </w:t>
      </w:r>
      <w:r w:rsidRPr="002B00BC">
        <w:rPr>
          <w:rFonts w:eastAsiaTheme="minorHAnsi"/>
          <w:b/>
          <w:bCs/>
        </w:rPr>
        <w:t>22</w:t>
      </w:r>
      <w:r w:rsidRPr="002B00BC">
        <w:rPr>
          <w:rFonts w:eastAsiaTheme="minorHAnsi"/>
        </w:rPr>
        <w:t>, 87–98 (2005).</w:t>
      </w:r>
    </w:p>
    <w:p w14:paraId="67E958DE" w14:textId="77777777" w:rsidR="002B00BC" w:rsidRPr="002B00BC" w:rsidRDefault="002B00BC" w:rsidP="002B00BC">
      <w:pPr>
        <w:pStyle w:val="Bibliography"/>
        <w:rPr>
          <w:rFonts w:eastAsiaTheme="minorHAnsi"/>
        </w:rPr>
      </w:pPr>
      <w:r w:rsidRPr="002B00BC">
        <w:rPr>
          <w:rFonts w:eastAsiaTheme="minorHAnsi"/>
        </w:rPr>
        <w:lastRenderedPageBreak/>
        <w:t xml:space="preserve">67. </w:t>
      </w:r>
      <w:r w:rsidRPr="002B00BC">
        <w:rPr>
          <w:rFonts w:eastAsiaTheme="minorHAnsi"/>
        </w:rPr>
        <w:tab/>
        <w:t>W. Ying, NAD</w:t>
      </w:r>
      <w:r w:rsidRPr="002B00BC">
        <w:rPr>
          <w:rFonts w:eastAsiaTheme="minorHAnsi"/>
          <w:vertAlign w:val="superscript"/>
        </w:rPr>
        <w:t>+</w:t>
      </w:r>
      <w:r w:rsidRPr="002B00BC">
        <w:rPr>
          <w:rFonts w:eastAsiaTheme="minorHAnsi"/>
        </w:rPr>
        <w:t xml:space="preserve"> /NADH and NADP</w:t>
      </w:r>
      <w:r w:rsidRPr="002B00BC">
        <w:rPr>
          <w:rFonts w:eastAsiaTheme="minorHAnsi"/>
          <w:vertAlign w:val="superscript"/>
        </w:rPr>
        <w:t>+</w:t>
      </w:r>
      <w:r w:rsidRPr="002B00BC">
        <w:rPr>
          <w:rFonts w:eastAsiaTheme="minorHAnsi"/>
        </w:rPr>
        <w:t xml:space="preserve"> /NADPH in Cellular Functions and Cell Death: Regulation and Biological Consequences. </w:t>
      </w:r>
      <w:r w:rsidRPr="002B00BC">
        <w:rPr>
          <w:rFonts w:eastAsiaTheme="minorHAnsi"/>
          <w:i/>
          <w:iCs/>
        </w:rPr>
        <w:t>Antioxidants &amp; Redox Signaling</w:t>
      </w:r>
      <w:r w:rsidRPr="002B00BC">
        <w:rPr>
          <w:rFonts w:eastAsiaTheme="minorHAnsi"/>
        </w:rPr>
        <w:t xml:space="preserve"> </w:t>
      </w:r>
      <w:r w:rsidRPr="002B00BC">
        <w:rPr>
          <w:rFonts w:eastAsiaTheme="minorHAnsi"/>
          <w:b/>
          <w:bCs/>
        </w:rPr>
        <w:t>10</w:t>
      </w:r>
      <w:r w:rsidRPr="002B00BC">
        <w:rPr>
          <w:rFonts w:eastAsiaTheme="minorHAnsi"/>
        </w:rPr>
        <w:t>, 179–206 (2008).</w:t>
      </w:r>
    </w:p>
    <w:p w14:paraId="7E0328FE" w14:textId="77777777" w:rsidR="002B00BC" w:rsidRPr="002B00BC" w:rsidRDefault="002B00BC" w:rsidP="002B00BC">
      <w:pPr>
        <w:pStyle w:val="Bibliography"/>
        <w:rPr>
          <w:rFonts w:eastAsiaTheme="minorHAnsi"/>
        </w:rPr>
      </w:pPr>
      <w:r w:rsidRPr="002B00BC">
        <w:rPr>
          <w:rFonts w:eastAsiaTheme="minorHAnsi"/>
        </w:rPr>
        <w:t xml:space="preserve">68. </w:t>
      </w:r>
      <w:r w:rsidRPr="002B00BC">
        <w:rPr>
          <w:rFonts w:eastAsiaTheme="minorHAnsi"/>
        </w:rPr>
        <w:tab/>
        <w:t xml:space="preserve">M. P. Kalapos, Methylglyoxal in living organisms: Chemistry, biochemistry, toxicology and biological implications. </w:t>
      </w:r>
      <w:r w:rsidRPr="002B00BC">
        <w:rPr>
          <w:rFonts w:eastAsiaTheme="minorHAnsi"/>
          <w:i/>
          <w:iCs/>
        </w:rPr>
        <w:t>Toxicology Letters</w:t>
      </w:r>
      <w:r w:rsidRPr="002B00BC">
        <w:rPr>
          <w:rFonts w:eastAsiaTheme="minorHAnsi"/>
        </w:rPr>
        <w:t xml:space="preserve"> </w:t>
      </w:r>
      <w:r w:rsidRPr="002B00BC">
        <w:rPr>
          <w:rFonts w:eastAsiaTheme="minorHAnsi"/>
          <w:b/>
          <w:bCs/>
        </w:rPr>
        <w:t>110</w:t>
      </w:r>
      <w:r w:rsidRPr="002B00BC">
        <w:rPr>
          <w:rFonts w:eastAsiaTheme="minorHAnsi"/>
        </w:rPr>
        <w:t>, 145–175 (1999).</w:t>
      </w:r>
    </w:p>
    <w:p w14:paraId="5A488B23" w14:textId="77777777" w:rsidR="002B00BC" w:rsidRPr="002B00BC" w:rsidRDefault="002B00BC" w:rsidP="002B00BC">
      <w:pPr>
        <w:pStyle w:val="Bibliography"/>
        <w:rPr>
          <w:rFonts w:eastAsiaTheme="minorHAnsi"/>
        </w:rPr>
      </w:pPr>
      <w:r w:rsidRPr="002B00BC">
        <w:rPr>
          <w:rFonts w:eastAsiaTheme="minorHAnsi"/>
        </w:rPr>
        <w:t xml:space="preserve">69. </w:t>
      </w:r>
      <w:r w:rsidRPr="002B00BC">
        <w:rPr>
          <w:rFonts w:eastAsiaTheme="minorHAnsi"/>
        </w:rPr>
        <w:tab/>
        <w:t xml:space="preserve">M. Kilstrup, K. Hammer, P. Ruhdal Jensen, J. Martinussen, Nucleotide metabolism and its control in lactic acid bacteria. </w:t>
      </w:r>
      <w:r w:rsidRPr="002B00BC">
        <w:rPr>
          <w:rFonts w:eastAsiaTheme="minorHAnsi"/>
          <w:i/>
          <w:iCs/>
        </w:rPr>
        <w:t>FEMS Microbiol Rev</w:t>
      </w:r>
      <w:r w:rsidRPr="002B00BC">
        <w:rPr>
          <w:rFonts w:eastAsiaTheme="minorHAnsi"/>
        </w:rPr>
        <w:t xml:space="preserve"> </w:t>
      </w:r>
      <w:r w:rsidRPr="002B00BC">
        <w:rPr>
          <w:rFonts w:eastAsiaTheme="minorHAnsi"/>
          <w:b/>
          <w:bCs/>
        </w:rPr>
        <w:t>29</w:t>
      </w:r>
      <w:r w:rsidRPr="002B00BC">
        <w:rPr>
          <w:rFonts w:eastAsiaTheme="minorHAnsi"/>
        </w:rPr>
        <w:t>, 555–590 (2005).</w:t>
      </w:r>
    </w:p>
    <w:p w14:paraId="2C0EA917" w14:textId="77777777" w:rsidR="002B00BC" w:rsidRPr="002B00BC" w:rsidRDefault="002B00BC" w:rsidP="002B00BC">
      <w:pPr>
        <w:pStyle w:val="Bibliography"/>
        <w:rPr>
          <w:rFonts w:eastAsiaTheme="minorHAnsi"/>
        </w:rPr>
      </w:pPr>
      <w:r w:rsidRPr="002B00BC">
        <w:rPr>
          <w:rFonts w:eastAsiaTheme="minorHAnsi"/>
        </w:rPr>
        <w:t xml:space="preserve">70. </w:t>
      </w:r>
      <w:r w:rsidRPr="002B00BC">
        <w:rPr>
          <w:rFonts w:eastAsiaTheme="minorHAnsi"/>
        </w:rPr>
        <w:tab/>
        <w:t xml:space="preserve">A. N. Lane, T. W.-M. Fan, Regulation of mammalian nucleotide metabolism and biosynthesis. </w:t>
      </w:r>
      <w:r w:rsidRPr="002B00BC">
        <w:rPr>
          <w:rFonts w:eastAsiaTheme="minorHAnsi"/>
          <w:i/>
          <w:iCs/>
        </w:rPr>
        <w:t>Nucleic Acids Research</w:t>
      </w:r>
      <w:r w:rsidRPr="002B00BC">
        <w:rPr>
          <w:rFonts w:eastAsiaTheme="minorHAnsi"/>
        </w:rPr>
        <w:t xml:space="preserve"> </w:t>
      </w:r>
      <w:r w:rsidRPr="002B00BC">
        <w:rPr>
          <w:rFonts w:eastAsiaTheme="minorHAnsi"/>
          <w:b/>
          <w:bCs/>
        </w:rPr>
        <w:t>43</w:t>
      </w:r>
      <w:r w:rsidRPr="002B00BC">
        <w:rPr>
          <w:rFonts w:eastAsiaTheme="minorHAnsi"/>
        </w:rPr>
        <w:t>, 2466–2485 (2015).</w:t>
      </w:r>
    </w:p>
    <w:p w14:paraId="497995FF" w14:textId="77777777" w:rsidR="002B00BC" w:rsidRPr="002B00BC" w:rsidRDefault="002B00BC" w:rsidP="002B00BC">
      <w:pPr>
        <w:pStyle w:val="Bibliography"/>
        <w:rPr>
          <w:rFonts w:eastAsiaTheme="minorHAnsi"/>
        </w:rPr>
      </w:pPr>
      <w:r w:rsidRPr="002B00BC">
        <w:rPr>
          <w:rFonts w:eastAsiaTheme="minorHAnsi"/>
        </w:rPr>
        <w:t xml:space="preserve">71. </w:t>
      </w:r>
      <w:r w:rsidRPr="002B00BC">
        <w:rPr>
          <w:rFonts w:eastAsiaTheme="minorHAnsi"/>
        </w:rPr>
        <w:tab/>
        <w:t xml:space="preserve">M. Vinayak, C. Pathak, Queuosine modification of tRNA: its divergent role in cellular machinery. </w:t>
      </w:r>
      <w:r w:rsidRPr="002B00BC">
        <w:rPr>
          <w:rFonts w:eastAsiaTheme="minorHAnsi"/>
          <w:i/>
          <w:iCs/>
        </w:rPr>
        <w:t>Bioscience Reports</w:t>
      </w:r>
      <w:r w:rsidRPr="002B00BC">
        <w:rPr>
          <w:rFonts w:eastAsiaTheme="minorHAnsi"/>
        </w:rPr>
        <w:t xml:space="preserve"> </w:t>
      </w:r>
      <w:r w:rsidRPr="002B00BC">
        <w:rPr>
          <w:rFonts w:eastAsiaTheme="minorHAnsi"/>
          <w:b/>
          <w:bCs/>
        </w:rPr>
        <w:t>30</w:t>
      </w:r>
      <w:r w:rsidRPr="002B00BC">
        <w:rPr>
          <w:rFonts w:eastAsiaTheme="minorHAnsi"/>
        </w:rPr>
        <w:t>, 135–148 (2009).</w:t>
      </w:r>
    </w:p>
    <w:p w14:paraId="587C2BC8" w14:textId="77777777" w:rsidR="002B00BC" w:rsidRPr="002B00BC" w:rsidRDefault="002B00BC" w:rsidP="002B00BC">
      <w:pPr>
        <w:pStyle w:val="Bibliography"/>
        <w:rPr>
          <w:rFonts w:eastAsiaTheme="minorHAnsi"/>
        </w:rPr>
      </w:pPr>
      <w:r w:rsidRPr="002B00BC">
        <w:rPr>
          <w:rFonts w:eastAsiaTheme="minorHAnsi"/>
        </w:rPr>
        <w:t xml:space="preserve">72. </w:t>
      </w:r>
      <w:r w:rsidRPr="002B00BC">
        <w:rPr>
          <w:rFonts w:eastAsiaTheme="minorHAnsi"/>
        </w:rPr>
        <w:tab/>
        <w:t xml:space="preserve">J. A. Imlay, The molecular mechanisms and physiological consequences of oxidative stress: lessons from a model bacterium. </w:t>
      </w:r>
      <w:r w:rsidRPr="002B00BC">
        <w:rPr>
          <w:rFonts w:eastAsiaTheme="minorHAnsi"/>
          <w:i/>
          <w:iCs/>
        </w:rPr>
        <w:t>Nat Rev Microbiol</w:t>
      </w:r>
      <w:r w:rsidRPr="002B00BC">
        <w:rPr>
          <w:rFonts w:eastAsiaTheme="minorHAnsi"/>
        </w:rPr>
        <w:t xml:space="preserve"> </w:t>
      </w:r>
      <w:r w:rsidRPr="002B00BC">
        <w:rPr>
          <w:rFonts w:eastAsiaTheme="minorHAnsi"/>
          <w:b/>
          <w:bCs/>
        </w:rPr>
        <w:t>11</w:t>
      </w:r>
      <w:r w:rsidRPr="002B00BC">
        <w:rPr>
          <w:rFonts w:eastAsiaTheme="minorHAnsi"/>
        </w:rPr>
        <w:t>, 443–454 (2013).</w:t>
      </w:r>
    </w:p>
    <w:p w14:paraId="2EA870D3" w14:textId="77777777" w:rsidR="002B00BC" w:rsidRPr="002B00BC" w:rsidRDefault="002B00BC" w:rsidP="002B00BC">
      <w:pPr>
        <w:pStyle w:val="Bibliography"/>
        <w:rPr>
          <w:rFonts w:eastAsiaTheme="minorHAnsi"/>
        </w:rPr>
      </w:pPr>
      <w:r w:rsidRPr="002B00BC">
        <w:rPr>
          <w:rFonts w:eastAsiaTheme="minorHAnsi"/>
        </w:rPr>
        <w:t xml:space="preserve">73. </w:t>
      </w:r>
      <w:r w:rsidRPr="002B00BC">
        <w:rPr>
          <w:rFonts w:eastAsiaTheme="minorHAnsi"/>
        </w:rPr>
        <w:tab/>
        <w:t xml:space="preserve">J.-H. Martens, H. Barg, M. Warren, D. Jahn, Microbial production of vitamin B12. </w:t>
      </w:r>
      <w:r w:rsidRPr="002B00BC">
        <w:rPr>
          <w:rFonts w:eastAsiaTheme="minorHAnsi"/>
          <w:i/>
          <w:iCs/>
        </w:rPr>
        <w:t>Appl Microbiol Biotechnol</w:t>
      </w:r>
      <w:r w:rsidRPr="002B00BC">
        <w:rPr>
          <w:rFonts w:eastAsiaTheme="minorHAnsi"/>
        </w:rPr>
        <w:t xml:space="preserve"> </w:t>
      </w:r>
      <w:r w:rsidRPr="002B00BC">
        <w:rPr>
          <w:rFonts w:eastAsiaTheme="minorHAnsi"/>
          <w:b/>
          <w:bCs/>
        </w:rPr>
        <w:t>58</w:t>
      </w:r>
      <w:r w:rsidRPr="002B00BC">
        <w:rPr>
          <w:rFonts w:eastAsiaTheme="minorHAnsi"/>
        </w:rPr>
        <w:t>, 275–285 (2002).</w:t>
      </w:r>
    </w:p>
    <w:p w14:paraId="0EFD07FA" w14:textId="77777777" w:rsidR="002B00BC" w:rsidRPr="002B00BC" w:rsidRDefault="002B00BC" w:rsidP="002B00BC">
      <w:pPr>
        <w:pStyle w:val="Bibliography"/>
        <w:rPr>
          <w:rFonts w:eastAsiaTheme="minorHAnsi"/>
        </w:rPr>
      </w:pPr>
      <w:r w:rsidRPr="002B00BC">
        <w:rPr>
          <w:rFonts w:eastAsiaTheme="minorHAnsi"/>
        </w:rPr>
        <w:t xml:space="preserve">74. </w:t>
      </w:r>
      <w:r w:rsidRPr="002B00BC">
        <w:rPr>
          <w:rFonts w:eastAsiaTheme="minorHAnsi"/>
        </w:rPr>
        <w:tab/>
        <w:t xml:space="preserve">P. Belenky, K. L. Bogan, C. Brenner, NAD+ metabolism in health and disease. </w:t>
      </w:r>
      <w:r w:rsidRPr="002B00BC">
        <w:rPr>
          <w:rFonts w:eastAsiaTheme="minorHAnsi"/>
          <w:i/>
          <w:iCs/>
        </w:rPr>
        <w:t>Trends in Biochemical Sciences</w:t>
      </w:r>
      <w:r w:rsidRPr="002B00BC">
        <w:rPr>
          <w:rFonts w:eastAsiaTheme="minorHAnsi"/>
        </w:rPr>
        <w:t xml:space="preserve"> </w:t>
      </w:r>
      <w:r w:rsidRPr="002B00BC">
        <w:rPr>
          <w:rFonts w:eastAsiaTheme="minorHAnsi"/>
          <w:b/>
          <w:bCs/>
        </w:rPr>
        <w:t>32</w:t>
      </w:r>
      <w:r w:rsidRPr="002B00BC">
        <w:rPr>
          <w:rFonts w:eastAsiaTheme="minorHAnsi"/>
        </w:rPr>
        <w:t>, 12–19 (2007).</w:t>
      </w:r>
    </w:p>
    <w:p w14:paraId="1C27B393" w14:textId="77777777" w:rsidR="002B00BC" w:rsidRPr="002B00BC" w:rsidRDefault="002B00BC" w:rsidP="002B00BC">
      <w:pPr>
        <w:pStyle w:val="Bibliography"/>
        <w:rPr>
          <w:rFonts w:eastAsiaTheme="minorHAnsi"/>
        </w:rPr>
      </w:pPr>
      <w:r w:rsidRPr="002B00BC">
        <w:rPr>
          <w:rFonts w:eastAsiaTheme="minorHAnsi"/>
        </w:rPr>
        <w:t xml:space="preserve">75. </w:t>
      </w:r>
      <w:r w:rsidRPr="002B00BC">
        <w:rPr>
          <w:rFonts w:eastAsiaTheme="minorHAnsi"/>
        </w:rPr>
        <w:tab/>
        <w:t xml:space="preserve">C. L. Linster, E. Van Schaftingen, Vitamin C. </w:t>
      </w:r>
      <w:r w:rsidRPr="002B00BC">
        <w:rPr>
          <w:rFonts w:eastAsiaTheme="minorHAnsi"/>
          <w:i/>
          <w:iCs/>
        </w:rPr>
        <w:t>The FEBS Journal</w:t>
      </w:r>
      <w:r w:rsidRPr="002B00BC">
        <w:rPr>
          <w:rFonts w:eastAsiaTheme="minorHAnsi"/>
        </w:rPr>
        <w:t xml:space="preserve"> </w:t>
      </w:r>
      <w:r w:rsidRPr="002B00BC">
        <w:rPr>
          <w:rFonts w:eastAsiaTheme="minorHAnsi"/>
          <w:b/>
          <w:bCs/>
        </w:rPr>
        <w:t>274</w:t>
      </w:r>
      <w:r w:rsidRPr="002B00BC">
        <w:rPr>
          <w:rFonts w:eastAsiaTheme="minorHAnsi"/>
        </w:rPr>
        <w:t>, 1–22 (2007).</w:t>
      </w:r>
    </w:p>
    <w:p w14:paraId="3A20D942" w14:textId="77777777" w:rsidR="002B00BC" w:rsidRPr="002B00BC" w:rsidRDefault="002B00BC" w:rsidP="002B00BC">
      <w:pPr>
        <w:pStyle w:val="Bibliography"/>
        <w:rPr>
          <w:rFonts w:eastAsiaTheme="minorHAnsi"/>
        </w:rPr>
      </w:pPr>
      <w:r w:rsidRPr="002B00BC">
        <w:rPr>
          <w:rFonts w:eastAsiaTheme="minorHAnsi"/>
        </w:rPr>
        <w:t xml:space="preserve">76. </w:t>
      </w:r>
      <w:r w:rsidRPr="002B00BC">
        <w:rPr>
          <w:rFonts w:eastAsiaTheme="minorHAnsi"/>
        </w:rPr>
        <w:tab/>
        <w:t xml:space="preserve">N. Arpaia, C. Campbell, X. Fan, S. Dikiy, J. van der Veeken, P. deRoos, H. Liu, J. R. Cross, K. Pfeffer, P. J. Coffer, A. Y. Rudensky, Metabolites produced by commensal bacteria promote peripheral regulatory T-cell generation. </w:t>
      </w:r>
      <w:r w:rsidRPr="002B00BC">
        <w:rPr>
          <w:rFonts w:eastAsiaTheme="minorHAnsi"/>
          <w:i/>
          <w:iCs/>
        </w:rPr>
        <w:t>Nature</w:t>
      </w:r>
      <w:r w:rsidRPr="002B00BC">
        <w:rPr>
          <w:rFonts w:eastAsiaTheme="minorHAnsi"/>
        </w:rPr>
        <w:t xml:space="preserve"> </w:t>
      </w:r>
      <w:r w:rsidRPr="002B00BC">
        <w:rPr>
          <w:rFonts w:eastAsiaTheme="minorHAnsi"/>
          <w:b/>
          <w:bCs/>
        </w:rPr>
        <w:t>504</w:t>
      </w:r>
      <w:r w:rsidRPr="002B00BC">
        <w:rPr>
          <w:rFonts w:eastAsiaTheme="minorHAnsi"/>
        </w:rPr>
        <w:t>, 451–455 (2013).</w:t>
      </w:r>
    </w:p>
    <w:p w14:paraId="193B7E10" w14:textId="77777777" w:rsidR="002B00BC" w:rsidRPr="002B00BC" w:rsidRDefault="002B00BC" w:rsidP="002B00BC">
      <w:pPr>
        <w:pStyle w:val="Bibliography"/>
        <w:rPr>
          <w:rFonts w:eastAsiaTheme="minorHAnsi"/>
        </w:rPr>
      </w:pPr>
      <w:r w:rsidRPr="002B00BC">
        <w:rPr>
          <w:rFonts w:eastAsiaTheme="minorHAnsi"/>
        </w:rPr>
        <w:t xml:space="preserve">77. </w:t>
      </w:r>
      <w:r w:rsidRPr="002B00BC">
        <w:rPr>
          <w:rFonts w:eastAsiaTheme="minorHAnsi"/>
        </w:rPr>
        <w:tab/>
        <w:t xml:space="preserve">H.-C. Hung, S.-F. Tsai, H.-W. Chou, M.-J. Tsai, P.-L. Hsu, Y.-M. Kuo, Dietary fatty acids differentially affect secretion of pro-inflammatory cytokines in human THP-1 monocytes. </w:t>
      </w:r>
      <w:r w:rsidRPr="002B00BC">
        <w:rPr>
          <w:rFonts w:eastAsiaTheme="minorHAnsi"/>
          <w:i/>
          <w:iCs/>
        </w:rPr>
        <w:t>Sci Rep</w:t>
      </w:r>
      <w:r w:rsidRPr="002B00BC">
        <w:rPr>
          <w:rFonts w:eastAsiaTheme="minorHAnsi"/>
        </w:rPr>
        <w:t xml:space="preserve"> </w:t>
      </w:r>
      <w:r w:rsidRPr="002B00BC">
        <w:rPr>
          <w:rFonts w:eastAsiaTheme="minorHAnsi"/>
          <w:b/>
          <w:bCs/>
        </w:rPr>
        <w:t>13</w:t>
      </w:r>
      <w:r w:rsidRPr="002B00BC">
        <w:rPr>
          <w:rFonts w:eastAsiaTheme="minorHAnsi"/>
        </w:rPr>
        <w:t>, 5511 (2023).</w:t>
      </w:r>
    </w:p>
    <w:p w14:paraId="1A5FF16C" w14:textId="77777777" w:rsidR="002B00BC" w:rsidRPr="002B00BC" w:rsidRDefault="002B00BC" w:rsidP="002B00BC">
      <w:pPr>
        <w:pStyle w:val="Bibliography"/>
        <w:rPr>
          <w:rFonts w:eastAsiaTheme="minorHAnsi"/>
        </w:rPr>
      </w:pPr>
      <w:r w:rsidRPr="002B00BC">
        <w:rPr>
          <w:rFonts w:eastAsiaTheme="minorHAnsi"/>
        </w:rPr>
        <w:t xml:space="preserve">78. </w:t>
      </w:r>
      <w:r w:rsidRPr="002B00BC">
        <w:rPr>
          <w:rFonts w:eastAsiaTheme="minorHAnsi"/>
        </w:rPr>
        <w:tab/>
        <w:t xml:space="preserve">A. Nakamura, M. Matsumoto, Role of polyamines in intestinal mucosal barrier function. </w:t>
      </w:r>
      <w:r w:rsidRPr="002B00BC">
        <w:rPr>
          <w:rFonts w:eastAsiaTheme="minorHAnsi"/>
          <w:i/>
          <w:iCs/>
        </w:rPr>
        <w:t>Semin Immunopathol</w:t>
      </w:r>
      <w:r w:rsidRPr="002B00BC">
        <w:rPr>
          <w:rFonts w:eastAsiaTheme="minorHAnsi"/>
        </w:rPr>
        <w:t xml:space="preserve"> </w:t>
      </w:r>
      <w:r w:rsidRPr="002B00BC">
        <w:rPr>
          <w:rFonts w:eastAsiaTheme="minorHAnsi"/>
          <w:b/>
          <w:bCs/>
        </w:rPr>
        <w:t>47</w:t>
      </w:r>
      <w:r w:rsidRPr="002B00BC">
        <w:rPr>
          <w:rFonts w:eastAsiaTheme="minorHAnsi"/>
        </w:rPr>
        <w:t>, 9 (2025).</w:t>
      </w:r>
    </w:p>
    <w:p w14:paraId="6DBD8C41" w14:textId="77777777" w:rsidR="002B00BC" w:rsidRPr="002B00BC" w:rsidRDefault="002B00BC" w:rsidP="002B00BC">
      <w:pPr>
        <w:pStyle w:val="Bibliography"/>
        <w:rPr>
          <w:rFonts w:eastAsiaTheme="minorHAnsi"/>
        </w:rPr>
      </w:pPr>
      <w:r w:rsidRPr="002B00BC">
        <w:rPr>
          <w:rFonts w:eastAsiaTheme="minorHAnsi"/>
        </w:rPr>
        <w:t xml:space="preserve">79. </w:t>
      </w:r>
      <w:r w:rsidRPr="002B00BC">
        <w:rPr>
          <w:rFonts w:eastAsiaTheme="minorHAnsi"/>
        </w:rPr>
        <w:tab/>
        <w:t xml:space="preserve">P. Konopelski, I. Mogilnicka, Biological Effects of Indole-3-Propionic Acid, a Gut Microbiota-Derived Metabolite, and Its Precursor Tryptophan in Mammals’ Health and Disease. </w:t>
      </w:r>
      <w:r w:rsidRPr="002B00BC">
        <w:rPr>
          <w:rFonts w:eastAsiaTheme="minorHAnsi"/>
          <w:i/>
          <w:iCs/>
        </w:rPr>
        <w:t>International Journal of Molecular Sciences</w:t>
      </w:r>
      <w:r w:rsidRPr="002B00BC">
        <w:rPr>
          <w:rFonts w:eastAsiaTheme="minorHAnsi"/>
        </w:rPr>
        <w:t xml:space="preserve"> </w:t>
      </w:r>
      <w:r w:rsidRPr="002B00BC">
        <w:rPr>
          <w:rFonts w:eastAsiaTheme="minorHAnsi"/>
          <w:b/>
          <w:bCs/>
        </w:rPr>
        <w:t>23</w:t>
      </w:r>
      <w:r w:rsidRPr="002B00BC">
        <w:rPr>
          <w:rFonts w:eastAsiaTheme="minorHAnsi"/>
        </w:rPr>
        <w:t>, 1222 (2022).</w:t>
      </w:r>
    </w:p>
    <w:p w14:paraId="1BBA9985" w14:textId="77777777" w:rsidR="002B00BC" w:rsidRPr="002B00BC" w:rsidRDefault="002B00BC" w:rsidP="002B00BC">
      <w:pPr>
        <w:pStyle w:val="Bibliography"/>
        <w:rPr>
          <w:rFonts w:eastAsiaTheme="minorHAnsi"/>
        </w:rPr>
      </w:pPr>
      <w:r w:rsidRPr="002B00BC">
        <w:rPr>
          <w:rFonts w:eastAsiaTheme="minorHAnsi"/>
        </w:rPr>
        <w:t xml:space="preserve">80. </w:t>
      </w:r>
      <w:r w:rsidRPr="002B00BC">
        <w:rPr>
          <w:rFonts w:eastAsiaTheme="minorHAnsi"/>
        </w:rPr>
        <w:tab/>
        <w:t xml:space="preserve">K. Hiippala, V. Kainulainen, M. Suutarinen, T. Heini, J. R. Bowers, D. Jasso-Selles, D. Lemmer, M. Valentine, R. Barnes, D. M. Engelthaler, R. Satokari, Isolation of Anti-Inflammatory and Epithelium Reinforcing Bacteroides and Parabacteroides Spp. from A Healthy Fecal Donor. </w:t>
      </w:r>
      <w:r w:rsidRPr="002B00BC">
        <w:rPr>
          <w:rFonts w:eastAsiaTheme="minorHAnsi"/>
          <w:i/>
          <w:iCs/>
        </w:rPr>
        <w:t>Nutrients</w:t>
      </w:r>
      <w:r w:rsidRPr="002B00BC">
        <w:rPr>
          <w:rFonts w:eastAsiaTheme="minorHAnsi"/>
        </w:rPr>
        <w:t xml:space="preserve"> </w:t>
      </w:r>
      <w:r w:rsidRPr="002B00BC">
        <w:rPr>
          <w:rFonts w:eastAsiaTheme="minorHAnsi"/>
          <w:b/>
          <w:bCs/>
        </w:rPr>
        <w:t>12</w:t>
      </w:r>
      <w:r w:rsidRPr="002B00BC">
        <w:rPr>
          <w:rFonts w:eastAsiaTheme="minorHAnsi"/>
        </w:rPr>
        <w:t>, 935 (2020).</w:t>
      </w:r>
    </w:p>
    <w:p w14:paraId="60A03930" w14:textId="77777777" w:rsidR="002B00BC" w:rsidRPr="002B00BC" w:rsidRDefault="002B00BC" w:rsidP="002B00BC">
      <w:pPr>
        <w:pStyle w:val="Bibliography"/>
        <w:rPr>
          <w:rFonts w:eastAsiaTheme="minorHAnsi"/>
        </w:rPr>
      </w:pPr>
      <w:r w:rsidRPr="002B00BC">
        <w:rPr>
          <w:rFonts w:eastAsiaTheme="minorHAnsi"/>
        </w:rPr>
        <w:lastRenderedPageBreak/>
        <w:t xml:space="preserve">81. </w:t>
      </w:r>
      <w:r w:rsidRPr="002B00BC">
        <w:rPr>
          <w:rFonts w:eastAsiaTheme="minorHAnsi"/>
        </w:rPr>
        <w:tab/>
        <w:t xml:space="preserve">B. J. Parker, P. A. Wearsch, A. C. M. Veloo, A. Rodriguez-Palacios, The Genus Alistipes: Gut Bacteria With Emerging Implications to Inflammation, Cancer, and Mental Health. </w:t>
      </w:r>
      <w:r w:rsidRPr="002B00BC">
        <w:rPr>
          <w:rFonts w:eastAsiaTheme="minorHAnsi"/>
          <w:i/>
          <w:iCs/>
        </w:rPr>
        <w:t>Front. Immunol.</w:t>
      </w:r>
      <w:r w:rsidRPr="002B00BC">
        <w:rPr>
          <w:rFonts w:eastAsiaTheme="minorHAnsi"/>
        </w:rPr>
        <w:t xml:space="preserve"> </w:t>
      </w:r>
      <w:r w:rsidRPr="002B00BC">
        <w:rPr>
          <w:rFonts w:eastAsiaTheme="minorHAnsi"/>
          <w:b/>
          <w:bCs/>
        </w:rPr>
        <w:t>11</w:t>
      </w:r>
      <w:r w:rsidRPr="002B00BC">
        <w:rPr>
          <w:rFonts w:eastAsiaTheme="minorHAnsi"/>
        </w:rPr>
        <w:t xml:space="preserve"> (2020).</w:t>
      </w:r>
    </w:p>
    <w:p w14:paraId="7DBED747" w14:textId="77777777" w:rsidR="002B00BC" w:rsidRPr="002B00BC" w:rsidRDefault="002B00BC" w:rsidP="002B00BC">
      <w:pPr>
        <w:pStyle w:val="Bibliography"/>
        <w:rPr>
          <w:rFonts w:eastAsiaTheme="minorHAnsi"/>
        </w:rPr>
      </w:pPr>
      <w:r w:rsidRPr="002B00BC">
        <w:rPr>
          <w:rFonts w:eastAsiaTheme="minorHAnsi"/>
        </w:rPr>
        <w:t xml:space="preserve">82. </w:t>
      </w:r>
      <w:r w:rsidRPr="002B00BC">
        <w:rPr>
          <w:rFonts w:eastAsiaTheme="minorHAnsi"/>
        </w:rPr>
        <w:tab/>
        <w:t xml:space="preserve">P. Louis, H. J. Flint, Formation of propionate and butyrate by the human colonic microbiota. </w:t>
      </w:r>
      <w:r w:rsidRPr="002B00BC">
        <w:rPr>
          <w:rFonts w:eastAsiaTheme="minorHAnsi"/>
          <w:i/>
          <w:iCs/>
        </w:rPr>
        <w:t>Environmental Microbiology</w:t>
      </w:r>
      <w:r w:rsidRPr="002B00BC">
        <w:rPr>
          <w:rFonts w:eastAsiaTheme="minorHAnsi"/>
        </w:rPr>
        <w:t xml:space="preserve"> </w:t>
      </w:r>
      <w:r w:rsidRPr="002B00BC">
        <w:rPr>
          <w:rFonts w:eastAsiaTheme="minorHAnsi"/>
          <w:b/>
          <w:bCs/>
        </w:rPr>
        <w:t>19</w:t>
      </w:r>
      <w:r w:rsidRPr="002B00BC">
        <w:rPr>
          <w:rFonts w:eastAsiaTheme="minorHAnsi"/>
        </w:rPr>
        <w:t>, 29–41 (2017).</w:t>
      </w:r>
    </w:p>
    <w:p w14:paraId="1D55ADC4" w14:textId="77777777" w:rsidR="002B00BC" w:rsidRPr="002B00BC" w:rsidRDefault="002B00BC" w:rsidP="002B00BC">
      <w:pPr>
        <w:pStyle w:val="Bibliography"/>
        <w:rPr>
          <w:rFonts w:eastAsiaTheme="minorHAnsi"/>
        </w:rPr>
      </w:pPr>
      <w:r w:rsidRPr="002B00BC">
        <w:rPr>
          <w:rFonts w:eastAsiaTheme="minorHAnsi"/>
        </w:rPr>
        <w:t xml:space="preserve">83. </w:t>
      </w:r>
      <w:r w:rsidRPr="002B00BC">
        <w:rPr>
          <w:rFonts w:eastAsiaTheme="minorHAnsi"/>
        </w:rPr>
        <w:tab/>
        <w:t xml:space="preserve">F. Wu, X. Guo, J. Zhang, M. Zhang, Z. Ou, Y. Peng, Phascolarctobacterium faecium abundant colonization in human gastrointestinal tract. </w:t>
      </w:r>
      <w:r w:rsidRPr="002B00BC">
        <w:rPr>
          <w:rFonts w:eastAsiaTheme="minorHAnsi"/>
          <w:i/>
          <w:iCs/>
        </w:rPr>
        <w:t>Experimental and Therapeutic Medicine</w:t>
      </w:r>
      <w:r w:rsidRPr="002B00BC">
        <w:rPr>
          <w:rFonts w:eastAsiaTheme="minorHAnsi"/>
        </w:rPr>
        <w:t xml:space="preserve"> </w:t>
      </w:r>
      <w:r w:rsidRPr="002B00BC">
        <w:rPr>
          <w:rFonts w:eastAsiaTheme="minorHAnsi"/>
          <w:b/>
          <w:bCs/>
        </w:rPr>
        <w:t>14</w:t>
      </w:r>
      <w:r w:rsidRPr="002B00BC">
        <w:rPr>
          <w:rFonts w:eastAsiaTheme="minorHAnsi"/>
        </w:rPr>
        <w:t>, 3122–3126 (2017).</w:t>
      </w:r>
    </w:p>
    <w:p w14:paraId="7AF7EC20" w14:textId="77777777" w:rsidR="002B00BC" w:rsidRPr="002B00BC" w:rsidRDefault="002B00BC" w:rsidP="002B00BC">
      <w:pPr>
        <w:pStyle w:val="Bibliography"/>
        <w:rPr>
          <w:rFonts w:eastAsiaTheme="minorHAnsi"/>
        </w:rPr>
      </w:pPr>
      <w:r w:rsidRPr="002B00BC">
        <w:rPr>
          <w:rFonts w:eastAsiaTheme="minorHAnsi"/>
        </w:rPr>
        <w:t xml:space="preserve">84. </w:t>
      </w:r>
      <w:r w:rsidRPr="002B00BC">
        <w:rPr>
          <w:rFonts w:eastAsiaTheme="minorHAnsi"/>
        </w:rPr>
        <w:tab/>
        <w:t xml:space="preserve">K. O. Alfarouk, A. H. H. Bashir, A. N. Aljarbou, A. M. Ramadan, A. K. Muddathir, S. T. S. AlHoufie, A. Hifny, G. O. Elhassan, M. E. Ibrahim, S. S. Alqahtani, S. D. AlSharari, C. T. Supuran, C. Rauch, R. A. Cardone, S. J. Reshkin, S. Fais, S. Harguindey, The Possible Role of Helicobacter pylori in Gastric Cancer and Its Management. </w:t>
      </w:r>
      <w:r w:rsidRPr="002B00BC">
        <w:rPr>
          <w:rFonts w:eastAsiaTheme="minorHAnsi"/>
          <w:i/>
          <w:iCs/>
        </w:rPr>
        <w:t>Front. Oncol.</w:t>
      </w:r>
      <w:r w:rsidRPr="002B00BC">
        <w:rPr>
          <w:rFonts w:eastAsiaTheme="minorHAnsi"/>
        </w:rPr>
        <w:t xml:space="preserve"> </w:t>
      </w:r>
      <w:r w:rsidRPr="002B00BC">
        <w:rPr>
          <w:rFonts w:eastAsiaTheme="minorHAnsi"/>
          <w:b/>
          <w:bCs/>
        </w:rPr>
        <w:t>9</w:t>
      </w:r>
      <w:r w:rsidRPr="002B00BC">
        <w:rPr>
          <w:rFonts w:eastAsiaTheme="minorHAnsi"/>
        </w:rPr>
        <w:t xml:space="preserve"> (2019).</w:t>
      </w:r>
    </w:p>
    <w:p w14:paraId="142A831C" w14:textId="77777777" w:rsidR="002B00BC" w:rsidRPr="002B00BC" w:rsidRDefault="002B00BC" w:rsidP="002B00BC">
      <w:pPr>
        <w:pStyle w:val="Bibliography"/>
        <w:rPr>
          <w:rFonts w:eastAsiaTheme="minorHAnsi"/>
        </w:rPr>
      </w:pPr>
      <w:r w:rsidRPr="002B00BC">
        <w:rPr>
          <w:rFonts w:eastAsiaTheme="minorHAnsi"/>
        </w:rPr>
        <w:t xml:space="preserve">85. </w:t>
      </w:r>
      <w:r w:rsidRPr="002B00BC">
        <w:rPr>
          <w:rFonts w:eastAsiaTheme="minorHAnsi"/>
        </w:rPr>
        <w:tab/>
        <w:t xml:space="preserve">M. Rajilić-Stojanović, W. M. de Vos, The first 1000 cultured species of the human gastrointestinal microbiota. </w:t>
      </w:r>
      <w:r w:rsidRPr="002B00BC">
        <w:rPr>
          <w:rFonts w:eastAsiaTheme="minorHAnsi"/>
          <w:i/>
          <w:iCs/>
        </w:rPr>
        <w:t>FEMS Microbiology Reviews</w:t>
      </w:r>
      <w:r w:rsidRPr="002B00BC">
        <w:rPr>
          <w:rFonts w:eastAsiaTheme="minorHAnsi"/>
        </w:rPr>
        <w:t xml:space="preserve"> </w:t>
      </w:r>
      <w:r w:rsidRPr="002B00BC">
        <w:rPr>
          <w:rFonts w:eastAsiaTheme="minorHAnsi"/>
          <w:b/>
          <w:bCs/>
        </w:rPr>
        <w:t>38</w:t>
      </w:r>
      <w:r w:rsidRPr="002B00BC">
        <w:rPr>
          <w:rFonts w:eastAsiaTheme="minorHAnsi"/>
        </w:rPr>
        <w:t>, 996–1047 (2014).</w:t>
      </w:r>
    </w:p>
    <w:p w14:paraId="3DF489D6" w14:textId="77777777" w:rsidR="002B00BC" w:rsidRPr="002B00BC" w:rsidRDefault="002B00BC" w:rsidP="002B00BC">
      <w:pPr>
        <w:pStyle w:val="Bibliography"/>
        <w:rPr>
          <w:rFonts w:eastAsiaTheme="minorHAnsi"/>
        </w:rPr>
      </w:pPr>
      <w:r w:rsidRPr="002B00BC">
        <w:rPr>
          <w:rFonts w:eastAsiaTheme="minorHAnsi"/>
        </w:rPr>
        <w:t xml:space="preserve">86. </w:t>
      </w:r>
      <w:r w:rsidRPr="002B00BC">
        <w:rPr>
          <w:rFonts w:eastAsiaTheme="minorHAnsi"/>
        </w:rPr>
        <w:tab/>
        <w:t xml:space="preserve">S. Ahn, J. Jung, I.-A. Jang, E. L. Madsen, W. Park, Role of Glyoxylate Shunt in Oxidative Stress Response. </w:t>
      </w:r>
      <w:r w:rsidRPr="002B00BC">
        <w:rPr>
          <w:rFonts w:eastAsiaTheme="minorHAnsi"/>
          <w:i/>
          <w:iCs/>
        </w:rPr>
        <w:t>Journal of Biological Chemistry</w:t>
      </w:r>
      <w:r w:rsidRPr="002B00BC">
        <w:rPr>
          <w:rFonts w:eastAsiaTheme="minorHAnsi"/>
        </w:rPr>
        <w:t xml:space="preserve"> </w:t>
      </w:r>
      <w:r w:rsidRPr="002B00BC">
        <w:rPr>
          <w:rFonts w:eastAsiaTheme="minorHAnsi"/>
          <w:b/>
          <w:bCs/>
        </w:rPr>
        <w:t>291</w:t>
      </w:r>
      <w:r w:rsidRPr="002B00BC">
        <w:rPr>
          <w:rFonts w:eastAsiaTheme="minorHAnsi"/>
        </w:rPr>
        <w:t>, 11928–11938 (2016).</w:t>
      </w:r>
    </w:p>
    <w:p w14:paraId="6958A737" w14:textId="77777777" w:rsidR="002B00BC" w:rsidRPr="002B00BC" w:rsidRDefault="002B00BC" w:rsidP="002B00BC">
      <w:pPr>
        <w:pStyle w:val="Bibliography"/>
        <w:rPr>
          <w:rFonts w:eastAsiaTheme="minorHAnsi"/>
        </w:rPr>
      </w:pPr>
      <w:r w:rsidRPr="002B00BC">
        <w:rPr>
          <w:rFonts w:eastAsiaTheme="minorHAnsi"/>
        </w:rPr>
        <w:t xml:space="preserve">87. </w:t>
      </w:r>
      <w:r w:rsidRPr="002B00BC">
        <w:rPr>
          <w:rFonts w:eastAsiaTheme="minorHAnsi"/>
        </w:rPr>
        <w:tab/>
        <w:t xml:space="preserve">M. R. Badger, E. J. Bek, Multiple Rubisco forms in proteobacteria: their functional significance in relation to CO2 acquisition by the CBB cycle. </w:t>
      </w:r>
      <w:r w:rsidRPr="002B00BC">
        <w:rPr>
          <w:rFonts w:eastAsiaTheme="minorHAnsi"/>
          <w:i/>
          <w:iCs/>
        </w:rPr>
        <w:t>Journal of Experimental Botany</w:t>
      </w:r>
      <w:r w:rsidRPr="002B00BC">
        <w:rPr>
          <w:rFonts w:eastAsiaTheme="minorHAnsi"/>
        </w:rPr>
        <w:t xml:space="preserve"> </w:t>
      </w:r>
      <w:r w:rsidRPr="002B00BC">
        <w:rPr>
          <w:rFonts w:eastAsiaTheme="minorHAnsi"/>
          <w:b/>
          <w:bCs/>
        </w:rPr>
        <w:t>59</w:t>
      </w:r>
      <w:r w:rsidRPr="002B00BC">
        <w:rPr>
          <w:rFonts w:eastAsiaTheme="minorHAnsi"/>
        </w:rPr>
        <w:t>, 1525–1541 (2008).</w:t>
      </w:r>
    </w:p>
    <w:p w14:paraId="0913C5F8" w14:textId="77777777" w:rsidR="002B00BC" w:rsidRPr="002B00BC" w:rsidRDefault="002B00BC" w:rsidP="002B00BC">
      <w:pPr>
        <w:pStyle w:val="Bibliography"/>
        <w:rPr>
          <w:rFonts w:eastAsiaTheme="minorHAnsi"/>
        </w:rPr>
      </w:pPr>
      <w:r w:rsidRPr="002B00BC">
        <w:rPr>
          <w:rFonts w:eastAsiaTheme="minorHAnsi"/>
        </w:rPr>
        <w:t xml:space="preserve">88. </w:t>
      </w:r>
      <w:r w:rsidRPr="002B00BC">
        <w:rPr>
          <w:rFonts w:eastAsiaTheme="minorHAnsi"/>
        </w:rPr>
        <w:tab/>
        <w:t xml:space="preserve">M. Bekker, G. Kramer, A. F. Hartog, M. J. Wagner, C. G. De Koster, K. J. Hellingwerf, M. J. Teixeira De Mattos, Changes in the redox state and composition of the quinone pool of Escherichia coli during aerobic batch-culture growth. </w:t>
      </w:r>
      <w:r w:rsidRPr="002B00BC">
        <w:rPr>
          <w:rFonts w:eastAsiaTheme="minorHAnsi"/>
          <w:i/>
          <w:iCs/>
        </w:rPr>
        <w:t>Microbiology</w:t>
      </w:r>
      <w:r w:rsidRPr="002B00BC">
        <w:rPr>
          <w:rFonts w:eastAsiaTheme="minorHAnsi"/>
        </w:rPr>
        <w:t xml:space="preserve"> </w:t>
      </w:r>
      <w:r w:rsidRPr="002B00BC">
        <w:rPr>
          <w:rFonts w:eastAsiaTheme="minorHAnsi"/>
          <w:b/>
          <w:bCs/>
        </w:rPr>
        <w:t>153</w:t>
      </w:r>
      <w:r w:rsidRPr="002B00BC">
        <w:rPr>
          <w:rFonts w:eastAsiaTheme="minorHAnsi"/>
        </w:rPr>
        <w:t>, 1974–1980 (2007).</w:t>
      </w:r>
    </w:p>
    <w:p w14:paraId="569E7E87" w14:textId="77777777" w:rsidR="002B00BC" w:rsidRPr="002B00BC" w:rsidRDefault="002B00BC" w:rsidP="002B00BC">
      <w:pPr>
        <w:pStyle w:val="Bibliography"/>
        <w:rPr>
          <w:rFonts w:eastAsiaTheme="minorHAnsi"/>
        </w:rPr>
      </w:pPr>
      <w:r w:rsidRPr="002B00BC">
        <w:rPr>
          <w:rFonts w:eastAsiaTheme="minorHAnsi"/>
        </w:rPr>
        <w:t xml:space="preserve">89. </w:t>
      </w:r>
      <w:r w:rsidRPr="002B00BC">
        <w:rPr>
          <w:rFonts w:eastAsiaTheme="minorHAnsi"/>
        </w:rPr>
        <w:tab/>
        <w:t xml:space="preserve">H.-M. Kuhn, U. Meier-Dieter, H. Mayer, ECA, the enterobacterial common antigen*. </w:t>
      </w:r>
      <w:r w:rsidRPr="002B00BC">
        <w:rPr>
          <w:rFonts w:eastAsiaTheme="minorHAnsi"/>
          <w:i/>
          <w:iCs/>
        </w:rPr>
        <w:t>FEMS Microbiology Reviews</w:t>
      </w:r>
      <w:r w:rsidRPr="002B00BC">
        <w:rPr>
          <w:rFonts w:eastAsiaTheme="minorHAnsi"/>
        </w:rPr>
        <w:t xml:space="preserve"> </w:t>
      </w:r>
      <w:r w:rsidRPr="002B00BC">
        <w:rPr>
          <w:rFonts w:eastAsiaTheme="minorHAnsi"/>
          <w:b/>
          <w:bCs/>
        </w:rPr>
        <w:t>4</w:t>
      </w:r>
      <w:r w:rsidRPr="002B00BC">
        <w:rPr>
          <w:rFonts w:eastAsiaTheme="minorHAnsi"/>
        </w:rPr>
        <w:t>, 195–222 (1988).</w:t>
      </w:r>
    </w:p>
    <w:p w14:paraId="1968ED2B" w14:textId="77777777" w:rsidR="002B00BC" w:rsidRPr="002B00BC" w:rsidRDefault="002B00BC" w:rsidP="002B00BC">
      <w:pPr>
        <w:pStyle w:val="Bibliography"/>
        <w:rPr>
          <w:rFonts w:eastAsiaTheme="minorHAnsi"/>
        </w:rPr>
      </w:pPr>
      <w:r w:rsidRPr="002B00BC">
        <w:rPr>
          <w:rFonts w:eastAsiaTheme="minorHAnsi"/>
        </w:rPr>
        <w:t xml:space="preserve">90. </w:t>
      </w:r>
      <w:r w:rsidRPr="002B00BC">
        <w:rPr>
          <w:rFonts w:eastAsiaTheme="minorHAnsi"/>
        </w:rPr>
        <w:tab/>
        <w:t xml:space="preserve">C. R. H. Raetz, C. Whitfield, Lipopolysaccharide endotoxins. </w:t>
      </w:r>
      <w:r w:rsidRPr="002B00BC">
        <w:rPr>
          <w:rFonts w:eastAsiaTheme="minorHAnsi"/>
          <w:i/>
          <w:iCs/>
        </w:rPr>
        <w:t>Annual Review of Biochemistry</w:t>
      </w:r>
      <w:r w:rsidRPr="002B00BC">
        <w:rPr>
          <w:rFonts w:eastAsiaTheme="minorHAnsi"/>
        </w:rPr>
        <w:t xml:space="preserve"> </w:t>
      </w:r>
      <w:r w:rsidRPr="002B00BC">
        <w:rPr>
          <w:rFonts w:eastAsiaTheme="minorHAnsi"/>
          <w:b/>
          <w:bCs/>
        </w:rPr>
        <w:t>71</w:t>
      </w:r>
      <w:r w:rsidRPr="002B00BC">
        <w:rPr>
          <w:rFonts w:eastAsiaTheme="minorHAnsi"/>
        </w:rPr>
        <w:t>, 635 (2002).</w:t>
      </w:r>
    </w:p>
    <w:p w14:paraId="695F4237" w14:textId="77777777" w:rsidR="002B00BC" w:rsidRPr="002B00BC" w:rsidRDefault="002B00BC" w:rsidP="002B00BC">
      <w:pPr>
        <w:pStyle w:val="Bibliography"/>
        <w:rPr>
          <w:rFonts w:eastAsiaTheme="minorHAnsi"/>
        </w:rPr>
      </w:pPr>
      <w:r w:rsidRPr="002B00BC">
        <w:rPr>
          <w:rFonts w:eastAsiaTheme="minorHAnsi"/>
        </w:rPr>
        <w:t xml:space="preserve">91. </w:t>
      </w:r>
      <w:r w:rsidRPr="002B00BC">
        <w:rPr>
          <w:rFonts w:eastAsiaTheme="minorHAnsi"/>
        </w:rPr>
        <w:tab/>
        <w:t xml:space="preserve">G. Caballero-Flores, J. M. Pickard, G. Núñez, Microbiota-mediated colonization resistance: mechanisms and regulation. </w:t>
      </w:r>
      <w:r w:rsidRPr="002B00BC">
        <w:rPr>
          <w:rFonts w:eastAsiaTheme="minorHAnsi"/>
          <w:i/>
          <w:iCs/>
        </w:rPr>
        <w:t>Nat Rev Microbiol</w:t>
      </w:r>
      <w:r w:rsidRPr="002B00BC">
        <w:rPr>
          <w:rFonts w:eastAsiaTheme="minorHAnsi"/>
        </w:rPr>
        <w:t xml:space="preserve"> </w:t>
      </w:r>
      <w:r w:rsidRPr="002B00BC">
        <w:rPr>
          <w:rFonts w:eastAsiaTheme="minorHAnsi"/>
          <w:b/>
          <w:bCs/>
        </w:rPr>
        <w:t>21</w:t>
      </w:r>
      <w:r w:rsidRPr="002B00BC">
        <w:rPr>
          <w:rFonts w:eastAsiaTheme="minorHAnsi"/>
        </w:rPr>
        <w:t>, 347–360 (2023).</w:t>
      </w:r>
    </w:p>
    <w:p w14:paraId="067C2FA5" w14:textId="77777777" w:rsidR="002B00BC" w:rsidRPr="002B00BC" w:rsidRDefault="002B00BC" w:rsidP="002B00BC">
      <w:pPr>
        <w:pStyle w:val="Bibliography"/>
        <w:rPr>
          <w:rFonts w:eastAsiaTheme="minorHAnsi"/>
        </w:rPr>
      </w:pPr>
      <w:r w:rsidRPr="002B00BC">
        <w:rPr>
          <w:rFonts w:eastAsiaTheme="minorHAnsi"/>
        </w:rPr>
        <w:t xml:space="preserve">92. </w:t>
      </w:r>
      <w:r w:rsidRPr="002B00BC">
        <w:rPr>
          <w:rFonts w:eastAsiaTheme="minorHAnsi"/>
        </w:rPr>
        <w:tab/>
        <w:t xml:space="preserve">F. Spragge, E. Bakkeren, M. T. Jahn, E. B. N. Araujo, C. F. Pearson, X. Wang, L. Pankhurst, O. Cunrath, K. R. Foster, Microbiome diversity protects against pathogens by nutrient blocking. </w:t>
      </w:r>
      <w:r w:rsidRPr="002B00BC">
        <w:rPr>
          <w:rFonts w:eastAsiaTheme="minorHAnsi"/>
          <w:i/>
          <w:iCs/>
        </w:rPr>
        <w:t>Science</w:t>
      </w:r>
      <w:r w:rsidRPr="002B00BC">
        <w:rPr>
          <w:rFonts w:eastAsiaTheme="minorHAnsi"/>
        </w:rPr>
        <w:t xml:space="preserve"> </w:t>
      </w:r>
      <w:r w:rsidRPr="002B00BC">
        <w:rPr>
          <w:rFonts w:eastAsiaTheme="minorHAnsi"/>
          <w:b/>
          <w:bCs/>
        </w:rPr>
        <w:t>382</w:t>
      </w:r>
      <w:r w:rsidRPr="002B00BC">
        <w:rPr>
          <w:rFonts w:eastAsiaTheme="minorHAnsi"/>
        </w:rPr>
        <w:t>, eadj3502 (2023).</w:t>
      </w:r>
    </w:p>
    <w:p w14:paraId="653C837D" w14:textId="77777777" w:rsidR="002B00BC" w:rsidRPr="002B00BC" w:rsidRDefault="002B00BC" w:rsidP="002B00BC">
      <w:pPr>
        <w:pStyle w:val="Bibliography"/>
        <w:rPr>
          <w:rFonts w:eastAsiaTheme="minorHAnsi"/>
        </w:rPr>
      </w:pPr>
      <w:r w:rsidRPr="002B00BC">
        <w:rPr>
          <w:rFonts w:eastAsiaTheme="minorHAnsi"/>
        </w:rPr>
        <w:t xml:space="preserve">93. </w:t>
      </w:r>
      <w:r w:rsidRPr="002B00BC">
        <w:rPr>
          <w:rFonts w:eastAsiaTheme="minorHAnsi"/>
        </w:rPr>
        <w:tab/>
        <w:t xml:space="preserve">C. G. Buffie, E. G. Pamer, Microbiota-mediated colonization resistance against intestinal pathogens. </w:t>
      </w:r>
      <w:r w:rsidRPr="002B00BC">
        <w:rPr>
          <w:rFonts w:eastAsiaTheme="minorHAnsi"/>
          <w:i/>
          <w:iCs/>
        </w:rPr>
        <w:t>Nat Rev Immunol</w:t>
      </w:r>
      <w:r w:rsidRPr="002B00BC">
        <w:rPr>
          <w:rFonts w:eastAsiaTheme="minorHAnsi"/>
        </w:rPr>
        <w:t xml:space="preserve"> </w:t>
      </w:r>
      <w:r w:rsidRPr="002B00BC">
        <w:rPr>
          <w:rFonts w:eastAsiaTheme="minorHAnsi"/>
          <w:b/>
          <w:bCs/>
        </w:rPr>
        <w:t>13</w:t>
      </w:r>
      <w:r w:rsidRPr="002B00BC">
        <w:rPr>
          <w:rFonts w:eastAsiaTheme="minorHAnsi"/>
        </w:rPr>
        <w:t>, 790–801 (2013).</w:t>
      </w:r>
    </w:p>
    <w:p w14:paraId="5D8D353D" w14:textId="77777777" w:rsidR="002B00BC" w:rsidRPr="002B00BC" w:rsidRDefault="002B00BC" w:rsidP="002B00BC">
      <w:pPr>
        <w:pStyle w:val="Bibliography"/>
        <w:rPr>
          <w:rFonts w:eastAsiaTheme="minorHAnsi"/>
        </w:rPr>
      </w:pPr>
      <w:r w:rsidRPr="002B00BC">
        <w:rPr>
          <w:rFonts w:eastAsiaTheme="minorHAnsi"/>
        </w:rPr>
        <w:lastRenderedPageBreak/>
        <w:t xml:space="preserve">94. </w:t>
      </w:r>
      <w:r w:rsidRPr="002B00BC">
        <w:rPr>
          <w:rFonts w:eastAsiaTheme="minorHAnsi"/>
        </w:rPr>
        <w:tab/>
        <w:t xml:space="preserve">S. Louca, M. F. Polz, F. Mazel, M. B. N. Albright, J. A. Huber, M. I. O’Connor, M. Ackermann, A. S. Hahn, D. S. Srivastava, S. A. Crowe, M. Doebeli, L. W. Parfrey, Function and functional redundancy in microbial systems. </w:t>
      </w:r>
      <w:r w:rsidRPr="002B00BC">
        <w:rPr>
          <w:rFonts w:eastAsiaTheme="minorHAnsi"/>
          <w:i/>
          <w:iCs/>
        </w:rPr>
        <w:t>Nat Ecol Evol</w:t>
      </w:r>
      <w:r w:rsidRPr="002B00BC">
        <w:rPr>
          <w:rFonts w:eastAsiaTheme="minorHAnsi"/>
        </w:rPr>
        <w:t xml:space="preserve"> </w:t>
      </w:r>
      <w:r w:rsidRPr="002B00BC">
        <w:rPr>
          <w:rFonts w:eastAsiaTheme="minorHAnsi"/>
          <w:b/>
          <w:bCs/>
        </w:rPr>
        <w:t>2</w:t>
      </w:r>
      <w:r w:rsidRPr="002B00BC">
        <w:rPr>
          <w:rFonts w:eastAsiaTheme="minorHAnsi"/>
        </w:rPr>
        <w:t>, 936–943 (2018).</w:t>
      </w:r>
    </w:p>
    <w:p w14:paraId="0D405568" w14:textId="77777777" w:rsidR="002B00BC" w:rsidRPr="002B00BC" w:rsidRDefault="002B00BC" w:rsidP="002B00BC">
      <w:pPr>
        <w:pStyle w:val="Bibliography"/>
        <w:rPr>
          <w:rFonts w:eastAsiaTheme="minorHAnsi"/>
        </w:rPr>
      </w:pPr>
      <w:r w:rsidRPr="002B00BC">
        <w:rPr>
          <w:rFonts w:eastAsiaTheme="minorHAnsi"/>
        </w:rPr>
        <w:t xml:space="preserve">95. </w:t>
      </w:r>
      <w:r w:rsidRPr="002B00BC">
        <w:rPr>
          <w:rFonts w:eastAsiaTheme="minorHAnsi"/>
        </w:rPr>
        <w:tab/>
        <w:t xml:space="preserve">N. O. Kaakoush, N. Castaño-Rodríguez, H. M. Mitchell, S. M. Man, Global Epidemiology of Campylobacter Infection. </w:t>
      </w:r>
      <w:r w:rsidRPr="002B00BC">
        <w:rPr>
          <w:rFonts w:eastAsiaTheme="minorHAnsi"/>
          <w:i/>
          <w:iCs/>
        </w:rPr>
        <w:t>Clinical Microbiology Reviews</w:t>
      </w:r>
      <w:r w:rsidRPr="002B00BC">
        <w:rPr>
          <w:rFonts w:eastAsiaTheme="minorHAnsi"/>
        </w:rPr>
        <w:t xml:space="preserve"> </w:t>
      </w:r>
      <w:r w:rsidRPr="002B00BC">
        <w:rPr>
          <w:rFonts w:eastAsiaTheme="minorHAnsi"/>
          <w:b/>
          <w:bCs/>
        </w:rPr>
        <w:t>28</w:t>
      </w:r>
      <w:r w:rsidRPr="002B00BC">
        <w:rPr>
          <w:rFonts w:eastAsiaTheme="minorHAnsi"/>
        </w:rPr>
        <w:t>, 687–720 (2015).</w:t>
      </w:r>
    </w:p>
    <w:p w14:paraId="78192E00" w14:textId="77777777" w:rsidR="002B00BC" w:rsidRPr="002B00BC" w:rsidRDefault="002B00BC" w:rsidP="002B00BC">
      <w:pPr>
        <w:pStyle w:val="Bibliography"/>
        <w:rPr>
          <w:rFonts w:eastAsiaTheme="minorHAnsi"/>
        </w:rPr>
      </w:pPr>
      <w:r w:rsidRPr="002B00BC">
        <w:rPr>
          <w:rFonts w:eastAsiaTheme="minorHAnsi"/>
        </w:rPr>
        <w:t xml:space="preserve">96. </w:t>
      </w:r>
      <w:r w:rsidRPr="002B00BC">
        <w:rPr>
          <w:rFonts w:eastAsiaTheme="minorHAnsi"/>
        </w:rPr>
        <w:tab/>
        <w:t xml:space="preserve">J. Sáenz, Hopanoids as functional analogues of cholesterol in bacterial membranes. </w:t>
      </w:r>
      <w:r w:rsidRPr="002B00BC">
        <w:rPr>
          <w:rFonts w:eastAsiaTheme="minorHAnsi"/>
          <w:i/>
          <w:iCs/>
        </w:rPr>
        <w:t>PNAS</w:t>
      </w:r>
      <w:r w:rsidRPr="002B00BC">
        <w:rPr>
          <w:rFonts w:eastAsiaTheme="minorHAnsi"/>
        </w:rPr>
        <w:t xml:space="preserve"> </w:t>
      </w:r>
      <w:r w:rsidRPr="002B00BC">
        <w:rPr>
          <w:rFonts w:eastAsiaTheme="minorHAnsi"/>
          <w:b/>
          <w:bCs/>
        </w:rPr>
        <w:t>112</w:t>
      </w:r>
      <w:r w:rsidRPr="002B00BC">
        <w:rPr>
          <w:rFonts w:eastAsiaTheme="minorHAnsi"/>
        </w:rPr>
        <w:t>, 11971–11976 (2015).</w:t>
      </w:r>
    </w:p>
    <w:p w14:paraId="7906B12E" w14:textId="77777777" w:rsidR="002B00BC" w:rsidRPr="002B00BC" w:rsidRDefault="002B00BC" w:rsidP="002B00BC">
      <w:pPr>
        <w:pStyle w:val="Bibliography"/>
        <w:rPr>
          <w:rFonts w:eastAsiaTheme="minorHAnsi"/>
        </w:rPr>
      </w:pPr>
      <w:r w:rsidRPr="002B00BC">
        <w:rPr>
          <w:rFonts w:eastAsiaTheme="minorHAnsi"/>
        </w:rPr>
        <w:t xml:space="preserve">97. </w:t>
      </w:r>
      <w:r w:rsidRPr="002B00BC">
        <w:rPr>
          <w:rFonts w:eastAsiaTheme="minorHAnsi"/>
        </w:rPr>
        <w:tab/>
        <w:t xml:space="preserve">H. Lin, E. Decuypere, J. Buyse, Acute heat stress induces oxidative stress in broiler chickens. </w:t>
      </w:r>
      <w:r w:rsidRPr="002B00BC">
        <w:rPr>
          <w:rFonts w:eastAsiaTheme="minorHAnsi"/>
          <w:i/>
          <w:iCs/>
        </w:rPr>
        <w:t>Comparative Biochemistry and Physiology Part A: Molecular &amp; Integrative Physiology</w:t>
      </w:r>
      <w:r w:rsidRPr="002B00BC">
        <w:rPr>
          <w:rFonts w:eastAsiaTheme="minorHAnsi"/>
        </w:rPr>
        <w:t xml:space="preserve"> </w:t>
      </w:r>
      <w:r w:rsidRPr="002B00BC">
        <w:rPr>
          <w:rFonts w:eastAsiaTheme="minorHAnsi"/>
          <w:b/>
          <w:bCs/>
        </w:rPr>
        <w:t>144</w:t>
      </w:r>
      <w:r w:rsidRPr="002B00BC">
        <w:rPr>
          <w:rFonts w:eastAsiaTheme="minorHAnsi"/>
        </w:rPr>
        <w:t>, 11–17 (2006).</w:t>
      </w:r>
    </w:p>
    <w:p w14:paraId="10C8233B" w14:textId="77777777" w:rsidR="002B00BC" w:rsidRPr="002B00BC" w:rsidRDefault="002B00BC" w:rsidP="002B00BC">
      <w:pPr>
        <w:pStyle w:val="Bibliography"/>
        <w:rPr>
          <w:rFonts w:eastAsiaTheme="minorHAnsi"/>
        </w:rPr>
      </w:pPr>
      <w:r w:rsidRPr="002B00BC">
        <w:rPr>
          <w:rFonts w:eastAsiaTheme="minorHAnsi"/>
        </w:rPr>
        <w:t xml:space="preserve">98. </w:t>
      </w:r>
      <w:r w:rsidRPr="002B00BC">
        <w:rPr>
          <w:rFonts w:eastAsiaTheme="minorHAnsi"/>
        </w:rPr>
        <w:tab/>
        <w:t xml:space="preserve">K. M. Ng, J. A. Ferreyra, S. K. Higginbottom, J. B. Lynch, P. C. Kashyap, S. Gopinath, N. Naidu, B. Choudhury, B. C. Weimer, D. M. Monack, J. L. Sonnenburg, Microbiota-liberated host sugars facilitate post-antibiotic expansion of enteric pathogens. </w:t>
      </w:r>
      <w:r w:rsidRPr="002B00BC">
        <w:rPr>
          <w:rFonts w:eastAsiaTheme="minorHAnsi"/>
          <w:i/>
          <w:iCs/>
        </w:rPr>
        <w:t>Nature</w:t>
      </w:r>
      <w:r w:rsidRPr="002B00BC">
        <w:rPr>
          <w:rFonts w:eastAsiaTheme="minorHAnsi"/>
        </w:rPr>
        <w:t xml:space="preserve"> </w:t>
      </w:r>
      <w:r w:rsidRPr="002B00BC">
        <w:rPr>
          <w:rFonts w:eastAsiaTheme="minorHAnsi"/>
          <w:b/>
          <w:bCs/>
        </w:rPr>
        <w:t>502</w:t>
      </w:r>
      <w:r w:rsidRPr="002B00BC">
        <w:rPr>
          <w:rFonts w:eastAsiaTheme="minorHAnsi"/>
        </w:rPr>
        <w:t>, 96–99 (2013).</w:t>
      </w:r>
    </w:p>
    <w:p w14:paraId="68FC491A" w14:textId="77777777" w:rsidR="002B00BC" w:rsidRPr="002B00BC" w:rsidRDefault="002B00BC" w:rsidP="002B00BC">
      <w:pPr>
        <w:pStyle w:val="Bibliography"/>
        <w:rPr>
          <w:rFonts w:eastAsiaTheme="minorHAnsi"/>
        </w:rPr>
      </w:pPr>
      <w:r w:rsidRPr="002B00BC">
        <w:rPr>
          <w:rFonts w:eastAsiaTheme="minorHAnsi"/>
        </w:rPr>
        <w:t xml:space="preserve">99. </w:t>
      </w:r>
      <w:r w:rsidRPr="002B00BC">
        <w:rPr>
          <w:rFonts w:eastAsiaTheme="minorHAnsi"/>
        </w:rPr>
        <w:tab/>
        <w:t xml:space="preserve">M. Y. Zeng, N. Inohara, G. Nuñez, Mechanisms of inflammation-driven bacterial dysbiosis in the gut. </w:t>
      </w:r>
      <w:r w:rsidRPr="002B00BC">
        <w:rPr>
          <w:rFonts w:eastAsiaTheme="minorHAnsi"/>
          <w:i/>
          <w:iCs/>
        </w:rPr>
        <w:t>Mucosal Immunology</w:t>
      </w:r>
      <w:r w:rsidRPr="002B00BC">
        <w:rPr>
          <w:rFonts w:eastAsiaTheme="minorHAnsi"/>
        </w:rPr>
        <w:t xml:space="preserve"> </w:t>
      </w:r>
      <w:r w:rsidRPr="002B00BC">
        <w:rPr>
          <w:rFonts w:eastAsiaTheme="minorHAnsi"/>
          <w:b/>
          <w:bCs/>
        </w:rPr>
        <w:t>10</w:t>
      </w:r>
      <w:r w:rsidRPr="002B00BC">
        <w:rPr>
          <w:rFonts w:eastAsiaTheme="minorHAnsi"/>
        </w:rPr>
        <w:t>, 18–26 (2017).</w:t>
      </w:r>
    </w:p>
    <w:p w14:paraId="318D4CE7" w14:textId="77777777" w:rsidR="002B00BC" w:rsidRPr="002B00BC" w:rsidRDefault="002B00BC" w:rsidP="002B00BC">
      <w:pPr>
        <w:pStyle w:val="Bibliography"/>
        <w:rPr>
          <w:rFonts w:eastAsiaTheme="minorHAnsi"/>
        </w:rPr>
      </w:pPr>
      <w:r w:rsidRPr="002B00BC">
        <w:rPr>
          <w:rFonts w:eastAsiaTheme="minorHAnsi"/>
        </w:rPr>
        <w:t xml:space="preserve">100. </w:t>
      </w:r>
      <w:r w:rsidRPr="002B00BC">
        <w:rPr>
          <w:rFonts w:eastAsiaTheme="minorHAnsi"/>
        </w:rPr>
        <w:tab/>
        <w:t xml:space="preserve">D. R. Donohoe, N. Garge, X. Zhang, W. Sun, T. M. O’Connell, M. K. Bunger, S. J. Bultman, The Microbiome and Butyrate Regulate Energy Metabolism and Autophagy in the Mammalian Colon. </w:t>
      </w:r>
      <w:r w:rsidRPr="002B00BC">
        <w:rPr>
          <w:rFonts w:eastAsiaTheme="minorHAnsi"/>
          <w:i/>
          <w:iCs/>
        </w:rPr>
        <w:t>Cell Metabolism</w:t>
      </w:r>
      <w:r w:rsidRPr="002B00BC">
        <w:rPr>
          <w:rFonts w:eastAsiaTheme="minorHAnsi"/>
        </w:rPr>
        <w:t xml:space="preserve"> </w:t>
      </w:r>
      <w:r w:rsidRPr="002B00BC">
        <w:rPr>
          <w:rFonts w:eastAsiaTheme="minorHAnsi"/>
          <w:b/>
          <w:bCs/>
        </w:rPr>
        <w:t>13</w:t>
      </w:r>
      <w:r w:rsidRPr="002B00BC">
        <w:rPr>
          <w:rFonts w:eastAsiaTheme="minorHAnsi"/>
        </w:rPr>
        <w:t>, 517–526 (2011).</w:t>
      </w:r>
    </w:p>
    <w:p w14:paraId="14CC0752" w14:textId="77777777" w:rsidR="002B00BC" w:rsidRPr="002B00BC" w:rsidRDefault="002B00BC" w:rsidP="002B00BC">
      <w:pPr>
        <w:pStyle w:val="Bibliography"/>
        <w:rPr>
          <w:rFonts w:eastAsiaTheme="minorHAnsi"/>
        </w:rPr>
      </w:pPr>
      <w:r w:rsidRPr="002B00BC">
        <w:rPr>
          <w:rFonts w:eastAsiaTheme="minorHAnsi"/>
        </w:rPr>
        <w:t xml:space="preserve">101. </w:t>
      </w:r>
      <w:r w:rsidRPr="002B00BC">
        <w:rPr>
          <w:rFonts w:eastAsiaTheme="minorHAnsi"/>
        </w:rPr>
        <w:tab/>
        <w:t xml:space="preserve">C. Neuman, E. Hatje, K. Z. Zarkasi, R. Smullen, J. P. Bowman, M. Katouli, The effect of diet and environmental temperature on the faecal microbiota of farmed Tasmanian Atlantic Salmon (almo salar L.). </w:t>
      </w:r>
      <w:r w:rsidRPr="002B00BC">
        <w:rPr>
          <w:rFonts w:eastAsiaTheme="minorHAnsi"/>
          <w:i/>
          <w:iCs/>
        </w:rPr>
        <w:t>Aquaculture Research</w:t>
      </w:r>
      <w:r w:rsidRPr="002B00BC">
        <w:rPr>
          <w:rFonts w:eastAsiaTheme="minorHAnsi"/>
        </w:rPr>
        <w:t xml:space="preserve"> </w:t>
      </w:r>
      <w:r w:rsidRPr="002B00BC">
        <w:rPr>
          <w:rFonts w:eastAsiaTheme="minorHAnsi"/>
          <w:b/>
          <w:bCs/>
        </w:rPr>
        <w:t>47</w:t>
      </w:r>
      <w:r w:rsidRPr="002B00BC">
        <w:rPr>
          <w:rFonts w:eastAsiaTheme="minorHAnsi"/>
        </w:rPr>
        <w:t>, 660–672 (2016).</w:t>
      </w:r>
    </w:p>
    <w:p w14:paraId="7241A09D" w14:textId="77777777" w:rsidR="002B00BC" w:rsidRPr="002B00BC" w:rsidRDefault="002B00BC" w:rsidP="002B00BC">
      <w:pPr>
        <w:pStyle w:val="Bibliography"/>
        <w:rPr>
          <w:rFonts w:eastAsiaTheme="minorHAnsi"/>
        </w:rPr>
      </w:pPr>
      <w:r w:rsidRPr="002B00BC">
        <w:rPr>
          <w:rFonts w:eastAsiaTheme="minorHAnsi"/>
        </w:rPr>
        <w:t xml:space="preserve">102. </w:t>
      </w:r>
      <w:r w:rsidRPr="002B00BC">
        <w:rPr>
          <w:rFonts w:eastAsiaTheme="minorHAnsi"/>
        </w:rPr>
        <w:tab/>
        <w:t xml:space="preserve">E. L. Soriano, D. T. Ramírez, D. R. Araujo, B. Gómez-Gil, L. I. Castro, C. G. Sánchez, Effect of temperature and dietary lipid proportion on gut microbiota in yellowtail kingfish </w:t>
      </w:r>
      <w:r w:rsidRPr="002B00BC">
        <w:rPr>
          <w:rFonts w:eastAsiaTheme="minorHAnsi"/>
          <w:i/>
          <w:iCs/>
        </w:rPr>
        <w:t>Seriola lalandi</w:t>
      </w:r>
      <w:r w:rsidRPr="002B00BC">
        <w:rPr>
          <w:rFonts w:eastAsiaTheme="minorHAnsi"/>
        </w:rPr>
        <w:t xml:space="preserve"> juveniles. </w:t>
      </w:r>
      <w:r w:rsidRPr="002B00BC">
        <w:rPr>
          <w:rFonts w:eastAsiaTheme="minorHAnsi"/>
          <w:i/>
          <w:iCs/>
        </w:rPr>
        <w:t>Aquaculture</w:t>
      </w:r>
      <w:r w:rsidRPr="002B00BC">
        <w:rPr>
          <w:rFonts w:eastAsiaTheme="minorHAnsi"/>
        </w:rPr>
        <w:t xml:space="preserve"> </w:t>
      </w:r>
      <w:r w:rsidRPr="002B00BC">
        <w:rPr>
          <w:rFonts w:eastAsiaTheme="minorHAnsi"/>
          <w:b/>
          <w:bCs/>
        </w:rPr>
        <w:t>497</w:t>
      </w:r>
      <w:r w:rsidRPr="002B00BC">
        <w:rPr>
          <w:rFonts w:eastAsiaTheme="minorHAnsi"/>
        </w:rPr>
        <w:t>, 269–277 (2018).</w:t>
      </w:r>
    </w:p>
    <w:p w14:paraId="5ABBA058" w14:textId="77777777" w:rsidR="002B00BC" w:rsidRPr="002B00BC" w:rsidRDefault="002B00BC" w:rsidP="002B00BC">
      <w:pPr>
        <w:pStyle w:val="Bibliography"/>
        <w:rPr>
          <w:rFonts w:eastAsiaTheme="minorHAnsi"/>
        </w:rPr>
      </w:pPr>
      <w:r w:rsidRPr="002B00BC">
        <w:rPr>
          <w:rFonts w:eastAsiaTheme="minorHAnsi"/>
        </w:rPr>
        <w:t xml:space="preserve">103. </w:t>
      </w:r>
      <w:r w:rsidRPr="002B00BC">
        <w:rPr>
          <w:rFonts w:eastAsiaTheme="minorHAnsi"/>
        </w:rPr>
        <w:tab/>
        <w:t xml:space="preserve">K. D. Kohl, J. Yahn, Effects of environmental temperature on the gut microbial communities of tadpoles. </w:t>
      </w:r>
      <w:r w:rsidRPr="002B00BC">
        <w:rPr>
          <w:rFonts w:eastAsiaTheme="minorHAnsi"/>
          <w:i/>
          <w:iCs/>
        </w:rPr>
        <w:t>Environmental Microbiology</w:t>
      </w:r>
      <w:r w:rsidRPr="002B00BC">
        <w:rPr>
          <w:rFonts w:eastAsiaTheme="minorHAnsi"/>
        </w:rPr>
        <w:t xml:space="preserve"> </w:t>
      </w:r>
      <w:r w:rsidRPr="002B00BC">
        <w:rPr>
          <w:rFonts w:eastAsiaTheme="minorHAnsi"/>
          <w:b/>
          <w:bCs/>
        </w:rPr>
        <w:t>18</w:t>
      </w:r>
      <w:r w:rsidRPr="002B00BC">
        <w:rPr>
          <w:rFonts w:eastAsiaTheme="minorHAnsi"/>
        </w:rPr>
        <w:t>, 1561–1565 (2016).</w:t>
      </w:r>
    </w:p>
    <w:p w14:paraId="6B032CCD" w14:textId="77777777" w:rsidR="002B00BC" w:rsidRPr="002B00BC" w:rsidRDefault="002B00BC" w:rsidP="002B00BC">
      <w:pPr>
        <w:pStyle w:val="Bibliography"/>
        <w:rPr>
          <w:rFonts w:eastAsiaTheme="minorHAnsi"/>
        </w:rPr>
      </w:pPr>
      <w:r w:rsidRPr="002B00BC">
        <w:rPr>
          <w:rFonts w:eastAsiaTheme="minorHAnsi"/>
        </w:rPr>
        <w:t xml:space="preserve">104. </w:t>
      </w:r>
      <w:r w:rsidRPr="002B00BC">
        <w:rPr>
          <w:rFonts w:eastAsiaTheme="minorHAnsi"/>
        </w:rPr>
        <w:tab/>
        <w:t xml:space="preserve">C. Nathan, A. Cunningham-Bussel, Beyond oxidative stress: an immunologist’s guide to reactive oxygen species. </w:t>
      </w:r>
      <w:r w:rsidRPr="002B00BC">
        <w:rPr>
          <w:rFonts w:eastAsiaTheme="minorHAnsi"/>
          <w:i/>
          <w:iCs/>
        </w:rPr>
        <w:t>Nat Rev Immunol</w:t>
      </w:r>
      <w:r w:rsidRPr="002B00BC">
        <w:rPr>
          <w:rFonts w:eastAsiaTheme="minorHAnsi"/>
        </w:rPr>
        <w:t xml:space="preserve"> </w:t>
      </w:r>
      <w:r w:rsidRPr="002B00BC">
        <w:rPr>
          <w:rFonts w:eastAsiaTheme="minorHAnsi"/>
          <w:b/>
          <w:bCs/>
        </w:rPr>
        <w:t>13</w:t>
      </w:r>
      <w:r w:rsidRPr="002B00BC">
        <w:rPr>
          <w:rFonts w:eastAsiaTheme="minorHAnsi"/>
        </w:rPr>
        <w:t>, 349–361 (2013).</w:t>
      </w:r>
    </w:p>
    <w:p w14:paraId="73DAB6B2" w14:textId="77777777" w:rsidR="002B00BC" w:rsidRPr="002B00BC" w:rsidRDefault="002B00BC" w:rsidP="002B00BC">
      <w:pPr>
        <w:pStyle w:val="Bibliography"/>
        <w:rPr>
          <w:rFonts w:eastAsiaTheme="minorHAnsi"/>
        </w:rPr>
      </w:pPr>
      <w:r w:rsidRPr="002B00BC">
        <w:rPr>
          <w:rFonts w:eastAsiaTheme="minorHAnsi"/>
        </w:rPr>
        <w:t xml:space="preserve">105. </w:t>
      </w:r>
      <w:r w:rsidRPr="002B00BC">
        <w:rPr>
          <w:rFonts w:eastAsiaTheme="minorHAnsi"/>
        </w:rPr>
        <w:tab/>
        <w:t xml:space="preserve">J. D. Orkin, S. E. Webb, A. D. Melin, Small to modest impact of social group on the gut microbiome of wild Costa Rican capuchins in a seasonal forest. </w:t>
      </w:r>
      <w:r w:rsidRPr="002B00BC">
        <w:rPr>
          <w:rFonts w:eastAsiaTheme="minorHAnsi"/>
          <w:i/>
          <w:iCs/>
        </w:rPr>
        <w:t>American Journal of Primatology</w:t>
      </w:r>
      <w:r w:rsidRPr="002B00BC">
        <w:rPr>
          <w:rFonts w:eastAsiaTheme="minorHAnsi"/>
        </w:rPr>
        <w:t xml:space="preserve"> </w:t>
      </w:r>
      <w:r w:rsidRPr="002B00BC">
        <w:rPr>
          <w:rFonts w:eastAsiaTheme="minorHAnsi"/>
          <w:b/>
          <w:bCs/>
        </w:rPr>
        <w:t>81</w:t>
      </w:r>
      <w:r w:rsidRPr="002B00BC">
        <w:rPr>
          <w:rFonts w:eastAsiaTheme="minorHAnsi"/>
        </w:rPr>
        <w:t>, e22985 (2019).</w:t>
      </w:r>
    </w:p>
    <w:p w14:paraId="289FBF08" w14:textId="77777777" w:rsidR="002B00BC" w:rsidRPr="002B00BC" w:rsidRDefault="002B00BC" w:rsidP="002B00BC">
      <w:pPr>
        <w:pStyle w:val="Bibliography"/>
        <w:rPr>
          <w:rFonts w:eastAsiaTheme="minorHAnsi"/>
        </w:rPr>
      </w:pPr>
      <w:r w:rsidRPr="002B00BC">
        <w:rPr>
          <w:rFonts w:eastAsiaTheme="minorHAnsi"/>
        </w:rPr>
        <w:t xml:space="preserve">106. </w:t>
      </w:r>
      <w:r w:rsidRPr="002B00BC">
        <w:rPr>
          <w:rFonts w:eastAsiaTheme="minorHAnsi"/>
        </w:rPr>
        <w:tab/>
        <w:t xml:space="preserve">E. K. Mallott, K. R. Amato, P. A. Garber, R. S. Malhi, Influence of fruit and invertebrate consumption on the gut microbiota of wild white-faced capuchins (Cebus capucinus). </w:t>
      </w:r>
      <w:r w:rsidRPr="002B00BC">
        <w:rPr>
          <w:rFonts w:eastAsiaTheme="minorHAnsi"/>
          <w:i/>
          <w:iCs/>
        </w:rPr>
        <w:t>American Journal of Physical Anthropology</w:t>
      </w:r>
      <w:r w:rsidRPr="002B00BC">
        <w:rPr>
          <w:rFonts w:eastAsiaTheme="minorHAnsi"/>
        </w:rPr>
        <w:t xml:space="preserve"> </w:t>
      </w:r>
      <w:r w:rsidRPr="002B00BC">
        <w:rPr>
          <w:rFonts w:eastAsiaTheme="minorHAnsi"/>
          <w:b/>
          <w:bCs/>
        </w:rPr>
        <w:t>165</w:t>
      </w:r>
      <w:r w:rsidRPr="002B00BC">
        <w:rPr>
          <w:rFonts w:eastAsiaTheme="minorHAnsi"/>
        </w:rPr>
        <w:t>, 576–588 (2018).</w:t>
      </w:r>
    </w:p>
    <w:p w14:paraId="13704CD5" w14:textId="77777777" w:rsidR="002B00BC" w:rsidRPr="002B00BC" w:rsidRDefault="002B00BC" w:rsidP="002B00BC">
      <w:pPr>
        <w:pStyle w:val="Bibliography"/>
        <w:rPr>
          <w:rFonts w:eastAsiaTheme="minorHAnsi"/>
        </w:rPr>
      </w:pPr>
      <w:r w:rsidRPr="002B00BC">
        <w:rPr>
          <w:rFonts w:eastAsiaTheme="minorHAnsi"/>
        </w:rPr>
        <w:lastRenderedPageBreak/>
        <w:t xml:space="preserve">107. </w:t>
      </w:r>
      <w:r w:rsidRPr="002B00BC">
        <w:rPr>
          <w:rFonts w:eastAsiaTheme="minorHAnsi"/>
        </w:rPr>
        <w:tab/>
        <w:t xml:space="preserve">L. Li, P. Peng, N. Ding, W. Jia, C. Huang, Y. Tang, Oxidative Stress, Inflammation, Gut Dysbiosis: What Can Polyphenols Do in Inflammatory Bowel Disease? </w:t>
      </w:r>
      <w:r w:rsidRPr="002B00BC">
        <w:rPr>
          <w:rFonts w:eastAsiaTheme="minorHAnsi"/>
          <w:i/>
          <w:iCs/>
        </w:rPr>
        <w:t>Antioxidants</w:t>
      </w:r>
      <w:r w:rsidRPr="002B00BC">
        <w:rPr>
          <w:rFonts w:eastAsiaTheme="minorHAnsi"/>
        </w:rPr>
        <w:t xml:space="preserve"> </w:t>
      </w:r>
      <w:r w:rsidRPr="002B00BC">
        <w:rPr>
          <w:rFonts w:eastAsiaTheme="minorHAnsi"/>
          <w:b/>
          <w:bCs/>
        </w:rPr>
        <w:t>12</w:t>
      </w:r>
      <w:r w:rsidRPr="002B00BC">
        <w:rPr>
          <w:rFonts w:eastAsiaTheme="minorHAnsi"/>
        </w:rPr>
        <w:t>, 967 (2023).</w:t>
      </w:r>
    </w:p>
    <w:p w14:paraId="56404053" w14:textId="77777777" w:rsidR="002B00BC" w:rsidRPr="002B00BC" w:rsidRDefault="002B00BC" w:rsidP="002B00BC">
      <w:pPr>
        <w:pStyle w:val="Bibliography"/>
        <w:rPr>
          <w:rFonts w:eastAsiaTheme="minorHAnsi"/>
        </w:rPr>
      </w:pPr>
      <w:r w:rsidRPr="002B00BC">
        <w:rPr>
          <w:rFonts w:eastAsiaTheme="minorHAnsi"/>
        </w:rPr>
        <w:t xml:space="preserve">108. </w:t>
      </w:r>
      <w:r w:rsidRPr="002B00BC">
        <w:rPr>
          <w:rFonts w:eastAsiaTheme="minorHAnsi"/>
        </w:rPr>
        <w:tab/>
        <w:t xml:space="preserve">H. Mostafavi Abdolmaleky, J.-R. Zhou, Gut Microbiota Dysbiosis, Oxidative Stress, Inflammation, and Epigenetic Alterations in Metabolic Diseases. </w:t>
      </w:r>
      <w:r w:rsidRPr="002B00BC">
        <w:rPr>
          <w:rFonts w:eastAsiaTheme="minorHAnsi"/>
          <w:i/>
          <w:iCs/>
        </w:rPr>
        <w:t>Antioxidants</w:t>
      </w:r>
      <w:r w:rsidRPr="002B00BC">
        <w:rPr>
          <w:rFonts w:eastAsiaTheme="minorHAnsi"/>
        </w:rPr>
        <w:t xml:space="preserve"> </w:t>
      </w:r>
      <w:r w:rsidRPr="002B00BC">
        <w:rPr>
          <w:rFonts w:eastAsiaTheme="minorHAnsi"/>
          <w:b/>
          <w:bCs/>
        </w:rPr>
        <w:t>13</w:t>
      </w:r>
      <w:r w:rsidRPr="002B00BC">
        <w:rPr>
          <w:rFonts w:eastAsiaTheme="minorHAnsi"/>
        </w:rPr>
        <w:t>, 985 (2024).</w:t>
      </w:r>
    </w:p>
    <w:p w14:paraId="79F08BC9" w14:textId="77777777" w:rsidR="002B00BC" w:rsidRPr="002B00BC" w:rsidRDefault="002B00BC" w:rsidP="002B00BC">
      <w:pPr>
        <w:pStyle w:val="Bibliography"/>
        <w:rPr>
          <w:rFonts w:eastAsiaTheme="minorHAnsi"/>
        </w:rPr>
      </w:pPr>
      <w:r w:rsidRPr="002B00BC">
        <w:rPr>
          <w:rFonts w:eastAsiaTheme="minorHAnsi"/>
        </w:rPr>
        <w:t xml:space="preserve">109. </w:t>
      </w:r>
      <w:r w:rsidRPr="002B00BC">
        <w:rPr>
          <w:rFonts w:eastAsiaTheme="minorHAnsi"/>
        </w:rPr>
        <w:tab/>
        <w:t xml:space="preserve">D. Dodd, M. H. Spitzer, W. Van Treuren, B. D. Merrill, A. J. Hryckowian, S. K. Higginbottom, A. Le, T. M. Cowan, G. P. Nolan, M. A. Fischbach, J. L. Sonnenburg, A gut bacterial pathway metabolizes aromatic amino acids into nine circulating metabolites. </w:t>
      </w:r>
      <w:r w:rsidRPr="002B00BC">
        <w:rPr>
          <w:rFonts w:eastAsiaTheme="minorHAnsi"/>
          <w:i/>
          <w:iCs/>
        </w:rPr>
        <w:t>Nature</w:t>
      </w:r>
      <w:r w:rsidRPr="002B00BC">
        <w:rPr>
          <w:rFonts w:eastAsiaTheme="minorHAnsi"/>
        </w:rPr>
        <w:t xml:space="preserve"> </w:t>
      </w:r>
      <w:r w:rsidRPr="002B00BC">
        <w:rPr>
          <w:rFonts w:eastAsiaTheme="minorHAnsi"/>
          <w:b/>
          <w:bCs/>
        </w:rPr>
        <w:t>551</w:t>
      </w:r>
      <w:r w:rsidRPr="002B00BC">
        <w:rPr>
          <w:rFonts w:eastAsiaTheme="minorHAnsi"/>
        </w:rPr>
        <w:t>, 648–652 (2017).</w:t>
      </w:r>
    </w:p>
    <w:p w14:paraId="1C2FA3D8" w14:textId="77777777" w:rsidR="002B00BC" w:rsidRPr="002B00BC" w:rsidRDefault="002B00BC" w:rsidP="002B00BC">
      <w:pPr>
        <w:pStyle w:val="Bibliography"/>
        <w:rPr>
          <w:rFonts w:eastAsiaTheme="minorHAnsi"/>
        </w:rPr>
      </w:pPr>
      <w:r w:rsidRPr="002B00BC">
        <w:rPr>
          <w:rFonts w:eastAsiaTheme="minorHAnsi"/>
        </w:rPr>
        <w:t xml:space="preserve">110. </w:t>
      </w:r>
      <w:r w:rsidRPr="002B00BC">
        <w:rPr>
          <w:rFonts w:eastAsiaTheme="minorHAnsi"/>
        </w:rPr>
        <w:tab/>
        <w:t xml:space="preserve">T. Zelante, R. G. Iannitti, C. Cunha, A. De Luca, G. Giovannini, G. Pieraccini, R. Zecchi, C. D’Angelo, C. Massi-Benedetti, F. Fallarino, A. Carvalho, P. Puccetti, L. Romani, Tryptophan Catabolites from Microbiota Engage Aryl Hydrocarbon Receptor and Balance Mucosal Reactivity via Interleukin-22. </w:t>
      </w:r>
      <w:r w:rsidRPr="002B00BC">
        <w:rPr>
          <w:rFonts w:eastAsiaTheme="minorHAnsi"/>
          <w:i/>
          <w:iCs/>
        </w:rPr>
        <w:t>Immunity</w:t>
      </w:r>
      <w:r w:rsidRPr="002B00BC">
        <w:rPr>
          <w:rFonts w:eastAsiaTheme="minorHAnsi"/>
        </w:rPr>
        <w:t xml:space="preserve"> </w:t>
      </w:r>
      <w:r w:rsidRPr="002B00BC">
        <w:rPr>
          <w:rFonts w:eastAsiaTheme="minorHAnsi"/>
          <w:b/>
          <w:bCs/>
        </w:rPr>
        <w:t>39</w:t>
      </w:r>
      <w:r w:rsidRPr="002B00BC">
        <w:rPr>
          <w:rFonts w:eastAsiaTheme="minorHAnsi"/>
        </w:rPr>
        <w:t>, 372–385 (2013).</w:t>
      </w:r>
    </w:p>
    <w:p w14:paraId="6AAD58AD" w14:textId="77777777" w:rsidR="002B00BC" w:rsidRPr="002B00BC" w:rsidRDefault="002B00BC" w:rsidP="002B00BC">
      <w:pPr>
        <w:pStyle w:val="Bibliography"/>
        <w:rPr>
          <w:rFonts w:eastAsiaTheme="minorHAnsi"/>
        </w:rPr>
      </w:pPr>
      <w:r w:rsidRPr="002B00BC">
        <w:rPr>
          <w:rFonts w:eastAsiaTheme="minorHAnsi"/>
        </w:rPr>
        <w:t xml:space="preserve">111. </w:t>
      </w:r>
      <w:r w:rsidRPr="002B00BC">
        <w:rPr>
          <w:rFonts w:eastAsiaTheme="minorHAnsi"/>
        </w:rPr>
        <w:tab/>
        <w:t xml:space="preserve">S. H. Chu, J. W. Lim, K. H. Kim, H. Kim, NF-κB and Bcl-2 in Helicobacter pylori-Induced Apoptosis in Gastric Epithelial Cells. </w:t>
      </w:r>
      <w:r w:rsidRPr="002B00BC">
        <w:rPr>
          <w:rFonts w:eastAsiaTheme="minorHAnsi"/>
          <w:i/>
          <w:iCs/>
        </w:rPr>
        <w:t>Annals of the New York Academy of Sciences</w:t>
      </w:r>
      <w:r w:rsidRPr="002B00BC">
        <w:rPr>
          <w:rFonts w:eastAsiaTheme="minorHAnsi"/>
        </w:rPr>
        <w:t xml:space="preserve"> </w:t>
      </w:r>
      <w:r w:rsidRPr="002B00BC">
        <w:rPr>
          <w:rFonts w:eastAsiaTheme="minorHAnsi"/>
          <w:b/>
          <w:bCs/>
        </w:rPr>
        <w:t>1010</w:t>
      </w:r>
      <w:r w:rsidRPr="002B00BC">
        <w:rPr>
          <w:rFonts w:eastAsiaTheme="minorHAnsi"/>
        </w:rPr>
        <w:t>, 568–572 (2003).</w:t>
      </w:r>
    </w:p>
    <w:p w14:paraId="172FE26E" w14:textId="77777777" w:rsidR="002B00BC" w:rsidRPr="002B00BC" w:rsidRDefault="002B00BC" w:rsidP="002B00BC">
      <w:pPr>
        <w:pStyle w:val="Bibliography"/>
        <w:rPr>
          <w:rFonts w:eastAsiaTheme="minorHAnsi"/>
        </w:rPr>
      </w:pPr>
      <w:r w:rsidRPr="002B00BC">
        <w:rPr>
          <w:rFonts w:eastAsiaTheme="minorHAnsi"/>
        </w:rPr>
        <w:t xml:space="preserve">112. </w:t>
      </w:r>
      <w:r w:rsidRPr="002B00BC">
        <w:rPr>
          <w:rFonts w:eastAsiaTheme="minorHAnsi"/>
        </w:rPr>
        <w:tab/>
        <w:t xml:space="preserve">K. R. Amato, C. J. Yeoman, A. Kent, N. Righini, F. Carbonero, A. Estrada, H. Rex Gaskins, R. M. Stumpf, S. Yildirim, M. Torralba, M. Gillis, B. A. Wilson, K. E. Nelson, B. A. White, S. R. Leigh, Habitat degradation impacts black howler monkey (Alouatta pigra) gastrointestinal microbiomes. </w:t>
      </w:r>
      <w:r w:rsidRPr="002B00BC">
        <w:rPr>
          <w:rFonts w:eastAsiaTheme="minorHAnsi"/>
          <w:i/>
          <w:iCs/>
        </w:rPr>
        <w:t>ISME J</w:t>
      </w:r>
      <w:r w:rsidRPr="002B00BC">
        <w:rPr>
          <w:rFonts w:eastAsiaTheme="minorHAnsi"/>
        </w:rPr>
        <w:t xml:space="preserve"> </w:t>
      </w:r>
      <w:r w:rsidRPr="002B00BC">
        <w:rPr>
          <w:rFonts w:eastAsiaTheme="minorHAnsi"/>
          <w:b/>
          <w:bCs/>
        </w:rPr>
        <w:t>7</w:t>
      </w:r>
      <w:r w:rsidRPr="002B00BC">
        <w:rPr>
          <w:rFonts w:eastAsiaTheme="minorHAnsi"/>
        </w:rPr>
        <w:t>, 1344–1353 (2013).</w:t>
      </w:r>
    </w:p>
    <w:p w14:paraId="230E59EC" w14:textId="77777777" w:rsidR="002B00BC" w:rsidRPr="002B00BC" w:rsidRDefault="002B00BC" w:rsidP="002B00BC">
      <w:pPr>
        <w:pStyle w:val="Bibliography"/>
        <w:rPr>
          <w:rFonts w:eastAsiaTheme="minorHAnsi"/>
        </w:rPr>
      </w:pPr>
      <w:r w:rsidRPr="002B00BC">
        <w:rPr>
          <w:rFonts w:eastAsiaTheme="minorHAnsi"/>
        </w:rPr>
        <w:t xml:space="preserve">113. </w:t>
      </w:r>
      <w:r w:rsidRPr="002B00BC">
        <w:rPr>
          <w:rFonts w:eastAsiaTheme="minorHAnsi"/>
        </w:rPr>
        <w:tab/>
        <w:t xml:space="preserve">K. Thomas-White, S. C. Forster, N. Kumar, M. Van Kuiken, C. Putonti, M. D. Stares, E. E. Hilt, T. K. Price, A. J. Wolfe, T. D. Lawley, Culturing of female bladder bacteria reveals an interconnected urogenital microbiota. </w:t>
      </w:r>
      <w:r w:rsidRPr="002B00BC">
        <w:rPr>
          <w:rFonts w:eastAsiaTheme="minorHAnsi"/>
          <w:i/>
          <w:iCs/>
        </w:rPr>
        <w:t>Nat Commun</w:t>
      </w:r>
      <w:r w:rsidRPr="002B00BC">
        <w:rPr>
          <w:rFonts w:eastAsiaTheme="minorHAnsi"/>
        </w:rPr>
        <w:t xml:space="preserve"> </w:t>
      </w:r>
      <w:r w:rsidRPr="002B00BC">
        <w:rPr>
          <w:rFonts w:eastAsiaTheme="minorHAnsi"/>
          <w:b/>
          <w:bCs/>
        </w:rPr>
        <w:t>9</w:t>
      </w:r>
      <w:r w:rsidRPr="002B00BC">
        <w:rPr>
          <w:rFonts w:eastAsiaTheme="minorHAnsi"/>
        </w:rPr>
        <w:t>, 1557 (2018).</w:t>
      </w:r>
    </w:p>
    <w:p w14:paraId="789C82E8" w14:textId="77777777" w:rsidR="002B00BC" w:rsidRPr="002B00BC" w:rsidRDefault="002B00BC" w:rsidP="002B00BC">
      <w:pPr>
        <w:pStyle w:val="Bibliography"/>
        <w:rPr>
          <w:rFonts w:eastAsiaTheme="minorHAnsi"/>
        </w:rPr>
      </w:pPr>
      <w:r w:rsidRPr="002B00BC">
        <w:rPr>
          <w:rFonts w:eastAsiaTheme="minorHAnsi"/>
        </w:rPr>
        <w:t xml:space="preserve">114. </w:t>
      </w:r>
      <w:r w:rsidRPr="002B00BC">
        <w:rPr>
          <w:rFonts w:eastAsiaTheme="minorHAnsi"/>
        </w:rPr>
        <w:tab/>
        <w:t xml:space="preserve">M. Stern, M. Quesada, K. E. Stoner, Changes in composition and structure of a tropical dry forest following intermittent Cattle grazing. </w:t>
      </w:r>
      <w:r w:rsidRPr="002B00BC">
        <w:rPr>
          <w:rFonts w:eastAsiaTheme="minorHAnsi"/>
          <w:i/>
          <w:iCs/>
        </w:rPr>
        <w:t>Revista de Biología Tropical</w:t>
      </w:r>
      <w:r w:rsidRPr="002B00BC">
        <w:rPr>
          <w:rFonts w:eastAsiaTheme="minorHAnsi"/>
        </w:rPr>
        <w:t xml:space="preserve"> </w:t>
      </w:r>
      <w:r w:rsidRPr="002B00BC">
        <w:rPr>
          <w:rFonts w:eastAsiaTheme="minorHAnsi"/>
          <w:b/>
          <w:bCs/>
        </w:rPr>
        <w:t>50</w:t>
      </w:r>
      <w:r w:rsidRPr="002B00BC">
        <w:rPr>
          <w:rFonts w:eastAsiaTheme="minorHAnsi"/>
        </w:rPr>
        <w:t>, 1021–1034 (2002).</w:t>
      </w:r>
    </w:p>
    <w:p w14:paraId="2756E5C2" w14:textId="77777777" w:rsidR="002B00BC" w:rsidRPr="002B00BC" w:rsidRDefault="002B00BC" w:rsidP="002B00BC">
      <w:pPr>
        <w:pStyle w:val="Bibliography"/>
        <w:rPr>
          <w:rFonts w:eastAsiaTheme="minorHAnsi"/>
        </w:rPr>
      </w:pPr>
      <w:r w:rsidRPr="002B00BC">
        <w:rPr>
          <w:rFonts w:eastAsiaTheme="minorHAnsi"/>
        </w:rPr>
        <w:t xml:space="preserve">115. </w:t>
      </w:r>
      <w:r w:rsidRPr="002B00BC">
        <w:rPr>
          <w:rFonts w:eastAsiaTheme="minorHAnsi"/>
        </w:rPr>
        <w:tab/>
        <w:t xml:space="preserve">J. M. Lucore, A. J. Marshall, S. F. Brosnan, M. E. Benítez, Validating Urinary Neopterin as a Biomarker of Immune Response in Captive and Wild Capuchin Monkeys. </w:t>
      </w:r>
      <w:r w:rsidRPr="002B00BC">
        <w:rPr>
          <w:rFonts w:eastAsiaTheme="minorHAnsi"/>
          <w:i/>
          <w:iCs/>
        </w:rPr>
        <w:t>Front. Vet. Sci.</w:t>
      </w:r>
      <w:r w:rsidRPr="002B00BC">
        <w:rPr>
          <w:rFonts w:eastAsiaTheme="minorHAnsi"/>
        </w:rPr>
        <w:t xml:space="preserve"> </w:t>
      </w:r>
      <w:r w:rsidRPr="002B00BC">
        <w:rPr>
          <w:rFonts w:eastAsiaTheme="minorHAnsi"/>
          <w:b/>
          <w:bCs/>
        </w:rPr>
        <w:t>9</w:t>
      </w:r>
      <w:r w:rsidRPr="002B00BC">
        <w:rPr>
          <w:rFonts w:eastAsiaTheme="minorHAnsi"/>
        </w:rPr>
        <w:t xml:space="preserve"> (2022).</w:t>
      </w:r>
    </w:p>
    <w:p w14:paraId="4BB91779" w14:textId="77777777" w:rsidR="002B00BC" w:rsidRPr="002B00BC" w:rsidRDefault="002B00BC" w:rsidP="002B00BC">
      <w:pPr>
        <w:pStyle w:val="Bibliography"/>
        <w:rPr>
          <w:rFonts w:eastAsiaTheme="minorHAnsi"/>
        </w:rPr>
      </w:pPr>
      <w:r w:rsidRPr="002B00BC">
        <w:rPr>
          <w:rFonts w:eastAsiaTheme="minorHAnsi"/>
        </w:rPr>
        <w:t xml:space="preserve">116. </w:t>
      </w:r>
      <w:r w:rsidRPr="002B00BC">
        <w:rPr>
          <w:rFonts w:eastAsiaTheme="minorHAnsi"/>
        </w:rPr>
        <w:tab/>
        <w:t xml:space="preserve">K. R. Amato, S. Kuthyar, M. Ekanayake-Weber, R. Salmi, N. Snyder-Mackler, L. Wijayathunga, R. Vandercone, A. Lu, Gut microbiome, diet, and conservation of endangered langurs in Sri Lanka. </w:t>
      </w:r>
      <w:r w:rsidRPr="002B00BC">
        <w:rPr>
          <w:rFonts w:eastAsiaTheme="minorHAnsi"/>
          <w:i/>
          <w:iCs/>
        </w:rPr>
        <w:t>Biotropica</w:t>
      </w:r>
      <w:r w:rsidRPr="002B00BC">
        <w:rPr>
          <w:rFonts w:eastAsiaTheme="minorHAnsi"/>
        </w:rPr>
        <w:t xml:space="preserve"> </w:t>
      </w:r>
      <w:r w:rsidRPr="002B00BC">
        <w:rPr>
          <w:rFonts w:eastAsiaTheme="minorHAnsi"/>
          <w:b/>
          <w:bCs/>
        </w:rPr>
        <w:t>52</w:t>
      </w:r>
      <w:r w:rsidRPr="002B00BC">
        <w:rPr>
          <w:rFonts w:eastAsiaTheme="minorHAnsi"/>
        </w:rPr>
        <w:t>, 981–990 (2020).</w:t>
      </w:r>
    </w:p>
    <w:p w14:paraId="16C64830" w14:textId="77777777" w:rsidR="002B00BC" w:rsidRPr="002B00BC" w:rsidRDefault="002B00BC" w:rsidP="002B00BC">
      <w:pPr>
        <w:pStyle w:val="Bibliography"/>
        <w:rPr>
          <w:rFonts w:eastAsiaTheme="minorHAnsi"/>
        </w:rPr>
      </w:pPr>
      <w:r w:rsidRPr="002B00BC">
        <w:rPr>
          <w:rFonts w:eastAsiaTheme="minorHAnsi"/>
        </w:rPr>
        <w:t xml:space="preserve">117. </w:t>
      </w:r>
      <w:r w:rsidRPr="002B00BC">
        <w:rPr>
          <w:rFonts w:eastAsiaTheme="minorHAnsi"/>
        </w:rPr>
        <w:tab/>
        <w:t xml:space="preserve">E. k. Mallott, R. s. Malhi, P. a. Garber, High-throughput sequencing of fecal DNA to identify insects consumed by wild Weddell’s saddleback tamarins (aguinus weddelli, Cebidae, Primates) in Bolivia. </w:t>
      </w:r>
      <w:r w:rsidRPr="002B00BC">
        <w:rPr>
          <w:rFonts w:eastAsiaTheme="minorHAnsi"/>
          <w:i/>
          <w:iCs/>
        </w:rPr>
        <w:t>American Journal of Physical Anthropology</w:t>
      </w:r>
      <w:r w:rsidRPr="002B00BC">
        <w:rPr>
          <w:rFonts w:eastAsiaTheme="minorHAnsi"/>
        </w:rPr>
        <w:t xml:space="preserve"> </w:t>
      </w:r>
      <w:r w:rsidRPr="002B00BC">
        <w:rPr>
          <w:rFonts w:eastAsiaTheme="minorHAnsi"/>
          <w:b/>
          <w:bCs/>
        </w:rPr>
        <w:t>156</w:t>
      </w:r>
      <w:r w:rsidRPr="002B00BC">
        <w:rPr>
          <w:rFonts w:eastAsiaTheme="minorHAnsi"/>
        </w:rPr>
        <w:t>, 474–481 (2015).</w:t>
      </w:r>
    </w:p>
    <w:p w14:paraId="4FCC1B00" w14:textId="77777777" w:rsidR="002B00BC" w:rsidRPr="002B00BC" w:rsidRDefault="002B00BC" w:rsidP="002B00BC">
      <w:pPr>
        <w:pStyle w:val="Bibliography"/>
        <w:rPr>
          <w:rFonts w:eastAsiaTheme="minorHAnsi"/>
        </w:rPr>
      </w:pPr>
      <w:r w:rsidRPr="002B00BC">
        <w:rPr>
          <w:rFonts w:eastAsiaTheme="minorHAnsi"/>
        </w:rPr>
        <w:lastRenderedPageBreak/>
        <w:t xml:space="preserve">118. </w:t>
      </w:r>
      <w:r w:rsidRPr="002B00BC">
        <w:rPr>
          <w:rFonts w:eastAsiaTheme="minorHAnsi"/>
        </w:rPr>
        <w:tab/>
        <w:t xml:space="preserve">S. B. Pickett, C. M. Bergey, A. Di Fiore, A Metagenomic Study of Primate Insect Diet Diversity. </w:t>
      </w:r>
      <w:r w:rsidRPr="002B00BC">
        <w:rPr>
          <w:rFonts w:eastAsiaTheme="minorHAnsi"/>
          <w:i/>
          <w:iCs/>
        </w:rPr>
        <w:t>American Journal of Primatology</w:t>
      </w:r>
      <w:r w:rsidRPr="002B00BC">
        <w:rPr>
          <w:rFonts w:eastAsiaTheme="minorHAnsi"/>
        </w:rPr>
        <w:t xml:space="preserve"> </w:t>
      </w:r>
      <w:r w:rsidRPr="002B00BC">
        <w:rPr>
          <w:rFonts w:eastAsiaTheme="minorHAnsi"/>
          <w:b/>
          <w:bCs/>
        </w:rPr>
        <w:t>74</w:t>
      </w:r>
      <w:r w:rsidRPr="002B00BC">
        <w:rPr>
          <w:rFonts w:eastAsiaTheme="minorHAnsi"/>
        </w:rPr>
        <w:t>, 622–631 (2012).</w:t>
      </w:r>
    </w:p>
    <w:p w14:paraId="6434A65D" w14:textId="77777777" w:rsidR="002B00BC" w:rsidRPr="002B00BC" w:rsidRDefault="002B00BC" w:rsidP="002B00BC">
      <w:pPr>
        <w:pStyle w:val="Bibliography"/>
        <w:rPr>
          <w:rFonts w:eastAsiaTheme="minorHAnsi"/>
        </w:rPr>
      </w:pPr>
      <w:r w:rsidRPr="002B00BC">
        <w:rPr>
          <w:rFonts w:eastAsiaTheme="minorHAnsi"/>
        </w:rPr>
        <w:t xml:space="preserve">119. </w:t>
      </w:r>
      <w:r w:rsidRPr="002B00BC">
        <w:rPr>
          <w:rFonts w:eastAsiaTheme="minorHAnsi"/>
        </w:rPr>
        <w:tab/>
        <w:t xml:space="preserve">D. M. Gohl, P. Vangay, J. Garbe, A. MacLean, A. Hauge, A. Becker, T. J. Gould, J. B. Clayton, T. J. Johnson, R. Hunter, D. Knights, K. B. Beckman, Systematic improvement of amplicon marker gene methods for increased accuracy in microbiome studies. </w:t>
      </w:r>
      <w:r w:rsidRPr="002B00BC">
        <w:rPr>
          <w:rFonts w:eastAsiaTheme="minorHAnsi"/>
          <w:i/>
          <w:iCs/>
        </w:rPr>
        <w:t>Nat Biotechnol</w:t>
      </w:r>
      <w:r w:rsidRPr="002B00BC">
        <w:rPr>
          <w:rFonts w:eastAsiaTheme="minorHAnsi"/>
        </w:rPr>
        <w:t xml:space="preserve"> </w:t>
      </w:r>
      <w:r w:rsidRPr="002B00BC">
        <w:rPr>
          <w:rFonts w:eastAsiaTheme="minorHAnsi"/>
          <w:b/>
          <w:bCs/>
        </w:rPr>
        <w:t>34</w:t>
      </w:r>
      <w:r w:rsidRPr="002B00BC">
        <w:rPr>
          <w:rFonts w:eastAsiaTheme="minorHAnsi"/>
        </w:rPr>
        <w:t>, 942–949 (2016).</w:t>
      </w:r>
    </w:p>
    <w:p w14:paraId="52DF360B" w14:textId="77777777" w:rsidR="002B00BC" w:rsidRPr="002B00BC" w:rsidRDefault="002B00BC" w:rsidP="002B00BC">
      <w:pPr>
        <w:pStyle w:val="Bibliography"/>
        <w:rPr>
          <w:rFonts w:eastAsiaTheme="minorHAnsi"/>
        </w:rPr>
      </w:pPr>
      <w:r w:rsidRPr="002B00BC">
        <w:rPr>
          <w:rFonts w:eastAsiaTheme="minorHAnsi"/>
        </w:rPr>
        <w:t xml:space="preserve">120. </w:t>
      </w:r>
      <w:r w:rsidRPr="002B00BC">
        <w:rPr>
          <w:rFonts w:eastAsiaTheme="minorHAnsi"/>
        </w:rPr>
        <w:tab/>
        <w:t xml:space="preserve">E. K. Mallott, K. R. Amato, The microbial reproductive ecology of white-faced capuchins (Cebus capucinus). </w:t>
      </w:r>
      <w:r w:rsidRPr="002B00BC">
        <w:rPr>
          <w:rFonts w:eastAsiaTheme="minorHAnsi"/>
          <w:i/>
          <w:iCs/>
        </w:rPr>
        <w:t>American Journal of Primatology</w:t>
      </w:r>
      <w:r w:rsidRPr="002B00BC">
        <w:rPr>
          <w:rFonts w:eastAsiaTheme="minorHAnsi"/>
        </w:rPr>
        <w:t xml:space="preserve"> </w:t>
      </w:r>
      <w:r w:rsidRPr="002B00BC">
        <w:rPr>
          <w:rFonts w:eastAsiaTheme="minorHAnsi"/>
          <w:b/>
          <w:bCs/>
        </w:rPr>
        <w:t>80</w:t>
      </w:r>
      <w:r w:rsidRPr="002B00BC">
        <w:rPr>
          <w:rFonts w:eastAsiaTheme="minorHAnsi"/>
        </w:rPr>
        <w:t>, e22896 (2018).</w:t>
      </w:r>
    </w:p>
    <w:p w14:paraId="5829324A" w14:textId="77777777" w:rsidR="002B00BC" w:rsidRPr="002B00BC" w:rsidRDefault="002B00BC" w:rsidP="002B00BC">
      <w:pPr>
        <w:pStyle w:val="Bibliography"/>
        <w:rPr>
          <w:rFonts w:eastAsiaTheme="minorHAnsi"/>
        </w:rPr>
      </w:pPr>
      <w:r w:rsidRPr="002B00BC">
        <w:rPr>
          <w:rFonts w:eastAsiaTheme="minorHAnsi"/>
        </w:rPr>
        <w:t xml:space="preserve">121. </w:t>
      </w:r>
      <w:r w:rsidRPr="002B00BC">
        <w:rPr>
          <w:rFonts w:eastAsiaTheme="minorHAnsi"/>
        </w:rPr>
        <w:tab/>
        <w:t xml:space="preserve">J. G. Caporaso, J. Kuczynski, J. Stombaugh, K. Bittinger, F. D. Bushman, E. K. Costello, N. Fierer, A. G. Peña, J. K. Goodrich, J. I. Gordon, G. A. Huttley, S. T. Kelley, D. Knights, J. E. Koenig, R. E. Ley, C. A. Lozupone, D. McDonald, B. D. Muegge, M. Pirrung, J. Reeder, J. R. Sevinsky, P. J. Turnbaugh, W. A. Walters, J. Widmann, T. Yatsunenko, J. Zaneveld, R. Knight, QIIME allows analysis of high-throughput community sequencing data. </w:t>
      </w:r>
      <w:r w:rsidRPr="002B00BC">
        <w:rPr>
          <w:rFonts w:eastAsiaTheme="minorHAnsi"/>
          <w:i/>
          <w:iCs/>
        </w:rPr>
        <w:t>Nat Methods</w:t>
      </w:r>
      <w:r w:rsidRPr="002B00BC">
        <w:rPr>
          <w:rFonts w:eastAsiaTheme="minorHAnsi"/>
        </w:rPr>
        <w:t xml:space="preserve"> </w:t>
      </w:r>
      <w:r w:rsidRPr="002B00BC">
        <w:rPr>
          <w:rFonts w:eastAsiaTheme="minorHAnsi"/>
          <w:b/>
          <w:bCs/>
        </w:rPr>
        <w:t>7</w:t>
      </w:r>
      <w:r w:rsidRPr="002B00BC">
        <w:rPr>
          <w:rFonts w:eastAsiaTheme="minorHAnsi"/>
        </w:rPr>
        <w:t>, 335–336 (2010).</w:t>
      </w:r>
    </w:p>
    <w:p w14:paraId="3F7B291C" w14:textId="77777777" w:rsidR="002B00BC" w:rsidRPr="002B00BC" w:rsidRDefault="002B00BC" w:rsidP="002B00BC">
      <w:pPr>
        <w:pStyle w:val="Bibliography"/>
        <w:rPr>
          <w:rFonts w:eastAsiaTheme="minorHAnsi"/>
        </w:rPr>
      </w:pPr>
      <w:r w:rsidRPr="002B00BC">
        <w:rPr>
          <w:rFonts w:eastAsiaTheme="minorHAnsi"/>
        </w:rPr>
        <w:t xml:space="preserve">122. </w:t>
      </w:r>
      <w:r w:rsidRPr="002B00BC">
        <w:rPr>
          <w:rFonts w:eastAsiaTheme="minorHAnsi"/>
        </w:rPr>
        <w:tab/>
        <w:t xml:space="preserve">B. J. Callahan, P. J. McMurdie, M. J. Rosen, A. W. Han, A. J. A. Johnson, S. P. Holmes, DADA2: High-resolution sample inference from Illumina amplicon data. </w:t>
      </w:r>
      <w:r w:rsidRPr="002B00BC">
        <w:rPr>
          <w:rFonts w:eastAsiaTheme="minorHAnsi"/>
          <w:i/>
          <w:iCs/>
        </w:rPr>
        <w:t>Nat Methods</w:t>
      </w:r>
      <w:r w:rsidRPr="002B00BC">
        <w:rPr>
          <w:rFonts w:eastAsiaTheme="minorHAnsi"/>
        </w:rPr>
        <w:t xml:space="preserve"> </w:t>
      </w:r>
      <w:r w:rsidRPr="002B00BC">
        <w:rPr>
          <w:rFonts w:eastAsiaTheme="minorHAnsi"/>
          <w:b/>
          <w:bCs/>
        </w:rPr>
        <w:t>13</w:t>
      </w:r>
      <w:r w:rsidRPr="002B00BC">
        <w:rPr>
          <w:rFonts w:eastAsiaTheme="minorHAnsi"/>
        </w:rPr>
        <w:t>, 581–583 (2016).</w:t>
      </w:r>
    </w:p>
    <w:p w14:paraId="72E4E40C" w14:textId="77777777" w:rsidR="002B00BC" w:rsidRPr="002B00BC" w:rsidRDefault="002B00BC" w:rsidP="002B00BC">
      <w:pPr>
        <w:pStyle w:val="Bibliography"/>
        <w:rPr>
          <w:rFonts w:eastAsiaTheme="minorHAnsi"/>
        </w:rPr>
      </w:pPr>
      <w:r w:rsidRPr="002B00BC">
        <w:rPr>
          <w:rFonts w:eastAsiaTheme="minorHAnsi"/>
        </w:rPr>
        <w:t xml:space="preserve">123. </w:t>
      </w:r>
      <w:r w:rsidRPr="002B00BC">
        <w:rPr>
          <w:rFonts w:eastAsiaTheme="minorHAnsi"/>
        </w:rPr>
        <w:tab/>
        <w:t xml:space="preserve">N. A. Bokulich, B. D. Kaehler, J. R. Rideout, M. Dillon, E. Bolyen, R. Knight, G. A. Huttley, J. Gregory Caporaso, Optimizing taxonomic classification of marker-gene amplicon sequences with QIIME 2’s q2-feature-classifier plugin. </w:t>
      </w:r>
      <w:r w:rsidRPr="002B00BC">
        <w:rPr>
          <w:rFonts w:eastAsiaTheme="minorHAnsi"/>
          <w:i/>
          <w:iCs/>
        </w:rPr>
        <w:t>Microbiome</w:t>
      </w:r>
      <w:r w:rsidRPr="002B00BC">
        <w:rPr>
          <w:rFonts w:eastAsiaTheme="minorHAnsi"/>
        </w:rPr>
        <w:t xml:space="preserve"> </w:t>
      </w:r>
      <w:r w:rsidRPr="002B00BC">
        <w:rPr>
          <w:rFonts w:eastAsiaTheme="minorHAnsi"/>
          <w:b/>
          <w:bCs/>
        </w:rPr>
        <w:t>6</w:t>
      </w:r>
      <w:r w:rsidRPr="002B00BC">
        <w:rPr>
          <w:rFonts w:eastAsiaTheme="minorHAnsi"/>
        </w:rPr>
        <w:t>, 90 (2018).</w:t>
      </w:r>
    </w:p>
    <w:p w14:paraId="520D8822" w14:textId="77777777" w:rsidR="002B00BC" w:rsidRPr="002B00BC" w:rsidRDefault="002B00BC" w:rsidP="002B00BC">
      <w:pPr>
        <w:pStyle w:val="Bibliography"/>
        <w:rPr>
          <w:rFonts w:eastAsiaTheme="minorHAnsi"/>
        </w:rPr>
      </w:pPr>
      <w:r w:rsidRPr="002B00BC">
        <w:rPr>
          <w:rFonts w:eastAsiaTheme="minorHAnsi"/>
        </w:rPr>
        <w:t xml:space="preserve">124. </w:t>
      </w:r>
      <w:r w:rsidRPr="002B00BC">
        <w:rPr>
          <w:rFonts w:eastAsiaTheme="minorHAnsi"/>
        </w:rPr>
        <w:tab/>
        <w:t xml:space="preserve">D. McDonald, M. N. Price, J. Goodrich, E. P. Nawrocki, T. Z. DeSantis, A. Probst, G. L. Andersen, R. Knight, P. Hugenholtz, An improved Greengenes taxonomy with explicit ranks for ecological and evolutionary analyses of bacteria and archaea. </w:t>
      </w:r>
      <w:r w:rsidRPr="002B00BC">
        <w:rPr>
          <w:rFonts w:eastAsiaTheme="minorHAnsi"/>
          <w:i/>
          <w:iCs/>
        </w:rPr>
        <w:t>ISME J</w:t>
      </w:r>
      <w:r w:rsidRPr="002B00BC">
        <w:rPr>
          <w:rFonts w:eastAsiaTheme="minorHAnsi"/>
        </w:rPr>
        <w:t xml:space="preserve"> </w:t>
      </w:r>
      <w:r w:rsidRPr="002B00BC">
        <w:rPr>
          <w:rFonts w:eastAsiaTheme="minorHAnsi"/>
          <w:b/>
          <w:bCs/>
        </w:rPr>
        <w:t>6</w:t>
      </w:r>
      <w:r w:rsidRPr="002B00BC">
        <w:rPr>
          <w:rFonts w:eastAsiaTheme="minorHAnsi"/>
        </w:rPr>
        <w:t>, 610–618 (2012).</w:t>
      </w:r>
    </w:p>
    <w:p w14:paraId="6C2C7038" w14:textId="77777777" w:rsidR="002B00BC" w:rsidRPr="002B00BC" w:rsidRDefault="002B00BC" w:rsidP="002B00BC">
      <w:pPr>
        <w:pStyle w:val="Bibliography"/>
        <w:rPr>
          <w:rFonts w:eastAsiaTheme="minorHAnsi"/>
        </w:rPr>
      </w:pPr>
      <w:r w:rsidRPr="002B00BC">
        <w:rPr>
          <w:rFonts w:eastAsiaTheme="minorHAnsi"/>
        </w:rPr>
        <w:t xml:space="preserve">125. </w:t>
      </w:r>
      <w:r w:rsidRPr="002B00BC">
        <w:rPr>
          <w:rFonts w:eastAsiaTheme="minorHAnsi"/>
        </w:rPr>
        <w:tab/>
        <w:t xml:space="preserve">D. McDonald, Y. Jiang, M. Balaban, K. Cantrell, Q. Zhu, A. Gonzalez, J. T. Morton, G. Nicolaou, D. H. Parks, S. M. Karst, M. Albertsen, P. Hugenholtz, T. DeSantis, S. J. Song, A. Bartko, A. S. Havulinna, P. Jousilahti, S. Cheng, M. Inouye, T. Niiranen, M. Jain, V. Salomaa, L. Lahti, S. Mirarab, R. Knight, Greengenes2 unifies microbial data in a single reference tree. </w:t>
      </w:r>
      <w:r w:rsidRPr="002B00BC">
        <w:rPr>
          <w:rFonts w:eastAsiaTheme="minorHAnsi"/>
          <w:i/>
          <w:iCs/>
        </w:rPr>
        <w:t>Nat Biotechnol</w:t>
      </w:r>
      <w:r w:rsidRPr="002B00BC">
        <w:rPr>
          <w:rFonts w:eastAsiaTheme="minorHAnsi"/>
        </w:rPr>
        <w:t xml:space="preserve"> </w:t>
      </w:r>
      <w:r w:rsidRPr="002B00BC">
        <w:rPr>
          <w:rFonts w:eastAsiaTheme="minorHAnsi"/>
          <w:b/>
          <w:bCs/>
        </w:rPr>
        <w:t>42</w:t>
      </w:r>
      <w:r w:rsidRPr="002B00BC">
        <w:rPr>
          <w:rFonts w:eastAsiaTheme="minorHAnsi"/>
        </w:rPr>
        <w:t>, 715–718 (2024).</w:t>
      </w:r>
    </w:p>
    <w:p w14:paraId="7FD9F572" w14:textId="77777777" w:rsidR="002B00BC" w:rsidRPr="002B00BC" w:rsidRDefault="002B00BC" w:rsidP="002B00BC">
      <w:pPr>
        <w:pStyle w:val="Bibliography"/>
        <w:rPr>
          <w:rFonts w:eastAsiaTheme="minorHAnsi"/>
        </w:rPr>
      </w:pPr>
      <w:r w:rsidRPr="002B00BC">
        <w:rPr>
          <w:rFonts w:eastAsiaTheme="minorHAnsi"/>
        </w:rPr>
        <w:t xml:space="preserve">126. </w:t>
      </w:r>
      <w:r w:rsidRPr="002B00BC">
        <w:rPr>
          <w:rFonts w:eastAsiaTheme="minorHAnsi"/>
        </w:rPr>
        <w:tab/>
        <w:t xml:space="preserve">J. Bisanz, qiime2R: importing QIIME2 artifacts and associated data into R sessions. </w:t>
      </w:r>
      <w:r w:rsidRPr="002B00BC">
        <w:rPr>
          <w:rFonts w:eastAsiaTheme="minorHAnsi"/>
          <w:i/>
          <w:iCs/>
        </w:rPr>
        <w:t>R Package version 0.99</w:t>
      </w:r>
      <w:r w:rsidRPr="002B00BC">
        <w:rPr>
          <w:rFonts w:eastAsiaTheme="minorHAnsi"/>
        </w:rPr>
        <w:t xml:space="preserve"> (2018).</w:t>
      </w:r>
    </w:p>
    <w:p w14:paraId="67AA2633" w14:textId="77777777" w:rsidR="002B00BC" w:rsidRPr="002B00BC" w:rsidRDefault="002B00BC" w:rsidP="002B00BC">
      <w:pPr>
        <w:pStyle w:val="Bibliography"/>
        <w:rPr>
          <w:rFonts w:eastAsiaTheme="minorHAnsi"/>
        </w:rPr>
      </w:pPr>
      <w:r w:rsidRPr="002B00BC">
        <w:rPr>
          <w:rFonts w:eastAsiaTheme="minorHAnsi"/>
        </w:rPr>
        <w:t xml:space="preserve">127. </w:t>
      </w:r>
      <w:r w:rsidRPr="002B00BC">
        <w:rPr>
          <w:rFonts w:eastAsiaTheme="minorHAnsi"/>
        </w:rPr>
        <w:tab/>
        <w:t xml:space="preserve">P. J. McMurdie, S. Holmes, phyloseq: An R Package for Reproducible Interactive Analysis and Graphics of Microbiome Census Data. </w:t>
      </w:r>
      <w:r w:rsidRPr="002B00BC">
        <w:rPr>
          <w:rFonts w:eastAsiaTheme="minorHAnsi"/>
          <w:i/>
          <w:iCs/>
        </w:rPr>
        <w:t>PLoS ONE</w:t>
      </w:r>
      <w:r w:rsidRPr="002B00BC">
        <w:rPr>
          <w:rFonts w:eastAsiaTheme="minorHAnsi"/>
        </w:rPr>
        <w:t xml:space="preserve"> </w:t>
      </w:r>
      <w:r w:rsidRPr="002B00BC">
        <w:rPr>
          <w:rFonts w:eastAsiaTheme="minorHAnsi"/>
          <w:b/>
          <w:bCs/>
        </w:rPr>
        <w:t>8</w:t>
      </w:r>
      <w:r w:rsidRPr="002B00BC">
        <w:rPr>
          <w:rFonts w:eastAsiaTheme="minorHAnsi"/>
        </w:rPr>
        <w:t>, e61217 (2013).</w:t>
      </w:r>
    </w:p>
    <w:p w14:paraId="05886240" w14:textId="77777777" w:rsidR="002B00BC" w:rsidRPr="002B00BC" w:rsidRDefault="002B00BC" w:rsidP="002B00BC">
      <w:pPr>
        <w:pStyle w:val="Bibliography"/>
        <w:rPr>
          <w:rFonts w:eastAsiaTheme="minorHAnsi"/>
        </w:rPr>
      </w:pPr>
      <w:r w:rsidRPr="002B00BC">
        <w:rPr>
          <w:rFonts w:eastAsiaTheme="minorHAnsi"/>
        </w:rPr>
        <w:t xml:space="preserve">128. </w:t>
      </w:r>
      <w:r w:rsidRPr="002B00BC">
        <w:rPr>
          <w:rFonts w:eastAsiaTheme="minorHAnsi"/>
        </w:rPr>
        <w:tab/>
        <w:t xml:space="preserve">Q. Cao, X. Sun, K. Rajesh, N. Chalasani, K. Gelow, B. Katz, V. H. Shah, A. J. Sanyal, E. Smirnova, Effects of Rare Microbiome Taxa Filtering on Statistical Analysis. </w:t>
      </w:r>
      <w:r w:rsidRPr="002B00BC">
        <w:rPr>
          <w:rFonts w:eastAsiaTheme="minorHAnsi"/>
          <w:i/>
          <w:iCs/>
        </w:rPr>
        <w:t>Front. Microbiol.</w:t>
      </w:r>
      <w:r w:rsidRPr="002B00BC">
        <w:rPr>
          <w:rFonts w:eastAsiaTheme="minorHAnsi"/>
        </w:rPr>
        <w:t xml:space="preserve"> </w:t>
      </w:r>
      <w:r w:rsidRPr="002B00BC">
        <w:rPr>
          <w:rFonts w:eastAsiaTheme="minorHAnsi"/>
          <w:b/>
          <w:bCs/>
        </w:rPr>
        <w:t>11</w:t>
      </w:r>
      <w:r w:rsidRPr="002B00BC">
        <w:rPr>
          <w:rFonts w:eastAsiaTheme="minorHAnsi"/>
        </w:rPr>
        <w:t xml:space="preserve"> (2021).</w:t>
      </w:r>
    </w:p>
    <w:p w14:paraId="5C2DDE0E" w14:textId="77777777" w:rsidR="002B00BC" w:rsidRPr="002B00BC" w:rsidRDefault="002B00BC" w:rsidP="002B00BC">
      <w:pPr>
        <w:pStyle w:val="Bibliography"/>
        <w:rPr>
          <w:rFonts w:eastAsiaTheme="minorHAnsi"/>
        </w:rPr>
      </w:pPr>
      <w:r w:rsidRPr="002B00BC">
        <w:rPr>
          <w:rFonts w:eastAsiaTheme="minorHAnsi"/>
        </w:rPr>
        <w:lastRenderedPageBreak/>
        <w:t xml:space="preserve">129. </w:t>
      </w:r>
      <w:r w:rsidRPr="002B00BC">
        <w:rPr>
          <w:rFonts w:eastAsiaTheme="minorHAnsi"/>
        </w:rPr>
        <w:tab/>
        <w:t xml:space="preserve">F. Beghini, L. J. McIver, A. Blanco-Míguez, L. Dubois, F. Asnicar, S. Maharjan, A. Mailyan, P. Manghi, M. Scholz, A. M. Thomas, M. Valles-Colomer, G. Weingart, Y. Zhang, M. Zolfo, C. Huttenhower, E. A. Franzosa, N. Segata, Integrating taxonomic, functional, and strain-level profiling of diverse microbial communities with bioBakery 3. </w:t>
      </w:r>
      <w:r w:rsidRPr="002B00BC">
        <w:rPr>
          <w:rFonts w:eastAsiaTheme="minorHAnsi"/>
          <w:i/>
          <w:iCs/>
        </w:rPr>
        <w:t>eLife</w:t>
      </w:r>
      <w:r w:rsidRPr="002B00BC">
        <w:rPr>
          <w:rFonts w:eastAsiaTheme="minorHAnsi"/>
        </w:rPr>
        <w:t xml:space="preserve"> </w:t>
      </w:r>
      <w:r w:rsidRPr="002B00BC">
        <w:rPr>
          <w:rFonts w:eastAsiaTheme="minorHAnsi"/>
          <w:b/>
          <w:bCs/>
        </w:rPr>
        <w:t>10</w:t>
      </w:r>
      <w:r w:rsidRPr="002B00BC">
        <w:rPr>
          <w:rFonts w:eastAsiaTheme="minorHAnsi"/>
        </w:rPr>
        <w:t>, e65088 (2021).</w:t>
      </w:r>
    </w:p>
    <w:p w14:paraId="66ACB0C0" w14:textId="77777777" w:rsidR="002B00BC" w:rsidRPr="002B00BC" w:rsidRDefault="002B00BC" w:rsidP="002B00BC">
      <w:pPr>
        <w:pStyle w:val="Bibliography"/>
        <w:rPr>
          <w:rFonts w:eastAsiaTheme="minorHAnsi"/>
        </w:rPr>
      </w:pPr>
      <w:r w:rsidRPr="002B00BC">
        <w:rPr>
          <w:rFonts w:eastAsiaTheme="minorHAnsi"/>
        </w:rPr>
        <w:t xml:space="preserve">130. </w:t>
      </w:r>
      <w:r w:rsidRPr="002B00BC">
        <w:rPr>
          <w:rFonts w:eastAsiaTheme="minorHAnsi"/>
        </w:rPr>
        <w:tab/>
        <w:t xml:space="preserve">A. J. Marshall, E. Meijaard, M. Leighton, Extreme ecological specialisation in a rainforest mammal, the Bornean tufted ground squirrel, Rheithrosciurus macrotis Gray, 1857. </w:t>
      </w:r>
      <w:r w:rsidRPr="002B00BC">
        <w:rPr>
          <w:rFonts w:eastAsiaTheme="minorHAnsi"/>
          <w:i/>
          <w:iCs/>
        </w:rPr>
        <w:t>Raffles Bulletin of Zoology</w:t>
      </w:r>
      <w:r w:rsidRPr="002B00BC">
        <w:rPr>
          <w:rFonts w:eastAsiaTheme="minorHAnsi"/>
        </w:rPr>
        <w:t xml:space="preserve"> </w:t>
      </w:r>
      <w:r w:rsidRPr="002B00BC">
        <w:rPr>
          <w:rFonts w:eastAsiaTheme="minorHAnsi"/>
          <w:b/>
          <w:bCs/>
        </w:rPr>
        <w:t>69</w:t>
      </w:r>
      <w:r w:rsidRPr="002B00BC">
        <w:rPr>
          <w:rFonts w:eastAsiaTheme="minorHAnsi"/>
        </w:rPr>
        <w:t>, 497506 (2021).</w:t>
      </w:r>
    </w:p>
    <w:p w14:paraId="0A05A4A6" w14:textId="77777777" w:rsidR="002B00BC" w:rsidRPr="002B00BC" w:rsidRDefault="002B00BC" w:rsidP="002B00BC">
      <w:pPr>
        <w:pStyle w:val="Bibliography"/>
        <w:rPr>
          <w:rFonts w:eastAsiaTheme="minorHAnsi"/>
        </w:rPr>
      </w:pPr>
      <w:r w:rsidRPr="002B00BC">
        <w:rPr>
          <w:rFonts w:eastAsiaTheme="minorHAnsi"/>
        </w:rPr>
        <w:t xml:space="preserve">131. </w:t>
      </w:r>
      <w:r w:rsidRPr="002B00BC">
        <w:rPr>
          <w:rFonts w:eastAsiaTheme="minorHAnsi"/>
        </w:rPr>
        <w:tab/>
        <w:t xml:space="preserve">J. Aitchison, M. Greenacre, Biplots of Compositional Data. </w:t>
      </w:r>
      <w:r w:rsidRPr="002B00BC">
        <w:rPr>
          <w:rFonts w:eastAsiaTheme="minorHAnsi"/>
          <w:i/>
          <w:iCs/>
        </w:rPr>
        <w:t>Journal of the Royal Statistical Society Series C: Applied Statistics</w:t>
      </w:r>
      <w:r w:rsidRPr="002B00BC">
        <w:rPr>
          <w:rFonts w:eastAsiaTheme="minorHAnsi"/>
        </w:rPr>
        <w:t xml:space="preserve"> </w:t>
      </w:r>
      <w:r w:rsidRPr="002B00BC">
        <w:rPr>
          <w:rFonts w:eastAsiaTheme="minorHAnsi"/>
          <w:b/>
          <w:bCs/>
        </w:rPr>
        <w:t>51</w:t>
      </w:r>
      <w:r w:rsidRPr="002B00BC">
        <w:rPr>
          <w:rFonts w:eastAsiaTheme="minorHAnsi"/>
        </w:rPr>
        <w:t>, 375–392 (2002).</w:t>
      </w:r>
    </w:p>
    <w:p w14:paraId="158A2131" w14:textId="77777777" w:rsidR="002B00BC" w:rsidRPr="002B00BC" w:rsidRDefault="002B00BC" w:rsidP="002B00BC">
      <w:pPr>
        <w:pStyle w:val="Bibliography"/>
        <w:rPr>
          <w:rFonts w:eastAsiaTheme="minorHAnsi"/>
        </w:rPr>
      </w:pPr>
      <w:r w:rsidRPr="002B00BC">
        <w:rPr>
          <w:rFonts w:eastAsiaTheme="minorHAnsi"/>
        </w:rPr>
        <w:t xml:space="preserve">132. </w:t>
      </w:r>
      <w:r w:rsidRPr="002B00BC">
        <w:rPr>
          <w:rFonts w:eastAsiaTheme="minorHAnsi"/>
        </w:rPr>
        <w:tab/>
        <w:t xml:space="preserve">J. Palarea-Albaladejo, J. A. Martín-Fernández, zCompositions — R package for multivariate imputation of left-censored data under a compositional approach. </w:t>
      </w:r>
      <w:r w:rsidRPr="002B00BC">
        <w:rPr>
          <w:rFonts w:eastAsiaTheme="minorHAnsi"/>
          <w:i/>
          <w:iCs/>
        </w:rPr>
        <w:t>Chemometrics and Intelligent Laboratory Systems</w:t>
      </w:r>
      <w:r w:rsidRPr="002B00BC">
        <w:rPr>
          <w:rFonts w:eastAsiaTheme="minorHAnsi"/>
        </w:rPr>
        <w:t xml:space="preserve"> </w:t>
      </w:r>
      <w:r w:rsidRPr="002B00BC">
        <w:rPr>
          <w:rFonts w:eastAsiaTheme="minorHAnsi"/>
          <w:b/>
          <w:bCs/>
        </w:rPr>
        <w:t>143</w:t>
      </w:r>
      <w:r w:rsidRPr="002B00BC">
        <w:rPr>
          <w:rFonts w:eastAsiaTheme="minorHAnsi"/>
        </w:rPr>
        <w:t>, 85–96 (2015).</w:t>
      </w:r>
    </w:p>
    <w:p w14:paraId="6F2800B5" w14:textId="77777777" w:rsidR="002B00BC" w:rsidRPr="002B00BC" w:rsidRDefault="002B00BC" w:rsidP="002B00BC">
      <w:pPr>
        <w:pStyle w:val="Bibliography"/>
        <w:rPr>
          <w:rFonts w:eastAsiaTheme="minorHAnsi"/>
        </w:rPr>
      </w:pPr>
      <w:r w:rsidRPr="002B00BC">
        <w:rPr>
          <w:rFonts w:eastAsiaTheme="minorHAnsi"/>
        </w:rPr>
        <w:t xml:space="preserve">133. </w:t>
      </w:r>
      <w:r w:rsidRPr="002B00BC">
        <w:rPr>
          <w:rFonts w:eastAsiaTheme="minorHAnsi"/>
        </w:rPr>
        <w:tab/>
        <w:t xml:space="preserve">G. B. Gloor, G. Reid, Compositional analysis: a valid approach to analyze microbiome high-throughput sequencing data. </w:t>
      </w:r>
      <w:r w:rsidRPr="002B00BC">
        <w:rPr>
          <w:rFonts w:eastAsiaTheme="minorHAnsi"/>
          <w:i/>
          <w:iCs/>
        </w:rPr>
        <w:t>Can. J. Microbiol.</w:t>
      </w:r>
      <w:r w:rsidRPr="002B00BC">
        <w:rPr>
          <w:rFonts w:eastAsiaTheme="minorHAnsi"/>
        </w:rPr>
        <w:t xml:space="preserve"> </w:t>
      </w:r>
      <w:r w:rsidRPr="002B00BC">
        <w:rPr>
          <w:rFonts w:eastAsiaTheme="minorHAnsi"/>
          <w:b/>
          <w:bCs/>
        </w:rPr>
        <w:t>62</w:t>
      </w:r>
      <w:r w:rsidRPr="002B00BC">
        <w:rPr>
          <w:rFonts w:eastAsiaTheme="minorHAnsi"/>
        </w:rPr>
        <w:t>, 692–703 (2016).</w:t>
      </w:r>
    </w:p>
    <w:p w14:paraId="6CB00A86" w14:textId="77777777" w:rsidR="002B00BC" w:rsidRPr="002B00BC" w:rsidRDefault="002B00BC" w:rsidP="002B00BC">
      <w:pPr>
        <w:pStyle w:val="Bibliography"/>
        <w:rPr>
          <w:rFonts w:eastAsiaTheme="minorHAnsi"/>
        </w:rPr>
      </w:pPr>
      <w:r w:rsidRPr="002B00BC">
        <w:rPr>
          <w:rFonts w:eastAsiaTheme="minorHAnsi"/>
        </w:rPr>
        <w:t xml:space="preserve">134. </w:t>
      </w:r>
      <w:r w:rsidRPr="002B00BC">
        <w:rPr>
          <w:rFonts w:eastAsiaTheme="minorHAnsi"/>
        </w:rPr>
        <w:tab/>
        <w:t xml:space="preserve">G. B. Gloor, J. M. Macklaim, V. Pawlowsky-Glahn, J. J. Egozcue, Microbiome Datasets Are Compositional: And This Is Not Optional. </w:t>
      </w:r>
      <w:r w:rsidRPr="002B00BC">
        <w:rPr>
          <w:rFonts w:eastAsiaTheme="minorHAnsi"/>
          <w:i/>
          <w:iCs/>
        </w:rPr>
        <w:t>Front. Microbiol.</w:t>
      </w:r>
      <w:r w:rsidRPr="002B00BC">
        <w:rPr>
          <w:rFonts w:eastAsiaTheme="minorHAnsi"/>
        </w:rPr>
        <w:t xml:space="preserve"> </w:t>
      </w:r>
      <w:r w:rsidRPr="002B00BC">
        <w:rPr>
          <w:rFonts w:eastAsiaTheme="minorHAnsi"/>
          <w:b/>
          <w:bCs/>
        </w:rPr>
        <w:t>8</w:t>
      </w:r>
      <w:r w:rsidRPr="002B00BC">
        <w:rPr>
          <w:rFonts w:eastAsiaTheme="minorHAnsi"/>
        </w:rPr>
        <w:t xml:space="preserve"> (2017).</w:t>
      </w:r>
    </w:p>
    <w:p w14:paraId="3890B0BD" w14:textId="77777777" w:rsidR="002B00BC" w:rsidRPr="002B00BC" w:rsidRDefault="002B00BC" w:rsidP="002B00BC">
      <w:pPr>
        <w:pStyle w:val="Bibliography"/>
        <w:rPr>
          <w:rFonts w:eastAsiaTheme="minorHAnsi"/>
        </w:rPr>
      </w:pPr>
      <w:r w:rsidRPr="002B00BC">
        <w:rPr>
          <w:rFonts w:eastAsiaTheme="minorHAnsi"/>
        </w:rPr>
        <w:t xml:space="preserve">135. </w:t>
      </w:r>
      <w:r w:rsidRPr="002B00BC">
        <w:rPr>
          <w:rFonts w:eastAsiaTheme="minorHAnsi"/>
        </w:rPr>
        <w:tab/>
        <w:t xml:space="preserve">H. Akaike, “Information Theory and an Extension of the Maximum Likelihood Principle” in </w:t>
      </w:r>
      <w:r w:rsidRPr="002B00BC">
        <w:rPr>
          <w:rFonts w:eastAsiaTheme="minorHAnsi"/>
          <w:i/>
          <w:iCs/>
        </w:rPr>
        <w:t>Selected Papers of Hirotugu Akaike</w:t>
      </w:r>
      <w:r w:rsidRPr="002B00BC">
        <w:rPr>
          <w:rFonts w:eastAsiaTheme="minorHAnsi"/>
        </w:rPr>
        <w:t>, E. Parzen, K. Tanabe, G. Kitagawa, Eds. (Springer New York, New York, NY, 1998)</w:t>
      </w:r>
      <w:r w:rsidRPr="002B00BC">
        <w:rPr>
          <w:rFonts w:eastAsiaTheme="minorHAnsi"/>
          <w:i/>
          <w:iCs/>
        </w:rPr>
        <w:t>Springer Series in Statistics</w:t>
      </w:r>
      <w:r w:rsidRPr="002B00BC">
        <w:rPr>
          <w:rFonts w:eastAsiaTheme="minorHAnsi"/>
        </w:rPr>
        <w:t>, pp. 199–213.</w:t>
      </w:r>
    </w:p>
    <w:p w14:paraId="21D91875" w14:textId="77777777" w:rsidR="002B00BC" w:rsidRPr="002B00BC" w:rsidRDefault="002B00BC" w:rsidP="002B00BC">
      <w:pPr>
        <w:pStyle w:val="Bibliography"/>
        <w:rPr>
          <w:rFonts w:eastAsiaTheme="minorHAnsi"/>
        </w:rPr>
      </w:pPr>
      <w:r w:rsidRPr="002B00BC">
        <w:rPr>
          <w:rFonts w:eastAsiaTheme="minorHAnsi"/>
        </w:rPr>
        <w:t xml:space="preserve">136. </w:t>
      </w:r>
      <w:r w:rsidRPr="002B00BC">
        <w:rPr>
          <w:rFonts w:eastAsiaTheme="minorHAnsi"/>
        </w:rPr>
        <w:tab/>
        <w:t>C. M. Hurvich, C.-L. Tsai, Regression and time series model selection in small samples.</w:t>
      </w:r>
    </w:p>
    <w:p w14:paraId="208BF328" w14:textId="77777777" w:rsidR="002B00BC" w:rsidRPr="002B00BC" w:rsidRDefault="002B00BC" w:rsidP="002B00BC">
      <w:pPr>
        <w:pStyle w:val="Bibliography"/>
        <w:rPr>
          <w:rFonts w:eastAsiaTheme="minorHAnsi"/>
        </w:rPr>
      </w:pPr>
      <w:r w:rsidRPr="002B00BC">
        <w:rPr>
          <w:rFonts w:eastAsiaTheme="minorHAnsi"/>
        </w:rPr>
        <w:t xml:space="preserve">137. </w:t>
      </w:r>
      <w:r w:rsidRPr="002B00BC">
        <w:rPr>
          <w:rFonts w:eastAsiaTheme="minorHAnsi"/>
        </w:rPr>
        <w:tab/>
        <w:t xml:space="preserve">P. J. McMurdie, S. Holmes, Waste Not, Want Not: Why Rarefying Microbiome Data Is Inadmissible. </w:t>
      </w:r>
      <w:r w:rsidRPr="002B00BC">
        <w:rPr>
          <w:rFonts w:eastAsiaTheme="minorHAnsi"/>
          <w:i/>
          <w:iCs/>
        </w:rPr>
        <w:t>PLOS Computational Biology</w:t>
      </w:r>
      <w:r w:rsidRPr="002B00BC">
        <w:rPr>
          <w:rFonts w:eastAsiaTheme="minorHAnsi"/>
        </w:rPr>
        <w:t xml:space="preserve"> </w:t>
      </w:r>
      <w:r w:rsidRPr="002B00BC">
        <w:rPr>
          <w:rFonts w:eastAsiaTheme="minorHAnsi"/>
          <w:b/>
          <w:bCs/>
        </w:rPr>
        <w:t>10</w:t>
      </w:r>
      <w:r w:rsidRPr="002B00BC">
        <w:rPr>
          <w:rFonts w:eastAsiaTheme="minorHAnsi"/>
        </w:rPr>
        <w:t>, e1003531 (2014).</w:t>
      </w:r>
    </w:p>
    <w:p w14:paraId="33FC1747" w14:textId="77777777" w:rsidR="002B00BC" w:rsidRPr="002B00BC" w:rsidRDefault="002B00BC" w:rsidP="002B00BC">
      <w:pPr>
        <w:pStyle w:val="Bibliography"/>
        <w:rPr>
          <w:rFonts w:eastAsiaTheme="minorHAnsi"/>
        </w:rPr>
      </w:pPr>
      <w:r w:rsidRPr="002B00BC">
        <w:rPr>
          <w:rFonts w:eastAsiaTheme="minorHAnsi"/>
        </w:rPr>
        <w:t xml:space="preserve">138. </w:t>
      </w:r>
      <w:r w:rsidRPr="002B00BC">
        <w:rPr>
          <w:rFonts w:eastAsiaTheme="minorHAnsi"/>
        </w:rPr>
        <w:tab/>
        <w:t xml:space="preserve">D. R. Anderson, K. P. Burnham, W. L. Thompson, Null Hypothesis Testing: Problems, Prevalence, and an Alternative. </w:t>
      </w:r>
      <w:r w:rsidRPr="002B00BC">
        <w:rPr>
          <w:rFonts w:eastAsiaTheme="minorHAnsi"/>
          <w:i/>
          <w:iCs/>
        </w:rPr>
        <w:t>The Journal of Wildlife Management</w:t>
      </w:r>
      <w:r w:rsidRPr="002B00BC">
        <w:rPr>
          <w:rFonts w:eastAsiaTheme="minorHAnsi"/>
        </w:rPr>
        <w:t xml:space="preserve"> </w:t>
      </w:r>
      <w:r w:rsidRPr="002B00BC">
        <w:rPr>
          <w:rFonts w:eastAsiaTheme="minorHAnsi"/>
          <w:b/>
          <w:bCs/>
        </w:rPr>
        <w:t>64</w:t>
      </w:r>
      <w:r w:rsidRPr="002B00BC">
        <w:rPr>
          <w:rFonts w:eastAsiaTheme="minorHAnsi"/>
        </w:rPr>
        <w:t>, 912–923 (2000).</w:t>
      </w:r>
    </w:p>
    <w:p w14:paraId="6915DF26" w14:textId="77777777" w:rsidR="002B00BC" w:rsidRPr="002B00BC" w:rsidRDefault="002B00BC" w:rsidP="002B00BC">
      <w:pPr>
        <w:pStyle w:val="Bibliography"/>
        <w:rPr>
          <w:rFonts w:eastAsiaTheme="minorHAnsi"/>
        </w:rPr>
      </w:pPr>
      <w:r w:rsidRPr="002B00BC">
        <w:rPr>
          <w:rFonts w:eastAsiaTheme="minorHAnsi"/>
        </w:rPr>
        <w:t xml:space="preserve">139. </w:t>
      </w:r>
      <w:r w:rsidRPr="002B00BC">
        <w:rPr>
          <w:rFonts w:eastAsiaTheme="minorHAnsi"/>
        </w:rPr>
        <w:tab/>
        <w:t xml:space="preserve">K. P. Burnham, D. R. Anderson, K. P. Huyvaert, AIC model selection and multimodel inference in behavioral ecology: some background, observations, and comparisons. </w:t>
      </w:r>
      <w:r w:rsidRPr="002B00BC">
        <w:rPr>
          <w:rFonts w:eastAsiaTheme="minorHAnsi"/>
          <w:i/>
          <w:iCs/>
        </w:rPr>
        <w:t>Behav Ecol Sociobiol</w:t>
      </w:r>
      <w:r w:rsidRPr="002B00BC">
        <w:rPr>
          <w:rFonts w:eastAsiaTheme="minorHAnsi"/>
        </w:rPr>
        <w:t xml:space="preserve"> </w:t>
      </w:r>
      <w:r w:rsidRPr="002B00BC">
        <w:rPr>
          <w:rFonts w:eastAsiaTheme="minorHAnsi"/>
          <w:b/>
          <w:bCs/>
        </w:rPr>
        <w:t>65</w:t>
      </w:r>
      <w:r w:rsidRPr="002B00BC">
        <w:rPr>
          <w:rFonts w:eastAsiaTheme="minorHAnsi"/>
        </w:rPr>
        <w:t>, 23–35 (2011).</w:t>
      </w:r>
    </w:p>
    <w:p w14:paraId="071EA547" w14:textId="77777777" w:rsidR="002B00BC" w:rsidRPr="002B00BC" w:rsidRDefault="002B00BC" w:rsidP="002B00BC">
      <w:pPr>
        <w:pStyle w:val="Bibliography"/>
        <w:rPr>
          <w:rFonts w:eastAsiaTheme="minorHAnsi"/>
        </w:rPr>
      </w:pPr>
      <w:r w:rsidRPr="002B00BC">
        <w:rPr>
          <w:rFonts w:eastAsiaTheme="minorHAnsi"/>
        </w:rPr>
        <w:t xml:space="preserve">140. </w:t>
      </w:r>
      <w:r w:rsidRPr="002B00BC">
        <w:rPr>
          <w:rFonts w:eastAsiaTheme="minorHAnsi"/>
        </w:rPr>
        <w:tab/>
        <w:t xml:space="preserve">X. Zhang, Y.-F. Pei, L. Zhang, B. Guo, A. H. Pendegraft, W. Zhuang, N. Yi, Negative Binomial Mixed Models for Analyzing Longitudinal Microbiome Data. </w:t>
      </w:r>
      <w:r w:rsidRPr="002B00BC">
        <w:rPr>
          <w:rFonts w:eastAsiaTheme="minorHAnsi"/>
          <w:i/>
          <w:iCs/>
        </w:rPr>
        <w:t>Front. Microbiol.</w:t>
      </w:r>
      <w:r w:rsidRPr="002B00BC">
        <w:rPr>
          <w:rFonts w:eastAsiaTheme="minorHAnsi"/>
        </w:rPr>
        <w:t xml:space="preserve"> </w:t>
      </w:r>
      <w:r w:rsidRPr="002B00BC">
        <w:rPr>
          <w:rFonts w:eastAsiaTheme="minorHAnsi"/>
          <w:b/>
          <w:bCs/>
        </w:rPr>
        <w:t>9</w:t>
      </w:r>
      <w:r w:rsidRPr="002B00BC">
        <w:rPr>
          <w:rFonts w:eastAsiaTheme="minorHAnsi"/>
        </w:rPr>
        <w:t xml:space="preserve"> (2018).</w:t>
      </w:r>
    </w:p>
    <w:p w14:paraId="6F553D82" w14:textId="3DB73A8F" w:rsidR="009E5AD7" w:rsidRDefault="009E5AD7" w:rsidP="002B00BC">
      <w:pPr>
        <w:pStyle w:val="Bibliography"/>
      </w:pPr>
      <w:r>
        <w:fldChar w:fldCharType="end"/>
      </w:r>
    </w:p>
    <w:sectPr w:rsidR="009E5AD7" w:rsidSect="00EF0A2C">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65527"/>
    <w:multiLevelType w:val="hybridMultilevel"/>
    <w:tmpl w:val="0E24F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E33190"/>
    <w:multiLevelType w:val="hybridMultilevel"/>
    <w:tmpl w:val="62549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432AB5"/>
    <w:multiLevelType w:val="hybridMultilevel"/>
    <w:tmpl w:val="4FD05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6937548">
    <w:abstractNumId w:val="1"/>
  </w:num>
  <w:num w:numId="2" w16cid:durableId="868687810">
    <w:abstractNumId w:val="2"/>
  </w:num>
  <w:num w:numId="3" w16cid:durableId="91856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D66"/>
    <w:rsid w:val="00033021"/>
    <w:rsid w:val="000365B2"/>
    <w:rsid w:val="000560CC"/>
    <w:rsid w:val="00074A66"/>
    <w:rsid w:val="000D1A59"/>
    <w:rsid w:val="000D29E7"/>
    <w:rsid w:val="00150BEB"/>
    <w:rsid w:val="001570BD"/>
    <w:rsid w:val="00190DE4"/>
    <w:rsid w:val="001A57FC"/>
    <w:rsid w:val="00280EC6"/>
    <w:rsid w:val="002B00BC"/>
    <w:rsid w:val="002B5CD8"/>
    <w:rsid w:val="002C7F8C"/>
    <w:rsid w:val="002D1193"/>
    <w:rsid w:val="002E2B9C"/>
    <w:rsid w:val="0032533A"/>
    <w:rsid w:val="00337EBD"/>
    <w:rsid w:val="003563E7"/>
    <w:rsid w:val="004213D8"/>
    <w:rsid w:val="00435343"/>
    <w:rsid w:val="00440E37"/>
    <w:rsid w:val="00462118"/>
    <w:rsid w:val="00494677"/>
    <w:rsid w:val="004C046C"/>
    <w:rsid w:val="004C6D89"/>
    <w:rsid w:val="004E622C"/>
    <w:rsid w:val="004F5B78"/>
    <w:rsid w:val="005551F2"/>
    <w:rsid w:val="005B0F26"/>
    <w:rsid w:val="005C1673"/>
    <w:rsid w:val="005F69FD"/>
    <w:rsid w:val="00616C99"/>
    <w:rsid w:val="006209C5"/>
    <w:rsid w:val="00626FDB"/>
    <w:rsid w:val="006A0CCA"/>
    <w:rsid w:val="006A4942"/>
    <w:rsid w:val="006B28A1"/>
    <w:rsid w:val="006E102A"/>
    <w:rsid w:val="006F07A1"/>
    <w:rsid w:val="006F1050"/>
    <w:rsid w:val="00752B2B"/>
    <w:rsid w:val="00755D6C"/>
    <w:rsid w:val="00771EA2"/>
    <w:rsid w:val="00797413"/>
    <w:rsid w:val="007A2D5C"/>
    <w:rsid w:val="007C7C22"/>
    <w:rsid w:val="007D733A"/>
    <w:rsid w:val="00804D7A"/>
    <w:rsid w:val="00835F44"/>
    <w:rsid w:val="008404D9"/>
    <w:rsid w:val="008454F4"/>
    <w:rsid w:val="008631EB"/>
    <w:rsid w:val="00883999"/>
    <w:rsid w:val="008D32FF"/>
    <w:rsid w:val="0091666E"/>
    <w:rsid w:val="009304A2"/>
    <w:rsid w:val="00950571"/>
    <w:rsid w:val="00974119"/>
    <w:rsid w:val="00992CB0"/>
    <w:rsid w:val="009E07A2"/>
    <w:rsid w:val="009E5AD7"/>
    <w:rsid w:val="00A0098F"/>
    <w:rsid w:val="00A27A8C"/>
    <w:rsid w:val="00A33A8F"/>
    <w:rsid w:val="00A81D1C"/>
    <w:rsid w:val="00A853F1"/>
    <w:rsid w:val="00AB141F"/>
    <w:rsid w:val="00AB2862"/>
    <w:rsid w:val="00AC40F6"/>
    <w:rsid w:val="00B76236"/>
    <w:rsid w:val="00BB1E34"/>
    <w:rsid w:val="00BC1EDA"/>
    <w:rsid w:val="00BE3C8A"/>
    <w:rsid w:val="00C10871"/>
    <w:rsid w:val="00CC61A6"/>
    <w:rsid w:val="00D237ED"/>
    <w:rsid w:val="00D82666"/>
    <w:rsid w:val="00DA2D66"/>
    <w:rsid w:val="00DA5AE8"/>
    <w:rsid w:val="00DD6126"/>
    <w:rsid w:val="00DD674D"/>
    <w:rsid w:val="00DE0C60"/>
    <w:rsid w:val="00DF25ED"/>
    <w:rsid w:val="00E356F2"/>
    <w:rsid w:val="00E37B25"/>
    <w:rsid w:val="00E83647"/>
    <w:rsid w:val="00E90D4E"/>
    <w:rsid w:val="00EB13C3"/>
    <w:rsid w:val="00EF0A2C"/>
    <w:rsid w:val="00F004F0"/>
    <w:rsid w:val="00F06D13"/>
    <w:rsid w:val="00FE4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46F4"/>
  <w15:chartTrackingRefBased/>
  <w15:docId w15:val="{CA00CD9A-2327-534D-AAA7-057081F4C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3C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A2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D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D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D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D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D66"/>
    <w:rPr>
      <w:rFonts w:eastAsiaTheme="majorEastAsia" w:cstheme="majorBidi"/>
      <w:color w:val="272727" w:themeColor="text1" w:themeTint="D8"/>
    </w:rPr>
  </w:style>
  <w:style w:type="paragraph" w:styleId="Title">
    <w:name w:val="Title"/>
    <w:basedOn w:val="Normal"/>
    <w:next w:val="Normal"/>
    <w:link w:val="TitleChar"/>
    <w:uiPriority w:val="10"/>
    <w:qFormat/>
    <w:rsid w:val="00DA2D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D66"/>
    <w:pPr>
      <w:spacing w:before="160"/>
      <w:jc w:val="center"/>
    </w:pPr>
    <w:rPr>
      <w:i/>
      <w:iCs/>
      <w:color w:val="404040" w:themeColor="text1" w:themeTint="BF"/>
    </w:rPr>
  </w:style>
  <w:style w:type="character" w:customStyle="1" w:styleId="QuoteChar">
    <w:name w:val="Quote Char"/>
    <w:basedOn w:val="DefaultParagraphFont"/>
    <w:link w:val="Quote"/>
    <w:uiPriority w:val="29"/>
    <w:rsid w:val="00DA2D66"/>
    <w:rPr>
      <w:i/>
      <w:iCs/>
      <w:color w:val="404040" w:themeColor="text1" w:themeTint="BF"/>
    </w:rPr>
  </w:style>
  <w:style w:type="paragraph" w:styleId="ListParagraph">
    <w:name w:val="List Paragraph"/>
    <w:basedOn w:val="Normal"/>
    <w:uiPriority w:val="34"/>
    <w:qFormat/>
    <w:rsid w:val="00DA2D66"/>
    <w:pPr>
      <w:ind w:left="720"/>
      <w:contextualSpacing/>
    </w:pPr>
  </w:style>
  <w:style w:type="character" w:styleId="IntenseEmphasis">
    <w:name w:val="Intense Emphasis"/>
    <w:basedOn w:val="DefaultParagraphFont"/>
    <w:uiPriority w:val="21"/>
    <w:qFormat/>
    <w:rsid w:val="00DA2D66"/>
    <w:rPr>
      <w:i/>
      <w:iCs/>
      <w:color w:val="0F4761" w:themeColor="accent1" w:themeShade="BF"/>
    </w:rPr>
  </w:style>
  <w:style w:type="paragraph" w:styleId="IntenseQuote">
    <w:name w:val="Intense Quote"/>
    <w:basedOn w:val="Normal"/>
    <w:next w:val="Normal"/>
    <w:link w:val="IntenseQuoteChar"/>
    <w:uiPriority w:val="30"/>
    <w:qFormat/>
    <w:rsid w:val="00DA2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D66"/>
    <w:rPr>
      <w:i/>
      <w:iCs/>
      <w:color w:val="0F4761" w:themeColor="accent1" w:themeShade="BF"/>
    </w:rPr>
  </w:style>
  <w:style w:type="character" w:styleId="IntenseReference">
    <w:name w:val="Intense Reference"/>
    <w:basedOn w:val="DefaultParagraphFont"/>
    <w:uiPriority w:val="32"/>
    <w:qFormat/>
    <w:rsid w:val="00DA2D66"/>
    <w:rPr>
      <w:b/>
      <w:bCs/>
      <w:smallCaps/>
      <w:color w:val="0F4761" w:themeColor="accent1" w:themeShade="BF"/>
      <w:spacing w:val="5"/>
    </w:rPr>
  </w:style>
  <w:style w:type="character" w:styleId="Emphasis">
    <w:name w:val="Emphasis"/>
    <w:basedOn w:val="DefaultParagraphFont"/>
    <w:uiPriority w:val="20"/>
    <w:qFormat/>
    <w:rsid w:val="005B0F26"/>
    <w:rPr>
      <w:i/>
      <w:iCs/>
    </w:rPr>
  </w:style>
  <w:style w:type="character" w:styleId="CommentReference">
    <w:name w:val="annotation reference"/>
    <w:basedOn w:val="DefaultParagraphFont"/>
    <w:uiPriority w:val="99"/>
    <w:semiHidden/>
    <w:unhideWhenUsed/>
    <w:rsid w:val="005B0F26"/>
    <w:rPr>
      <w:sz w:val="16"/>
      <w:szCs w:val="16"/>
    </w:rPr>
  </w:style>
  <w:style w:type="character" w:styleId="Strong">
    <w:name w:val="Strong"/>
    <w:basedOn w:val="DefaultParagraphFont"/>
    <w:uiPriority w:val="22"/>
    <w:qFormat/>
    <w:rsid w:val="005B0F26"/>
    <w:rPr>
      <w:b/>
      <w:bCs/>
    </w:rPr>
  </w:style>
  <w:style w:type="character" w:styleId="Hyperlink">
    <w:name w:val="Hyperlink"/>
    <w:basedOn w:val="DefaultParagraphFont"/>
    <w:uiPriority w:val="99"/>
    <w:unhideWhenUsed/>
    <w:rsid w:val="00C10871"/>
    <w:rPr>
      <w:color w:val="467886" w:themeColor="hyperlink"/>
      <w:u w:val="single"/>
    </w:rPr>
  </w:style>
  <w:style w:type="paragraph" w:styleId="CommentText">
    <w:name w:val="annotation text"/>
    <w:basedOn w:val="Normal"/>
    <w:link w:val="CommentTextChar"/>
    <w:uiPriority w:val="99"/>
    <w:semiHidden/>
    <w:unhideWhenUsed/>
    <w:rsid w:val="00E90D4E"/>
    <w:rPr>
      <w:sz w:val="20"/>
      <w:szCs w:val="20"/>
    </w:rPr>
  </w:style>
  <w:style w:type="character" w:customStyle="1" w:styleId="CommentTextChar">
    <w:name w:val="Comment Text Char"/>
    <w:basedOn w:val="DefaultParagraphFont"/>
    <w:link w:val="CommentText"/>
    <w:uiPriority w:val="99"/>
    <w:semiHidden/>
    <w:rsid w:val="00E90D4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90D4E"/>
    <w:rPr>
      <w:b/>
      <w:bCs/>
    </w:rPr>
  </w:style>
  <w:style w:type="character" w:customStyle="1" w:styleId="CommentSubjectChar">
    <w:name w:val="Comment Subject Char"/>
    <w:basedOn w:val="CommentTextChar"/>
    <w:link w:val="CommentSubject"/>
    <w:uiPriority w:val="99"/>
    <w:semiHidden/>
    <w:rsid w:val="00E90D4E"/>
    <w:rPr>
      <w:rFonts w:ascii="Times New Roman" w:eastAsia="Times New Roman" w:hAnsi="Times New Roman" w:cs="Times New Roman"/>
      <w:b/>
      <w:bCs/>
      <w:kern w:val="0"/>
      <w:sz w:val="20"/>
      <w:szCs w:val="20"/>
      <w14:ligatures w14:val="none"/>
    </w:rPr>
  </w:style>
  <w:style w:type="paragraph" w:styleId="Bibliography">
    <w:name w:val="Bibliography"/>
    <w:basedOn w:val="Normal"/>
    <w:next w:val="Normal"/>
    <w:uiPriority w:val="37"/>
    <w:unhideWhenUsed/>
    <w:rsid w:val="009E5AD7"/>
    <w:pPr>
      <w:tabs>
        <w:tab w:val="left" w:pos="620"/>
      </w:tabs>
      <w:spacing w:after="240"/>
      <w:ind w:left="624" w:hanging="624"/>
    </w:pPr>
  </w:style>
  <w:style w:type="character" w:styleId="UnresolvedMention">
    <w:name w:val="Unresolved Mention"/>
    <w:basedOn w:val="DefaultParagraphFont"/>
    <w:uiPriority w:val="99"/>
    <w:semiHidden/>
    <w:unhideWhenUsed/>
    <w:rsid w:val="005C1673"/>
    <w:rPr>
      <w:color w:val="605E5C"/>
      <w:shd w:val="clear" w:color="auto" w:fill="E1DFDD"/>
    </w:rPr>
  </w:style>
  <w:style w:type="character" w:styleId="LineNumber">
    <w:name w:val="line number"/>
    <w:basedOn w:val="DefaultParagraphFont"/>
    <w:uiPriority w:val="99"/>
    <w:semiHidden/>
    <w:unhideWhenUsed/>
    <w:rsid w:val="00EF0A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arthmicrobiome.org" TargetMode="External"/><Relationship Id="rId5" Type="http://schemas.openxmlformats.org/officeDocument/2006/relationships/hyperlink" Target="mailto:jlucore@umich.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29</Pages>
  <Words>88342</Words>
  <Characters>503555</Characters>
  <Application>Microsoft Office Word</Application>
  <DocSecurity>0</DocSecurity>
  <Lines>4196</Lines>
  <Paragraphs>1181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9</cp:revision>
  <dcterms:created xsi:type="dcterms:W3CDTF">2025-12-20T21:19:00Z</dcterms:created>
  <dcterms:modified xsi:type="dcterms:W3CDTF">2025-12-20T23:35:00Z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id="PCTlstGo"/&gt;&lt;style id="http://www.zotero.org/styles/science" hasBibliography="1" bibliographyStyleHasBeenSet="1"/&gt;&lt;prefs&gt;&lt;pref name="fieldType" value="Field"/&gt;&lt;pref name="dontAskDelayCitationUpdat</vt:lpwstr>
  </property>
  <property fmtid="{D5CDD505-2E9C-101B-9397-08002B2CF9AE}" pid="3" name="ZOTERO_PREF_2">
    <vt:lpwstr>es" value="true"/&gt;&lt;/prefs&gt;&lt;/data&gt;</vt:lpwstr>
  </property>
</Properties>
</file>