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18FFA" w14:textId="20C99C36" w:rsidR="008631EB" w:rsidRDefault="00534679" w:rsidP="00534679">
      <w:pPr>
        <w:rPr>
          <w:sz w:val="28"/>
          <w:szCs w:val="28"/>
        </w:rPr>
      </w:pPr>
      <w:r w:rsidRPr="00534679">
        <w:rPr>
          <w:sz w:val="28"/>
          <w:szCs w:val="28"/>
        </w:rPr>
        <w:t>High temperatures predict gut microbiome compositional and functional shifts consistent with dysbiosis in a wild primate</w:t>
      </w:r>
    </w:p>
    <w:p w14:paraId="2E2BC96B" w14:textId="3E1A95F3" w:rsidR="00534679" w:rsidRPr="00E410C3" w:rsidRDefault="00534679" w:rsidP="00534679">
      <w:r w:rsidRPr="00E410C3">
        <w:t>Jordan M. Lucore</w:t>
      </w:r>
      <w:r w:rsidRPr="00E410C3">
        <w:rPr>
          <w:vertAlign w:val="superscript"/>
        </w:rPr>
        <w:t>1,2</w:t>
      </w:r>
      <w:r>
        <w:rPr>
          <w:vertAlign w:val="superscript"/>
        </w:rPr>
        <w:t>*</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Maria Luisa Savo Sardaro</w:t>
      </w:r>
      <w:r w:rsidRPr="00E410C3">
        <w:rPr>
          <w:vertAlign w:val="superscript"/>
        </w:rPr>
        <w:t>7,8</w:t>
      </w:r>
      <w:r w:rsidRPr="00E410C3">
        <w:t>, Katherine R. Amato</w:t>
      </w:r>
      <w:r w:rsidRPr="00E410C3">
        <w:rPr>
          <w:vertAlign w:val="superscript"/>
        </w:rPr>
        <w:t>7</w:t>
      </w:r>
      <w:r>
        <w:rPr>
          <w:vertAlign w:val="superscript"/>
        </w:rPr>
        <w:t>†</w:t>
      </w:r>
      <w:r w:rsidRPr="00E410C3">
        <w:t>, Andrew J. Marshall</w:t>
      </w:r>
      <w:r w:rsidRPr="00E410C3">
        <w:rPr>
          <w:vertAlign w:val="superscript"/>
        </w:rPr>
        <w:t>1,6,9, 10, 11</w:t>
      </w:r>
      <w:r>
        <w:rPr>
          <w:vertAlign w:val="superscript"/>
        </w:rPr>
        <w:t>†</w:t>
      </w:r>
    </w:p>
    <w:p w14:paraId="47A1F22E" w14:textId="1CF76C9D" w:rsidR="00534679" w:rsidRDefault="00534679" w:rsidP="00534679">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w:t>
      </w:r>
      <w:proofErr w:type="spellStart"/>
      <w:r w:rsidRPr="00E410C3">
        <w:t>Taboga</w:t>
      </w:r>
      <w:proofErr w:type="spellEnd"/>
      <w:r w:rsidRPr="00E410C3">
        <w:t xml:space="preserve"> Research Project, </w:t>
      </w:r>
      <w:proofErr w:type="spellStart"/>
      <w:r w:rsidRPr="00E410C3">
        <w:t>Taboga</w:t>
      </w:r>
      <w:proofErr w:type="spellEnd"/>
      <w:r w:rsidRPr="00E410C3">
        <w:t xml:space="preserve"> Forest Reserve, Guanacaste, Costa Rica, </w:t>
      </w:r>
      <w:r>
        <w:rPr>
          <w:vertAlign w:val="superscript"/>
        </w:rPr>
        <w:t>3</w:t>
      </w:r>
      <w:r w:rsidRPr="00E410C3">
        <w:t>Department of Anthropology, Emory University, Atlanta, GA, United States,</w:t>
      </w:r>
      <w:r>
        <w:t xml:space="preserve"> </w:t>
      </w:r>
      <w:r>
        <w:rPr>
          <w:vertAlign w:val="superscript"/>
        </w:rPr>
        <w:t>4</w:t>
      </w:r>
      <w:r w:rsidRPr="00E410C3">
        <w:t>Department of Anthropology, Durham University, Durham, UK,</w:t>
      </w:r>
      <w:r>
        <w:t xml:space="preserve">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2AD49FC9" w14:textId="77777777" w:rsidR="00534679" w:rsidRDefault="00534679" w:rsidP="00534679">
      <w:r>
        <w:t>*</w:t>
      </w:r>
      <w:r w:rsidRPr="00974119">
        <w:t xml:space="preserve"> </w:t>
      </w:r>
      <w:r>
        <w:t xml:space="preserve">Corresponding author  </w:t>
      </w:r>
      <w:hyperlink r:id="rId5" w:history="1">
        <w:r w:rsidRPr="00040F15">
          <w:rPr>
            <w:rStyle w:val="Hyperlink"/>
          </w:rPr>
          <w:t>jlucore@umich.edu</w:t>
        </w:r>
      </w:hyperlink>
      <w:r>
        <w:t xml:space="preserve"> orchid id 0000-0002-2759-7412</w:t>
      </w:r>
    </w:p>
    <w:p w14:paraId="3A02AA07" w14:textId="77777777" w:rsidR="00534679" w:rsidRDefault="00534679" w:rsidP="00534679">
      <w:r>
        <w:rPr>
          <w:vertAlign w:val="superscript"/>
        </w:rPr>
        <w:t xml:space="preserve">† </w:t>
      </w:r>
      <w:r>
        <w:t>These authors contributed equally to this work.</w:t>
      </w:r>
    </w:p>
    <w:p w14:paraId="0928192E" w14:textId="77777777" w:rsidR="00534679" w:rsidRDefault="00534679" w:rsidP="00534679"/>
    <w:p w14:paraId="4A7C6A14" w14:textId="77777777" w:rsidR="00534679" w:rsidRDefault="00534679" w:rsidP="00534679"/>
    <w:p w14:paraId="339E47A4" w14:textId="77777777" w:rsidR="00534679" w:rsidRDefault="00534679" w:rsidP="00534679"/>
    <w:p w14:paraId="5DF9508C" w14:textId="77777777" w:rsidR="00534679" w:rsidRDefault="00534679" w:rsidP="00534679"/>
    <w:p w14:paraId="04353EA7" w14:textId="77777777" w:rsidR="00534679" w:rsidRDefault="00534679" w:rsidP="00534679"/>
    <w:p w14:paraId="6F8F21C4" w14:textId="77777777" w:rsidR="00534679" w:rsidRDefault="00534679" w:rsidP="00534679"/>
    <w:p w14:paraId="24841D1A" w14:textId="77777777" w:rsidR="00534679" w:rsidRDefault="00534679" w:rsidP="00534679"/>
    <w:p w14:paraId="3F9A8485" w14:textId="77777777" w:rsidR="00534679" w:rsidRDefault="00534679" w:rsidP="00534679"/>
    <w:p w14:paraId="50354173" w14:textId="77777777" w:rsidR="00534679" w:rsidRDefault="00534679" w:rsidP="00534679"/>
    <w:p w14:paraId="358FEDFC" w14:textId="77777777" w:rsidR="00534679" w:rsidRDefault="00534679" w:rsidP="00534679"/>
    <w:p w14:paraId="4E15EB5D" w14:textId="77777777" w:rsidR="00534679" w:rsidRDefault="00534679" w:rsidP="00534679"/>
    <w:p w14:paraId="0FD74FF9" w14:textId="091585B9" w:rsidR="00ED38E9" w:rsidRDefault="00ED38E9" w:rsidP="00534679">
      <w:r>
        <w:lastRenderedPageBreak/>
        <w:t xml:space="preserve">Results: </w:t>
      </w:r>
    </w:p>
    <w:p w14:paraId="0DAEE272" w14:textId="24F4D76C" w:rsidR="00DC3B0F" w:rsidRDefault="00ED38E9" w:rsidP="00DC3B0F">
      <w:pPr>
        <w:spacing w:after="0"/>
      </w:pPr>
      <w:r w:rsidRPr="00ED38E9">
        <w:rPr>
          <w:b/>
          <w:bCs/>
        </w:rPr>
        <w:t xml:space="preserve">Temperature predicts gut microbiome taxonomic and functional community-level composition. </w:t>
      </w:r>
      <w:r>
        <w:t>To assess th</w:t>
      </w:r>
      <w:r>
        <w:t>e</w:t>
      </w:r>
      <w:r>
        <w:t xml:space="preserve"> relationship</w:t>
      </w:r>
      <w:r>
        <w:t xml:space="preserve"> between temperature and community-level diversity, </w:t>
      </w:r>
      <w:r w:rsidRPr="00ED38E9">
        <w:t>we compared a baseline model that accounted for known predictors of microbiome composition (sex, social group, diet, and season) to a model that included both the baseline predictors and temperature (Fig. 1S). We measured alpha diversity using Shannon diversity index and observed richness (the total number of Amplicon Sequence Variants, ASVs, or pathways in a sample), and characterized beta diversity using the first three principal components (PC1–PC3) from a principal component analysis (PCA) to capture major axes of variation in community composition.</w:t>
      </w:r>
      <w:r w:rsidRPr="00ED38E9">
        <w:t xml:space="preserve"> </w:t>
      </w:r>
      <w:r>
        <w:t>For taxonomic community composition, the model including temperature provided the best fit (controlling for model complexity) across all community-level indices, accounting for 100% of the model weight for every principal component and alpha diversity metric (Fig. 1B).</w:t>
      </w:r>
      <w:r>
        <w:t xml:space="preserve"> </w:t>
      </w:r>
      <w:r>
        <w:t xml:space="preserve">The strong relationship between temperature and principal components 1–3 suggests that </w:t>
      </w:r>
      <w:r w:rsidR="000025C8">
        <w:t>rising temperatures predict</w:t>
      </w:r>
      <w:r>
        <w:t xml:space="preserve"> shifts in taxonomic composition that are substantial enough to affect community-level beta diversity. Both alpha diversity indices showed a reliable negative relationship with temperature (Shannon </w:t>
      </w:r>
      <w:r w:rsidRPr="00887114">
        <w:t>β</w:t>
      </w:r>
      <w:r>
        <w:rPr>
          <w:vertAlign w:val="subscript"/>
        </w:rPr>
        <w:t>temp</w:t>
      </w:r>
      <w:r>
        <w:t xml:space="preserve"> = -0.4</w:t>
      </w:r>
      <w:r w:rsidR="000025C8">
        <w:t>1</w:t>
      </w:r>
      <w:r>
        <w:t xml:space="preserve">, Observed </w:t>
      </w:r>
      <w:r w:rsidRPr="00887114">
        <w:t>β</w:t>
      </w:r>
      <w:r>
        <w:rPr>
          <w:vertAlign w:val="subscript"/>
        </w:rPr>
        <w:t>temp</w:t>
      </w:r>
      <w:r>
        <w:t xml:space="preserve"> = -0.4</w:t>
      </w:r>
      <w:r w:rsidR="000025C8">
        <w:t>1</w:t>
      </w:r>
      <w:r>
        <w:t>)(Fig. 1A). Even though the effect sizes were small compared to the principal components, alpha diversity reliably declined with increasing temperatures (Fig. 2S). This suggests that higher temperatures are associated with reductions in both taxonomic richness and evenness.</w:t>
      </w:r>
    </w:p>
    <w:p w14:paraId="16E9A5D0" w14:textId="41976C81" w:rsidR="00DC3B0F" w:rsidRDefault="00DC3B0F" w:rsidP="00425751">
      <w:pPr>
        <w:spacing w:after="0"/>
        <w:ind w:firstLine="720"/>
      </w:pPr>
      <w:r>
        <w:t xml:space="preserve">For functional capacity, the temperature model provided the best fit for every principal component and the total number of observed metabolic pathways, accounting for at least </w:t>
      </w:r>
      <w:r w:rsidR="000025C8">
        <w:t>85</w:t>
      </w:r>
      <w:r>
        <w:t xml:space="preserve">% of the model weight. In contrast, the baseline model provided the best fit for Shannon diversity, accounting for </w:t>
      </w:r>
      <w:r w:rsidR="000025C8">
        <w:t>83</w:t>
      </w:r>
      <w:r>
        <w:t xml:space="preserve">% of the model weight (Fig. 1D). Therefore, temperature was associated with shifts in individual metabolic pathways substantial enough to affect community-level beta diversity, but the relationship between temperature and functional alpha diversity was less clear. Temperature was negatively associated with the total number of unique pathways (Observed: </w:t>
      </w:r>
      <w:r w:rsidRPr="00887114">
        <w:t>β</w:t>
      </w:r>
      <w:r>
        <w:rPr>
          <w:vertAlign w:val="subscript"/>
        </w:rPr>
        <w:t>temp</w:t>
      </w:r>
      <w:r>
        <w:t xml:space="preserve"> = -</w:t>
      </w:r>
      <w:r w:rsidR="000025C8">
        <w:t>17.0</w:t>
      </w:r>
      <w:r>
        <w:t>), but the magnitude and direction of this effect were uncertain due to the wide confidence intervals that include zero. The effect size for Shannon diversity (</w:t>
      </w:r>
      <w:r w:rsidRPr="00887114">
        <w:t>β</w:t>
      </w:r>
      <w:r>
        <w:rPr>
          <w:vertAlign w:val="subscript"/>
        </w:rPr>
        <w:t>temp</w:t>
      </w:r>
      <w:r>
        <w:t xml:space="preserve"> = -0.</w:t>
      </w:r>
      <w:r w:rsidR="000025C8">
        <w:t>1</w:t>
      </w:r>
      <w:r>
        <w:t>) was much smaller, and the confidence intervals also included zero (Fig. 1C). Together, these results suggest that higher temperatures may reduce the number of unique metabolic pathways but are not associated with changes in pathway evenness.</w:t>
      </w:r>
    </w:p>
    <w:p w14:paraId="6B285B47" w14:textId="631615D7" w:rsidR="00DC3B0F" w:rsidRPr="00425751" w:rsidRDefault="00425751" w:rsidP="00425751">
      <w:pPr>
        <w:ind w:firstLine="720"/>
      </w:pPr>
      <w:r w:rsidRPr="00425751">
        <w:t xml:space="preserve">Together, these results support our hypothesis that ambient temperature is an important predictor of gut microbiome taxonomic composition and functional potential in a wild primate population. The observed loss of taxonomic and functional diversity is also </w:t>
      </w:r>
      <w:r w:rsidRPr="00425751">
        <w:lastRenderedPageBreak/>
        <w:t>consistent with our prediction that elevated temperatures predict gut microbiome composition characteristic of dysbiosis.</w:t>
      </w:r>
      <w:r w:rsidR="00404CDC">
        <w:t xml:space="preserve"> </w:t>
      </w:r>
    </w:p>
    <w:p w14:paraId="15BC4806" w14:textId="2926E119" w:rsidR="00B950D1" w:rsidRPr="00993EB2" w:rsidRDefault="00DC6599" w:rsidP="00993EB2">
      <w:pPr>
        <w:spacing w:after="0"/>
        <w:rPr>
          <w:b/>
          <w:bCs/>
        </w:rPr>
      </w:pPr>
      <w:r w:rsidRPr="00DC6599">
        <w:rPr>
          <w:b/>
          <w:bCs/>
        </w:rPr>
        <w:t xml:space="preserve">High temperatures predict changes </w:t>
      </w:r>
      <w:r w:rsidR="00425751">
        <w:rPr>
          <w:b/>
          <w:bCs/>
        </w:rPr>
        <w:t>in taxonomic composition consistent with experimentally induced heat stress.</w:t>
      </w:r>
      <w:r w:rsidR="00CF2986">
        <w:rPr>
          <w:b/>
          <w:bCs/>
        </w:rPr>
        <w:t xml:space="preserve"> </w:t>
      </w:r>
      <w:r w:rsidR="00CF2986">
        <w:t>To further investigate the specific taxonomic shifts predicted by temperature, we constructed log-ratios comparing the relative abundance of different groups of genera and used the same model comparison framework to evaluate the importance of temperature in predicting variation in these ratios.</w:t>
      </w:r>
      <w:r w:rsidR="00CF2986" w:rsidRPr="00CF2986">
        <w:t xml:space="preserve"> </w:t>
      </w:r>
      <w:r w:rsidR="00CF2986">
        <w:t xml:space="preserve">We constructed these ratios to capture broader community-level shifts that may be more relevant to host health and microbial homeostasis than focusing </w:t>
      </w:r>
      <w:r w:rsidR="00CF2986">
        <w:t>the analysis</w:t>
      </w:r>
      <w:r w:rsidR="00CF2986">
        <w:t xml:space="preserve"> on individual taxa</w:t>
      </w:r>
      <w:r w:rsidR="00CF2986">
        <w:t xml:space="preserve"> exclusively</w:t>
      </w:r>
      <w:r w:rsidR="00CF2986">
        <w:t>.</w:t>
      </w:r>
    </w:p>
    <w:p w14:paraId="30EC972D" w14:textId="291B4A8C" w:rsidR="00993EB2" w:rsidRDefault="00CF2986" w:rsidP="00993EB2">
      <w:pPr>
        <w:ind w:firstLine="720"/>
      </w:pPr>
      <w:r>
        <w:t xml:space="preserve">The first ratio captured broad taxonomic shifts commonly observed during heat stress by comparing the relative abundance of genera from the phylum Proteobacteria in the numerator to those from the phylum Firmicutes in the denominator. Increasing temperature was associated with higher relative abundances of Proteobacteria </w:t>
      </w:r>
      <w:r>
        <w:t>compared</w:t>
      </w:r>
      <w:r>
        <w:t xml:space="preserve"> to Firmicutes (β</w:t>
      </w:r>
      <w:r>
        <w:rPr>
          <w:vertAlign w:val="subscript"/>
        </w:rPr>
        <w:t>temp</w:t>
      </w:r>
      <w:r>
        <w:t xml:space="preserve"> = </w:t>
      </w:r>
      <w:r>
        <w:t>0.26</w:t>
      </w:r>
      <w:r>
        <w:t xml:space="preserve">; Fig. </w:t>
      </w:r>
      <w:r w:rsidR="00B950D1">
        <w:t>2A</w:t>
      </w:r>
      <w:r>
        <w:t>)</w:t>
      </w:r>
      <w:r>
        <w:t xml:space="preserve">. </w:t>
      </w:r>
      <w:r w:rsidR="00B950D1">
        <w:t>The temperature model accounted for 100% of the model weight</w:t>
      </w:r>
      <w:r w:rsidR="00B950D1">
        <w:t xml:space="preserve"> (Fig. 2B)</w:t>
      </w:r>
      <w:r w:rsidR="00B950D1">
        <w:t xml:space="preserve">, </w:t>
      </w:r>
      <w:r w:rsidR="00993EB2">
        <w:t>indicating that temperature was an important predictor of variation in this ratio.</w:t>
      </w:r>
      <w:r w:rsidR="00993EB2">
        <w:t xml:space="preserve"> </w:t>
      </w:r>
      <w:r w:rsidR="00993EB2">
        <w:t>This pattern closely mirrors microbiome responses to physiological heat stress reported across vertebrate taxa [e.g., reptiles (</w:t>
      </w:r>
      <w:proofErr w:type="spellStart"/>
      <w:r w:rsidR="00993EB2">
        <w:t>Bestion</w:t>
      </w:r>
      <w:proofErr w:type="spellEnd"/>
      <w:r w:rsidR="00993EB2">
        <w:t xml:space="preserve"> et al., 2017), birds (He et al., 2019; Zhu et al., 2019), mammals (Tajima et al., 2007)]</w:t>
      </w:r>
      <w:r w:rsidR="00993EB2">
        <w:t xml:space="preserve"> </w:t>
      </w:r>
      <w:r w:rsidR="00993EB2">
        <w:t>where other environmental variables are controlled</w:t>
      </w:r>
      <w:r w:rsidR="00993EB2">
        <w:t xml:space="preserve">. This suggests that </w:t>
      </w:r>
      <w:r w:rsidR="00993EB2">
        <w:t>at least part of the observed shift in community-level diversity may reflect direct physiological effects of high ambient temperatures, in addition to ecological and behavioral changes associated with hotter environments.</w:t>
      </w:r>
    </w:p>
    <w:p w14:paraId="4633CA9C" w14:textId="7F70774E" w:rsidR="00993EB2" w:rsidRDefault="00993EB2" w:rsidP="00B950D1">
      <w:pPr>
        <w:ind w:firstLine="720"/>
      </w:pPr>
    </w:p>
    <w:p w14:paraId="2E0AE1FD" w14:textId="35F8C4B0" w:rsidR="00B950D1" w:rsidRDefault="00CF2986" w:rsidP="00B950D1">
      <w:pPr>
        <w:ind w:firstLine="720"/>
      </w:pPr>
      <w:r>
        <w:t xml:space="preserve">This pattern closely mirrors microbiome responses to </w:t>
      </w:r>
      <w:r w:rsidR="00B950D1">
        <w:t xml:space="preserve">physiological heat stress reported across </w:t>
      </w:r>
      <w:r>
        <w:t>vertebrate taxa, including reptiles, birds, and mammals [e.g., reptiles (</w:t>
      </w:r>
      <w:proofErr w:type="spellStart"/>
      <w:r>
        <w:t>Bestion</w:t>
      </w:r>
      <w:proofErr w:type="spellEnd"/>
      <w:r>
        <w:t xml:space="preserve"> et al., 2017), birds (He et al., 2019; Zhu et al., 2019), mammals (Tajima et al., 2007)]. </w:t>
      </w:r>
    </w:p>
    <w:p w14:paraId="31D1E96F" w14:textId="77777777" w:rsidR="00B950D1" w:rsidRDefault="00B950D1" w:rsidP="00B950D1">
      <w:pPr>
        <w:ind w:firstLine="720"/>
      </w:pPr>
    </w:p>
    <w:p w14:paraId="0BEB103F" w14:textId="77777777" w:rsidR="00B950D1" w:rsidRPr="00B950D1" w:rsidRDefault="00B950D1" w:rsidP="00B950D1">
      <w:pPr>
        <w:ind w:firstLine="720"/>
        <w:rPr>
          <w:b/>
          <w:bCs/>
        </w:rPr>
      </w:pPr>
      <w:r>
        <w:t xml:space="preserve">These results suggest that at least part of the observed shift in community-level diversity may reflect direct physiological effects of high ambient temperatures, in addition to ecological and behavioral changes associated with hotter environments. This interpretation is supported by the fact that </w:t>
      </w:r>
      <w:r>
        <w:t xml:space="preserve">this observed pattern recapitulates changes reported in </w:t>
      </w:r>
      <w:r>
        <w:t>experimental heat stress studies</w:t>
      </w:r>
      <w:r>
        <w:t xml:space="preserve"> cross diverse study species where all other </w:t>
      </w:r>
      <w:r>
        <w:t>environmental variables are controlled.</w:t>
      </w:r>
    </w:p>
    <w:p w14:paraId="6FCC0244" w14:textId="53DB0898" w:rsidR="00B950D1" w:rsidRDefault="00B950D1" w:rsidP="00B950D1">
      <w:pPr>
        <w:ind w:firstLine="720"/>
      </w:pPr>
    </w:p>
    <w:p w14:paraId="42F9BF58" w14:textId="77777777" w:rsidR="00B950D1" w:rsidRDefault="00B950D1" w:rsidP="00B950D1">
      <w:pPr>
        <w:ind w:firstLine="720"/>
      </w:pPr>
    </w:p>
    <w:p w14:paraId="3EDBA9E9" w14:textId="007FD422" w:rsidR="00B950D1" w:rsidRPr="00B950D1" w:rsidRDefault="00B950D1" w:rsidP="00B950D1">
      <w:pPr>
        <w:ind w:firstLine="720"/>
        <w:rPr>
          <w:b/>
          <w:bCs/>
        </w:rPr>
      </w:pPr>
      <w:r>
        <w:lastRenderedPageBreak/>
        <w:t>many of the observed patterns parallel microbiome changes reported in experimental heat stress studies where other environmental variables are controlled.</w:t>
      </w:r>
    </w:p>
    <w:p w14:paraId="12CF7BF4" w14:textId="77777777" w:rsidR="00B950D1" w:rsidRDefault="00B950D1" w:rsidP="00CF2986"/>
    <w:p w14:paraId="15CD759D" w14:textId="294F849C" w:rsidR="00B950D1" w:rsidRDefault="00B950D1" w:rsidP="00B950D1">
      <w:r>
        <w:t xml:space="preserve">These results suggest that </w:t>
      </w:r>
      <w:r>
        <w:t xml:space="preserve">a proportion of the shift in community-level diversity may reflect physiological heat stress from exposure to high ambient temperatures, </w:t>
      </w:r>
      <w:r>
        <w:t xml:space="preserve">in addition to ecological </w:t>
      </w:r>
      <w:r>
        <w:t xml:space="preserve">and behavioral </w:t>
      </w:r>
      <w:r>
        <w:t>changes associated with hotter environments.</w:t>
      </w:r>
      <w:r>
        <w:t xml:space="preserve"> </w:t>
      </w:r>
      <w:r>
        <w:t>Because they replicate effects observed under physi</w:t>
      </w:r>
      <w:r>
        <w:t>olog</w:t>
      </w:r>
      <w:r>
        <w:t xml:space="preserve">ical heat stress when all other variables are kept constant. </w:t>
      </w:r>
    </w:p>
    <w:p w14:paraId="78C967F9" w14:textId="0625D5E4" w:rsidR="00B950D1" w:rsidRDefault="00B950D1" w:rsidP="00CF2986"/>
    <w:p w14:paraId="5423D805" w14:textId="77777777" w:rsidR="00B950D1" w:rsidRDefault="00B950D1" w:rsidP="00CF2986"/>
    <w:p w14:paraId="4234D6A7" w14:textId="7432BF3D" w:rsidR="00CF2986" w:rsidRDefault="00B950D1" w:rsidP="00CF2986">
      <w:r>
        <w:t>T</w:t>
      </w:r>
      <w:r w:rsidR="00CF2986">
        <w:t xml:space="preserve">hese results suggest that </w:t>
      </w:r>
      <w:r>
        <w:t>some of the</w:t>
      </w:r>
      <w:r w:rsidR="00CF2986">
        <w:t xml:space="preserve"> community-level changes observed in our earlier analys</w:t>
      </w:r>
      <w:r>
        <w:t>is</w:t>
      </w:r>
      <w:r w:rsidR="00CF2986">
        <w:t xml:space="preserve"> likely reflect direct physiological effects of heat stress itself, in addition to ecological changes associated with hotter environments. Because they replicate effects observed </w:t>
      </w:r>
      <w:proofErr w:type="spellStart"/>
      <w:r w:rsidR="00CF2986">
        <w:t>understa</w:t>
      </w:r>
      <w:proofErr w:type="spellEnd"/>
      <w:r w:rsidR="00CF2986">
        <w:t xml:space="preserve"> </w:t>
      </w:r>
      <w:proofErr w:type="spellStart"/>
      <w:r w:rsidR="00CF2986">
        <w:t>physikoglical</w:t>
      </w:r>
      <w:proofErr w:type="spellEnd"/>
      <w:r w:rsidR="00CF2986">
        <w:t xml:space="preserve"> heat stress when all other variables are kept constant. </w:t>
      </w:r>
    </w:p>
    <w:p w14:paraId="773D115A" w14:textId="77777777" w:rsidR="00CF2986" w:rsidRDefault="00CF2986" w:rsidP="001E5EDA"/>
    <w:p w14:paraId="35395AEA" w14:textId="77777777" w:rsidR="00CF2986" w:rsidRDefault="00CF2986" w:rsidP="001E5EDA"/>
    <w:p w14:paraId="47A6F920" w14:textId="0B499247" w:rsidR="001E5EDA" w:rsidRPr="00DC6599" w:rsidRDefault="00DC6599" w:rsidP="001E5EDA">
      <w:pPr>
        <w:rPr>
          <w:b/>
          <w:bCs/>
        </w:rPr>
      </w:pPr>
      <w:r>
        <w:rPr>
          <w:b/>
          <w:bCs/>
        </w:rPr>
        <w:t>High temperatures predict</w:t>
      </w:r>
      <w:r w:rsidRPr="00ED38E9">
        <w:rPr>
          <w:b/>
          <w:bCs/>
        </w:rPr>
        <w:t xml:space="preserve"> </w:t>
      </w:r>
      <w:r>
        <w:rPr>
          <w:b/>
          <w:bCs/>
        </w:rPr>
        <w:t xml:space="preserve">changes to gut microbiome taxonomic composition consistent with dysbiosis. </w:t>
      </w:r>
      <w:r w:rsidR="001E5EDA">
        <w:t xml:space="preserve">The second ratio focused more directly on taxonomic shifts relevant to host health. Specifically, we compared the relative abundance of facultative and pathobiont taxa—groups that commonly expand during dysbiosis and inflammatory disease—to obligately anaerobic fermenters that are typically associated with microbiome homeostasis and gut health. We found that increasing temperature predicted a relative expansion of facultative and pathobiont taxa compared to obligate anaerobic fermenters, and again the temperature model accounted for 100% of the model weight. Notably, the effect size for this ratio was greater than that observed for the </w:t>
      </w:r>
      <w:proofErr w:type="spellStart"/>
      <w:r w:rsidR="001E5EDA">
        <w:t>Proteobacteria:Firmicutes</w:t>
      </w:r>
      <w:proofErr w:type="spellEnd"/>
      <w:r w:rsidR="001E5EDA">
        <w:t xml:space="preserve"> comparison, suggesting that this ratio may more accurately capture the biologically meaningful taxonomic restructuring associated with elevated temperatures. These results indicate that high temperatures predict microbiome changes characteristic of dysbiosis, including the relative loss of obligate anaerobic commensals and the persistence or expansion of facultative and potentially pathogenic taxa.</w:t>
      </w:r>
    </w:p>
    <w:p w14:paraId="5C7E69B7" w14:textId="4847CD52" w:rsidR="001E5EDA" w:rsidRDefault="001E5EDA" w:rsidP="001E5EDA">
      <w:r>
        <w:t xml:space="preserve">To further investigate which taxa were driving these community-level patterns, we conducted differential abundance analyses at the family and genus levels. Using the same model selection framework, we found that temperature models provided the best fit (while accounting for model complexity) for 93 out of 163 taxa, with each accounting for at least </w:t>
      </w:r>
      <w:r>
        <w:lastRenderedPageBreak/>
        <w:t xml:space="preserve">50% of the total model weight. The majority of these taxa (82 of 93) declined in abundance with increasing temperature (Table S1). Most declining taxa belonged to the Firmicutes and </w:t>
      </w:r>
      <w:proofErr w:type="spellStart"/>
      <w:r>
        <w:t>Bacteroidota</w:t>
      </w:r>
      <w:proofErr w:type="spellEnd"/>
      <w:r>
        <w:t xml:space="preserve"> phyla and are commonly associated with obligately anaerobic commensal communities involved in fermentation and maintenance of a balanced gut environment. For example, several families containing key short-chain fatty acid (SCFA) producers—particularly butyrate-producing taxa—declined with rising temperatures, including </w:t>
      </w:r>
      <w:proofErr w:type="spellStart"/>
      <w:r>
        <w:t>Oscillospiraceae</w:t>
      </w:r>
      <w:proofErr w:type="spellEnd"/>
      <w:r>
        <w:t xml:space="preserve">, </w:t>
      </w:r>
      <w:proofErr w:type="spellStart"/>
      <w:r>
        <w:t>Ruminococcaceae</w:t>
      </w:r>
      <w:proofErr w:type="spellEnd"/>
      <w:r>
        <w:t xml:space="preserve">, and </w:t>
      </w:r>
      <w:proofErr w:type="spellStart"/>
      <w:r>
        <w:t>Butyricicoccaceae</w:t>
      </w:r>
      <w:proofErr w:type="spellEnd"/>
      <w:r>
        <w:t xml:space="preserve">. Similar patterns were observed at the genus level, including declines in well-known butyrate-producing genera such as </w:t>
      </w:r>
      <w:proofErr w:type="spellStart"/>
      <w:r>
        <w:t>Anaerostipes</w:t>
      </w:r>
      <w:proofErr w:type="spellEnd"/>
      <w:r>
        <w:t xml:space="preserve">, </w:t>
      </w:r>
      <w:proofErr w:type="spellStart"/>
      <w:r>
        <w:t>Blautia</w:t>
      </w:r>
      <w:proofErr w:type="spellEnd"/>
      <w:r>
        <w:t>, and several members of Clostridium.</w:t>
      </w:r>
    </w:p>
    <w:p w14:paraId="48F4DAF1" w14:textId="78AA6985" w:rsidR="00404CDC" w:rsidRPr="00940E8E" w:rsidRDefault="001E5EDA" w:rsidP="001E5EDA">
      <w:r>
        <w:t xml:space="preserve">In contrast, many taxa within the Proteobacteria and </w:t>
      </w:r>
      <w:proofErr w:type="spellStart"/>
      <w:r>
        <w:t>Actinobacteriota</w:t>
      </w:r>
      <w:proofErr w:type="spellEnd"/>
      <w:r>
        <w:t xml:space="preserve"> phyla appeared comparatively resilient to temperature-associated declines, with temperature often having little or no negative effect on their abundance. These temperature-resilient taxa included several genera commonly associated with opportunistic or inflammation-associated gut environments, including Klebsiella and Campylobacter, suggesting that elevated temperatures may disproportionately reduce obligate anaerobic commensals while allowing more oxygen-tolerant taxa to persist. We also observed an increase in the relative abundance of </w:t>
      </w:r>
      <w:proofErr w:type="spellStart"/>
      <w:r>
        <w:t>Helicobacteraceae</w:t>
      </w:r>
      <w:proofErr w:type="spellEnd"/>
      <w:r>
        <w:t>, a family containing mucosa-associated pathobionts frequently linked to gastrointestinal inflammation. Together, these differential abundance results support the community-level ratio analyses, indicating that rising temperatures predict a shift away from obligate anaerobic fermentative communities and toward facultative and pathobiont-associated taxa characteristic of dysbiosis.</w:t>
      </w:r>
    </w:p>
    <w:p w14:paraId="108FF321" w14:textId="1A3A0DF6" w:rsidR="00ED38E9" w:rsidRDefault="00DC6599" w:rsidP="00ED38E9">
      <w:r>
        <w:rPr>
          <w:b/>
          <w:bCs/>
        </w:rPr>
        <w:t>High t</w:t>
      </w:r>
      <w:r w:rsidR="00ED38E9" w:rsidRPr="00ED38E9">
        <w:rPr>
          <w:b/>
          <w:bCs/>
        </w:rPr>
        <w:t>emperature</w:t>
      </w:r>
      <w:r>
        <w:rPr>
          <w:b/>
          <w:bCs/>
        </w:rPr>
        <w:t>s</w:t>
      </w:r>
      <w:r w:rsidR="00ED38E9" w:rsidRPr="00ED38E9">
        <w:rPr>
          <w:b/>
          <w:bCs/>
        </w:rPr>
        <w:t xml:space="preserve"> predict </w:t>
      </w:r>
      <w:r w:rsidR="00ED38E9">
        <w:rPr>
          <w:b/>
          <w:bCs/>
        </w:rPr>
        <w:t xml:space="preserve">changes to gut microbiome </w:t>
      </w:r>
      <w:r w:rsidR="00ED38E9">
        <w:rPr>
          <w:b/>
          <w:bCs/>
        </w:rPr>
        <w:t>functional capacity</w:t>
      </w:r>
      <w:r w:rsidR="00ED38E9">
        <w:rPr>
          <w:b/>
          <w:bCs/>
        </w:rPr>
        <w:t xml:space="preserve"> </w:t>
      </w:r>
      <w:r w:rsidR="00DC3B0F">
        <w:rPr>
          <w:b/>
          <w:bCs/>
        </w:rPr>
        <w:t>consistent with</w:t>
      </w:r>
      <w:r w:rsidR="00ED38E9">
        <w:rPr>
          <w:b/>
          <w:bCs/>
        </w:rPr>
        <w:t xml:space="preserve"> dy</w:t>
      </w:r>
      <w:r w:rsidR="00ED38E9">
        <w:rPr>
          <w:b/>
          <w:bCs/>
        </w:rPr>
        <w:t>s</w:t>
      </w:r>
      <w:r w:rsidR="00ED38E9">
        <w:rPr>
          <w:b/>
          <w:bCs/>
        </w:rPr>
        <w:t xml:space="preserve">biosis. </w:t>
      </w:r>
    </w:p>
    <w:p w14:paraId="443A0082" w14:textId="77777777" w:rsidR="000B696C" w:rsidRDefault="000B696C" w:rsidP="005473E7">
      <w:r>
        <w:t>We also constructed log-ratios using functional pathway data to further investigate whether temperature predicted coordinated shifts in microbiome functional capacity that were congruent with the observed taxonomic changes. Similar to the taxonomic analyses, we constructed functional log-ratios to evaluate whether elevated temperatures predict broader functional restructuring of the gut microbiome characteristic of dysbiosis rather than isolated changes in individual pathways. We then used the same model comparison framework to evaluate the importance of temperature for predicting variation in these ratios.</w:t>
      </w:r>
    </w:p>
    <w:p w14:paraId="0DC33363" w14:textId="03969E0D" w:rsidR="000B696C" w:rsidRDefault="000B696C" w:rsidP="005473E7">
      <w:r>
        <w:t xml:space="preserve">The first ratio compared the relative abundance of pathways involved in opportunistic carbon metabolism—including the utilization of simple sugars and host-associated carbon sources such as glycans and mucins—to pathways involved in fermentative metabolism, including anaerobic carbon and amino acid fermentation. We found that opportunistic carbon metabolism increased relative to fermentative metabolism, with the temperature </w:t>
      </w:r>
      <w:r>
        <w:lastRenderedPageBreak/>
        <w:t>model accounting for 78% of the model weight. This functional shift was congruent with the observed taxonomic restructuring because opportunistic carbon metabolism is commonly associated with facultative and opportunistic taxa, whereas fermentative metabolism is characteristic of obligately anaerobic commensals that typically dominate healthy gut communities. The relative expansion of opportunistic carbon metabolism therefore parallels the increase in facultative taxa relative to obligate fermenters, likely reflecting the ability of facultative microbes to exploit host-derived and other opportunistic carbon sources under disturbed gut conditions.</w:t>
      </w:r>
    </w:p>
    <w:p w14:paraId="0C9BB037" w14:textId="09AAC4DF" w:rsidR="000B696C" w:rsidRDefault="00DC6599" w:rsidP="005473E7">
      <w:r>
        <w:rPr>
          <w:b/>
          <w:bCs/>
        </w:rPr>
        <w:t>High t</w:t>
      </w:r>
      <w:r w:rsidRPr="00ED38E9">
        <w:rPr>
          <w:b/>
          <w:bCs/>
        </w:rPr>
        <w:t>emperature</w:t>
      </w:r>
      <w:r>
        <w:rPr>
          <w:b/>
          <w:bCs/>
        </w:rPr>
        <w:t>s</w:t>
      </w:r>
      <w:r w:rsidRPr="00ED38E9">
        <w:rPr>
          <w:b/>
          <w:bCs/>
        </w:rPr>
        <w:t xml:space="preserve"> predict </w:t>
      </w:r>
      <w:r>
        <w:rPr>
          <w:b/>
          <w:bCs/>
        </w:rPr>
        <w:t>changes to gut microbiome functional capacity</w:t>
      </w:r>
      <w:r>
        <w:rPr>
          <w:b/>
          <w:bCs/>
        </w:rPr>
        <w:t xml:space="preserve"> </w:t>
      </w:r>
      <w:r w:rsidR="00425751">
        <w:rPr>
          <w:b/>
          <w:bCs/>
        </w:rPr>
        <w:t>with direct implications for host health.</w:t>
      </w:r>
      <w:r>
        <w:rPr>
          <w:b/>
          <w:bCs/>
        </w:rPr>
        <w:t xml:space="preserve"> </w:t>
      </w:r>
      <w:r>
        <w:rPr>
          <w:b/>
          <w:bCs/>
        </w:rPr>
        <w:t xml:space="preserve"> </w:t>
      </w:r>
      <w:r w:rsidR="000B696C">
        <w:t>To further investigate whether these functional shifts may have implications for host health, we constructed a second ratio comparing pathways associated with pathobiont-like metabolism to pathways associated with commensal metabolism. Pathobiont-associated pathways included the synthesis of membrane components recognized by and capable of stimulating the host immune system, including lipopolysaccharide (LPS), lipid A, KDO, ADP-heptose, and O-antigen biosynthesis pathways, as well as pathways involved in host glycan degradation associated with microbial utilization of the mucus layer. Excessive mucus degradation can compromise epithelial barrier integrity and promote inflammation and bacterial translocation across the intestinal epithelium. In contrast, commensal-associated pathways included those involved in anaerobic fermentation and short-chain fatty acid (SCFA) production, particularly butyrate synthesis, as well as polyamine biosynthesis pathways linked to epithelial integrity and anti-inflammatory effects, and B vitamin biosynthesis pathways that support host nutrient availability and redox balance. We found that pathobiont-associated metabolism increased relative to commensal-associated metabolism with rising temperatures, indicating a relative loss of microbial functions that support host health alongside an expansion of functions commonly associated with dysbiosis and inflammatory disease states.</w:t>
      </w:r>
    </w:p>
    <w:p w14:paraId="7EBABD9F" w14:textId="34571A60" w:rsidR="005473E7" w:rsidRDefault="000B696C" w:rsidP="005473E7">
      <w:r>
        <w:t xml:space="preserve">To identify which pathways were driving these community-level patterns, we next conducted pathway-level differential abundance analyses. Of the 277 pathways examined, 67 showed the temperature model as the best-supported model while accounting for at least 50% of the total model weight. Several individual pathways supported the broader patterns identified by the ratio analyses. For example, we observed a decrease in the relative abundance of the acetyl-CoA fermentation to butanoate pathway, a major anaerobic fermentation pathway responsible for producing the SCFA butyrate. Declines in this pathway at higher temperatures are consistent with reductions in obligately anaerobic fermentative taxa and may indicate reduced microbial capacity for butyrate production, with potential consequences for epithelial integrity and immune regulation. In contrast, we </w:t>
      </w:r>
      <w:r>
        <w:lastRenderedPageBreak/>
        <w:t>observed increases in pathways involved in lipopolysaccharide (LPS) biosynthesis in Gram-negative bacteria, consistent with the relative expansion of Gram-negative facultative taxa such as Proteobacteria and potentially indicating increased inflammatory potential. Together, these pathway-level results support the broader community-level analyses and suggest a relative loss of commensal-associated functions alongside an increase in functions typical of opportunistic and pathobiont-associated taxa.</w:t>
      </w:r>
      <w:r w:rsidR="005473E7">
        <w:t xml:space="preserve"> </w:t>
      </w:r>
    </w:p>
    <w:p w14:paraId="017436CD" w14:textId="4B3CFB06" w:rsidR="000B696C" w:rsidRDefault="000B696C" w:rsidP="000B696C">
      <w:r>
        <w:t>Finally, we identified strong temperature-associated trends in lipid metabolism that may reflect direct physiological effects of heat on microbial cells. Specifically, we observed decreases in pathways involved in lipid catabolism coupled with increases in lipid biosynthesis pathways. These changes may represent microbial responses aimed at maintaining cytoplasmic membrane integrity under elevated temperatures. Such patterns suggest that our results are not solely capturing indirect ecological changes associated with hotter environments, but may also reflect direct effects of heat stress on microbial physiology itself. These functional shifts may additionally favor the persistence or expansion of microbial groups better adapted to high-temperature or disturbed gut environments, including facultative and pathobiont-associated taxa.</w:t>
      </w:r>
    </w:p>
    <w:p w14:paraId="2A5AD1A8" w14:textId="598EBBE5" w:rsidR="00ED38E9" w:rsidRDefault="000B696C" w:rsidP="00534679">
      <w:r>
        <w:t>Overall, the functional results were highly congruent with the observed taxonomic shifts and indicate a relative loss of functions associated with obligately anaerobic commensal taxa alongside an increase in functions associated with Gram-negative facultative microbes. Although microbial communities can exhibit substantial functional redundancy, these findings demonstrate that the observed taxonomic restructuring was large enough to produce corresponding changes in community-level functional potential. Importantly, these functional changes may have direct implications for host health by increasing the relative abundance of pathways associated with immune activation and inflammation (e.g., LPS biosynthesis) while reducing pathways linked to anti-inflammatory and homeostatic functions such as butyrate production.</w:t>
      </w:r>
    </w:p>
    <w:p w14:paraId="71C0E363" w14:textId="77777777" w:rsidR="00B950D1" w:rsidRDefault="00B950D1" w:rsidP="00534679"/>
    <w:p w14:paraId="27542688" w14:textId="2AD9A9B7" w:rsidR="00B950D1" w:rsidRDefault="00B950D1" w:rsidP="00534679">
      <w:r>
        <w:t>This approach also reduces emphasis on isolated taxonomic changes and instead evaluates whether temperature predicts coordinated patterns characteristic of dysbiosis.</w:t>
      </w:r>
    </w:p>
    <w:p w14:paraId="3B619D3B" w14:textId="77777777" w:rsidR="00B950D1" w:rsidRDefault="00B950D1" w:rsidP="00534679"/>
    <w:p w14:paraId="47A0DAC5" w14:textId="401FFF0C" w:rsidR="006B3AA3" w:rsidRDefault="006B3AA3" w:rsidP="00534679">
      <w:r>
        <w:t xml:space="preserve">Discussion: </w:t>
      </w:r>
    </w:p>
    <w:p w14:paraId="30847A81" w14:textId="52A2BF19" w:rsidR="006B3AA3" w:rsidRDefault="006B3AA3" w:rsidP="006B3AA3">
      <w:r>
        <w:t xml:space="preserve">Our results support the hypothesis that ambient temperature is an important predictor of gut microbiome taxonomic composition and functional capacity in a wild non-human primate. More broadly, these findings demonstrate that naturally occurring variation in environmental temperature predicts gut microbiome restructuring in directions highly </w:t>
      </w:r>
      <w:r>
        <w:lastRenderedPageBreak/>
        <w:t>consistent with experimentally observed heat-stress responses across vertebrate taxa. These results underscore the importance of explicitly considering temperature in studies of wild animal microbiomes, particularly in primates, where many studies have characterized microbiome variation but relatively few have directly evaluated or controlled for ambient temperature. Importantly, the similarity between our results and experimentally induced heat-stress responses suggests that the physiological consequences of heat exposure itself—not solely ecological or behavioral changes associated with hotter environments—likely play an important role in shaping gut microbial communities in the wild. This interpretation is further supported by the strong functional shifts observed in lipid metabolism, which may reflect direct microbial physiological responses aimed at maintaining cytoplasmic membrane integrity under elevated temperatures.</w:t>
      </w:r>
    </w:p>
    <w:p w14:paraId="29520499" w14:textId="4889F387" w:rsidR="006B3AA3" w:rsidRDefault="006B3AA3" w:rsidP="006B3AA3">
      <w:r>
        <w:t>Importantly, the microbiome changes predicted by elevated temperature were not random shifts in community composition, but instead reflected coordinated taxonomic and functional restructuring characteristic of dysbiosis and loss of microbial homeostasis. Across both taxonomic and functional analyses, high temperatures predicted a relative loss of obligately anaerobic commensal taxa and fermentative metabolism alongside the persistence or expansion of facultative and pathobiont-associated microbes and inflammatory metabolic pathways. These changes included reduced abundance of key fermentative taxa and pathways associated with short-chain fatty acid production, coupled with increases in pathways involved in lipopolysaccharide biosynthesis, host glycan utilization, and opportunistic carbon metabolism. The congruence between taxonomic and functional shifts is particularly important because it demonstrates that temperature-associated restructuring was substantial enough to alter broader community-level functional potential rather than simply changing the identities of taxonomically redundant microbes. Together, these results suggest that elevated temperatures may destabilize gut microbial homeostasis in ways that could influence epithelial integrity, immune regulation, and inflammatory potential.</w:t>
      </w:r>
    </w:p>
    <w:p w14:paraId="3ECC0941" w14:textId="6F506CE3" w:rsidR="006B3AA3" w:rsidRDefault="006B3AA3" w:rsidP="006B3AA3">
      <w:r>
        <w:t xml:space="preserve">Although these shifts are consistent with direct physiological effects of heat stress, they were likely also influenced by ecological and behavioral changes associated with hotter environments. For example, changes in diet, water use, ranging behavior, and activity budgets during the dry season may also contribute to microbiome restructuring at high temperatures. In particular, dietary changes may be especially important because reductions in dietary fiber availability are known to promote loss of obligate anaerobic fermenters and increased utilization of host-derived carbon sources in both human and experimental animal systems. Future studies integrating detailed dietary data with microbiome analyses will therefore be critical for disentangling the relative contributions of </w:t>
      </w:r>
      <w:r>
        <w:lastRenderedPageBreak/>
        <w:t>direct physiological heat stress and indirect ecological changes associated with rising temperatures.</w:t>
      </w:r>
    </w:p>
    <w:p w14:paraId="74D45CF7" w14:textId="7B6E416A" w:rsidR="006B3AA3" w:rsidRDefault="006B3AA3" w:rsidP="006B3AA3">
      <w:r>
        <w:t>However, several aspects of our results suggest that physiological heat stress itself may be an important driver of these microbiome shifts. One mechanistic framework that may help explain these patterns is the “oxygen hypothesis” of dysbiosis, which proposes that disruptions to gut oxygen gradients allow facultatively anaerobic taxa to expand while disadvantaging obligate anaerobes that dominate healthy gut communities. This framework is particularly relevant in the context of heat stress because elevated temperatures can alter gut oxygenation and redox balance, potentially increasing oxygen availability and reactive oxygen species within the gut environment. Because obligate anaerobes often possess limited defenses against oxidative stress, these conditions may selectively favor facultative and aerotolerant microbes capable of exploiting disturbed gut environments. Such changes in the gut biochemical environment could help explain the relative expansion of opportunistic and pathobiont-associated taxa alongside reductions in obligate anaerobic fermenters observed at high temperatures in this study. More broadly, these findings suggest that physiological heat stress may directly destabilize microbial homeostasis in the gut, in addition to the ecological and behavioral consequences of hotter environments.</w:t>
      </w:r>
    </w:p>
    <w:p w14:paraId="0D4E0E68" w14:textId="4FD07093" w:rsidR="006B3AA3" w:rsidRDefault="006B3AA3" w:rsidP="006B3AA3">
      <w:r>
        <w:t>These findings represent some of the first evidence from a wild mammalian population, particularly a primate species, that elevated environmental temperatures predict gut microbiome restructuring in directions associated with dysbiosis and inflammatory microbial states. More broadly, these results contribute to a growing recognition that environmental conditions may play an important role in shaping susceptibility to inflammatory disease through their effects on host-associated microbial communities. Importantly, our results suggest that temperature may be an underappreciated environmental factor influencing gut microbial homeostasis, particularly in species living near their upper thermal limits. It is therefore possible that microbiome sensitivity to heat represents an overlooked component of host thermal tolerance. Because the gut microbiome contributes to immune regulation, metabolism, nutrient availability, and epithelial integrity, heat-associated destabilization of microbial communities may represent an indirect pathway through which elevated temperatures influence host health and fitness. From this perspective, selection for thermoregulatory strategies may not only protect host tissues from thermal damage, but also help maintain stable host–microbiome interactions under environmentally challenging conditions.</w:t>
      </w:r>
    </w:p>
    <w:p w14:paraId="57CB7FE9" w14:textId="068B5765" w:rsidR="006B3AA3" w:rsidRDefault="006B3AA3" w:rsidP="006B3AA3">
      <w:r>
        <w:t xml:space="preserve">These findings are particularly important in the context of ongoing anthropogenic climate change and globally rising temperatures. Although increasing attention has focused on the </w:t>
      </w:r>
      <w:r>
        <w:lastRenderedPageBreak/>
        <w:t>direct physiological consequences of heat exposure, our results suggest that elevated temperatures may also affect wild animals through disruptions to host-associated microbial communities. Such microbiome-mediated effects may represent an important but underappreciated mechanism linking heat exposure to health, survival, and reproductive performance in natural populations. Future work should therefore test whether the microbiome shifts observed here translate into measurable differences in host health, fitness, or reproductive outcomes. More broadly, understanding how organisms respond to warming environments will likely require integrating thermal physiology, immunology, microbial ecology, and host–microbiome interactions into a unified framework for understanding thermal adaptation and vulnerability in a rapidly changing climate.</w:t>
      </w:r>
    </w:p>
    <w:p w14:paraId="6722FC99" w14:textId="77777777" w:rsidR="006B3AA3" w:rsidRDefault="006B3AA3" w:rsidP="00534679"/>
    <w:p w14:paraId="1D82A153" w14:textId="77777777" w:rsidR="006B3AA3" w:rsidRDefault="006B3AA3" w:rsidP="00534679"/>
    <w:p w14:paraId="592FE72D" w14:textId="4441706B" w:rsidR="00ED38E9" w:rsidRDefault="00DC6599" w:rsidP="00534679">
      <w:r>
        <w:t>Discussion</w:t>
      </w:r>
      <w:r w:rsidR="006B3AA3">
        <w:t>2</w:t>
      </w:r>
      <w:r>
        <w:t xml:space="preserve">: </w:t>
      </w:r>
    </w:p>
    <w:p w14:paraId="195FC02F" w14:textId="457D5E34" w:rsidR="00ED38E9" w:rsidRDefault="00DC6599" w:rsidP="00534679">
      <w:r>
        <w:t>Our results support our hypothesis that ambient temperature is an important predictor of gut microbiome taxonomic composition and functional capacity in a wild non-human primate. Our</w:t>
      </w:r>
      <w:r w:rsidRPr="00DC6599">
        <w:t xml:space="preserve"> findings underscore the importance of explicitly considering temperature in studies of wild animal microbiomes, particularly in primates, </w:t>
      </w:r>
      <w:r>
        <w:t xml:space="preserve">where much wild research has been conducted but little has focused on the influence or even controlled for ambient temperature. </w:t>
      </w:r>
      <w:r w:rsidR="0083465A">
        <w:t xml:space="preserve">Our results also support our prediction that </w:t>
      </w:r>
      <w:r w:rsidR="0083465A">
        <w:t xml:space="preserve">increasing ambient temperature </w:t>
      </w:r>
      <w:r w:rsidR="0083465A">
        <w:t>is associated with</w:t>
      </w:r>
      <w:r w:rsidR="0083465A">
        <w:t xml:space="preserve"> gut microbiome shifts that closely mirror patterns observed in experimental heat-stress studies across a wide range of taxa.</w:t>
      </w:r>
      <w:r w:rsidR="0083465A">
        <w:t xml:space="preserve"> So while broad-scale shifts in community-level diversity are likely driven by both ambient temperature and ecological changes</w:t>
      </w:r>
      <w:r w:rsidR="00FD115A">
        <w:t>,</w:t>
      </w:r>
      <w:r w:rsidR="0083465A">
        <w:t xml:space="preserve"> behavioral changes correlated with high temperatures (e.g., changes in diet, water sources, ranging behavior, and activity budgets), it is likely that th</w:t>
      </w:r>
      <w:r w:rsidR="00FD115A">
        <w:t>e</w:t>
      </w:r>
      <w:r w:rsidR="0083465A">
        <w:t xml:space="preserve"> consequences of physiological heat stress experiences at high ambient temperatures also contributed to these results. This is true also true for the functional capacity</w:t>
      </w:r>
      <w:r w:rsidR="00FD115A">
        <w:t>,</w:t>
      </w:r>
      <w:r w:rsidR="0083465A">
        <w:t xml:space="preserve"> given the stark patterns in changes in lipid metabolism that may reflect the restriction of cytoplasmic membranes to counteract increased fluidity at high temperatures.  </w:t>
      </w:r>
    </w:p>
    <w:p w14:paraId="07164B9E" w14:textId="4F194A57" w:rsidR="00C245FF" w:rsidRDefault="00FD115A" w:rsidP="00C245FF">
      <w:r>
        <w:t xml:space="preserve">Importantly, the majority of our results supported our predictions that high temperatures would predict changes in gut microbiome taxonomic composition and functional potential canonical of dysbiosis. Here we illustrate three changes typical of high temperature that are typical of dysbiosis and commonly associated with inflammatory diseases, including (1) loss of taxonomic and functional diversity (2) relative loss of commensal taxa and their health-supporting functions (3) relative expansion of opportunistic and pathobiont taxa </w:t>
      </w:r>
      <w:r>
        <w:lastRenderedPageBreak/>
        <w:t>and their immune antagonizing functions. As mentioned previously, these shifts are likely due to both the influence of ambient temperature and physiological health stress as well as other vari</w:t>
      </w:r>
      <w:r w:rsidR="00C245FF">
        <w:t>abl</w:t>
      </w:r>
      <w:r>
        <w:t xml:space="preserve">es associated with temperature that we were not able to test for in this study including ecological and behavioral changes typical of the dry season when temperatures are the highest. </w:t>
      </w:r>
      <w:r w:rsidR="00C245FF">
        <w:t xml:space="preserve">Changes in diet could also be responsible for this and </w:t>
      </w:r>
      <w:r w:rsidR="00C245FF">
        <w:t xml:space="preserve">future studies would do well to test this hypothesis in tandem with </w:t>
      </w:r>
      <w:r w:rsidR="00C245FF">
        <w:t xml:space="preserve">a full dietary analysis that focuses on dietary components specifically fiber as lack of dietary fiber has been shown to precede the changes in human and mouse models. </w:t>
      </w:r>
    </w:p>
    <w:p w14:paraId="10F4E589" w14:textId="334B4069" w:rsidR="0083465A" w:rsidRDefault="00C245FF" w:rsidP="00534679">
      <w:proofErr w:type="spellStart"/>
      <w:r>
        <w:t>Howeverv</w:t>
      </w:r>
      <w:proofErr w:type="spellEnd"/>
      <w:r>
        <w:t xml:space="preserve"> it’s also possible that these changes are precipitated by heat stress from exposure to high ambient temperatures. One of the hypotheses that drives these changes consistent with dy</w:t>
      </w:r>
      <w:r w:rsidR="004B2B5B">
        <w:t>s</w:t>
      </w:r>
      <w:r>
        <w:t>biosis is the oxygen hypothesi</w:t>
      </w:r>
      <w:r w:rsidR="004B2B5B">
        <w:t xml:space="preserve">s that posits that changes in the oxygen environment of the gut allow for facultatively anaerobe taxa to bloom and outcompete obligate anaerobes that typically dominate a healthy microbiome. This hypothesis is particularly relevant for changes observed in gut microbiome under heat stress because heat stress affects the oxygen gradients of the gut, often allowing for periods of high oxygen content for which obligate anaerobes aren’t able to tolerate because of their limited defense mechanisms against free radicals. These changes in the biochemical environment could help explain the relative expansion of opportunistic and pathobiont taxa compared to known commensals predicted at high temperatures and also further illustrate that physiological heat stress could be an important component of these results in addition to behavioral and ecological changes experienced at high temperatures. </w:t>
      </w:r>
    </w:p>
    <w:p w14:paraId="4C1CECA6" w14:textId="29E2AA23" w:rsidR="00ED38E9" w:rsidRDefault="00C245FF" w:rsidP="00534679">
      <w:r>
        <w:t>These results represent some of the first evidence for these effects from a wild mammalian population, specifically primates, at how the physiological and environmental consequences of high temperatures may affect individuals through their gut microbiome</w:t>
      </w:r>
      <w:r w:rsidR="004B2B5B">
        <w:t>s</w:t>
      </w:r>
      <w:r>
        <w:t xml:space="preserve">. </w:t>
      </w:r>
      <w:r w:rsidR="004B2B5B">
        <w:t>These results are i</w:t>
      </w:r>
      <w:r>
        <w:t>mportant that we are still at the precipice of understanding the environmental components of inflammatory bowel disease. This study gets us one step closer and has us truly consider when temperature, and the changes to our environments and behavior driven by exposure to high temperature, is an important component of understanding the development of inflammatory diseases. It is possible that the role of the microbiome response to heat stress has played an important role in s</w:t>
      </w:r>
      <w:r w:rsidR="004B2B5B">
        <w:t>elec</w:t>
      </w:r>
      <w:r>
        <w:t>ting for and constraining the heat tolerance of its host species</w:t>
      </w:r>
      <w:r w:rsidR="004B2B5B">
        <w:t xml:space="preserve"> through the negative consequences of heat on microbiome composition and function. </w:t>
      </w:r>
    </w:p>
    <w:p w14:paraId="2B9406C0" w14:textId="6E7B7D20" w:rsidR="004B2B5B" w:rsidRDefault="004B2B5B" w:rsidP="00534679">
      <w:r>
        <w:t xml:space="preserve">These results come at an important time with globally rising temperature due to anthropogenic climate change. These are some of the first results that show that the impact of high temperature could impact the longevity of wild animal population through impacts on their microbiomes. Help inform the proximate mechanisms linking heat </w:t>
      </w:r>
      <w:r>
        <w:lastRenderedPageBreak/>
        <w:t xml:space="preserve">exposure to reproductive success. To take this a step </w:t>
      </w:r>
      <w:proofErr w:type="spellStart"/>
      <w:r>
        <w:t>futher</w:t>
      </w:r>
      <w:proofErr w:type="spellEnd"/>
      <w:r>
        <w:t xml:space="preserve">, we would </w:t>
      </w:r>
      <w:proofErr w:type="spellStart"/>
      <w:r>
        <w:t>idealy</w:t>
      </w:r>
      <w:proofErr w:type="spellEnd"/>
      <w:r>
        <w:t xml:space="preserve"> test whether these gut microbiome shifts translate into differences in health, survival, or reproductive outcomes of individuals.  It will also be critical to continue to measure these effects as our climate continues to warm.  But these results lay a </w:t>
      </w:r>
      <w:proofErr w:type="spellStart"/>
      <w:r>
        <w:t>cirticla</w:t>
      </w:r>
      <w:proofErr w:type="spellEnd"/>
      <w:r>
        <w:t xml:space="preserve"> foundation for </w:t>
      </w:r>
      <w:proofErr w:type="spellStart"/>
      <w:r>
        <w:t>hundertsanding</w:t>
      </w:r>
      <w:proofErr w:type="spellEnd"/>
      <w:r>
        <w:t xml:space="preserve"> how organisms respond to </w:t>
      </w:r>
      <w:proofErr w:type="spellStart"/>
      <w:r>
        <w:t>hea</w:t>
      </w:r>
      <w:proofErr w:type="spellEnd"/>
      <w:r>
        <w:t xml:space="preserve"> together and how rising </w:t>
      </w:r>
      <w:proofErr w:type="spellStart"/>
      <w:r>
        <w:t>temperautres</w:t>
      </w:r>
      <w:proofErr w:type="spellEnd"/>
      <w:r>
        <w:t xml:space="preserve"> may shape the health of wild animal and humans in the future. </w:t>
      </w:r>
    </w:p>
    <w:p w14:paraId="43F2287E" w14:textId="77777777" w:rsidR="00ED38E9" w:rsidRDefault="00ED38E9" w:rsidP="00534679"/>
    <w:p w14:paraId="232ED968" w14:textId="0CAF80F0" w:rsidR="00534679" w:rsidRDefault="00534679" w:rsidP="00534679">
      <w:r>
        <w:t xml:space="preserve">Introduction: </w:t>
      </w:r>
    </w:p>
    <w:p w14:paraId="1EB06D6C" w14:textId="49781A52" w:rsidR="00F042CC" w:rsidRDefault="00F042CC" w:rsidP="00534679">
      <w:r>
        <w:t>T</w:t>
      </w:r>
      <w:r>
        <w:t>hermal environments impose distinct selective pressures on individuals</w:t>
      </w:r>
      <w:r>
        <w:t xml:space="preserve"> as evidences that species have </w:t>
      </w:r>
      <w:proofErr w:type="spellStart"/>
      <w:r>
        <w:t>ecolved</w:t>
      </w:r>
      <w:proofErr w:type="spellEnd"/>
      <w:r>
        <w:t xml:space="preserve"> thermal tolerances that reflect the ranges of their environments. </w:t>
      </w:r>
    </w:p>
    <w:p w14:paraId="7AAF4C21" w14:textId="6C22309C" w:rsidR="00F042CC" w:rsidRDefault="00F042CC" w:rsidP="00534679">
      <w:r>
        <w:t>Temperature is a ubiquitous environmental stressor</w:t>
      </w:r>
      <w:r>
        <w:t xml:space="preserve"> as evidenced by </w:t>
      </w:r>
    </w:p>
    <w:p w14:paraId="0C580A28" w14:textId="77777777" w:rsidR="00F042CC" w:rsidRDefault="00F042CC" w:rsidP="00534679"/>
    <w:p w14:paraId="5DA603D2" w14:textId="77777777" w:rsidR="00F042CC" w:rsidRDefault="00F042CC" w:rsidP="00534679"/>
    <w:p w14:paraId="6749395D" w14:textId="71A3FDBE" w:rsidR="00A60737" w:rsidRDefault="00A60737" w:rsidP="00A60737">
      <w:pPr>
        <w:ind w:firstLine="720"/>
      </w:pPr>
      <w:r>
        <w:t>Temperature is a ubiquitous environmental stressor</w:t>
      </w:r>
      <w:r>
        <w:t xml:space="preserve"> because thermal conditions directly influence metabolic rate. </w:t>
      </w:r>
      <w:r>
        <w:t>Elevated temperatures, in particular, can impose strong constraints on essential biological processes by destabilizing cells and increasing oxygen demands, making it difficult to maintain proper metabolic function.</w:t>
      </w:r>
      <w:r>
        <w:t xml:space="preserve"> As a result, heat exposure </w:t>
      </w:r>
      <w:r w:rsidR="0000244F">
        <w:t xml:space="preserve">may </w:t>
      </w:r>
      <w:r>
        <w:t>impair growth and reproduction</w:t>
      </w:r>
      <w:r w:rsidRPr="00A60737">
        <w:t xml:space="preserve"> </w:t>
      </w:r>
      <w:r>
        <w:t>and, in extreme cases, lead to tissue damage and death</w:t>
      </w:r>
      <w:r>
        <w:t xml:space="preserve">. </w:t>
      </w:r>
      <w:r>
        <w:t>Consequently, understanding how organisms respond to ambient heat is essential for predicting how thermal environments shape individual health and fitness outcomes.</w:t>
      </w:r>
      <w:r w:rsidR="0000244F">
        <w:t xml:space="preserve"> </w:t>
      </w:r>
    </w:p>
    <w:p w14:paraId="2C236539" w14:textId="77777777" w:rsidR="0000244F" w:rsidRDefault="0000244F" w:rsidP="00A60737">
      <w:pPr>
        <w:ind w:firstLine="720"/>
      </w:pPr>
    </w:p>
    <w:p w14:paraId="40DE6744" w14:textId="05FF0693" w:rsidR="0000244F" w:rsidRDefault="0000244F" w:rsidP="0000244F">
      <w:r>
        <w:t xml:space="preserve">Most evolutionarily minded research investigating this has focused on evaluating evidence of selection for </w:t>
      </w:r>
      <w:proofErr w:type="spellStart"/>
      <w:r>
        <w:t>themroregualtory</w:t>
      </w:r>
      <w:proofErr w:type="spellEnd"/>
      <w:r>
        <w:t xml:space="preserve"> adaptations</w:t>
      </w:r>
      <w:r>
        <w:t xml:space="preserve"> that help keep individuals cool. However, much less research has </w:t>
      </w:r>
    </w:p>
    <w:p w14:paraId="00B5AA7B" w14:textId="6AC748D6" w:rsidR="00A60737" w:rsidRDefault="0000244F" w:rsidP="00534679">
      <w:r>
        <w:t>Consequently, understanding how organisms respond to ambient heat is essential for predicting how thermal environments shape individual health and fitness outcomes. Most evolutionarily oriented research on this topic has focused on evidence of selection for thermoregulatory adaptations that help individuals avoid overheating and maintain stable body temperatures. However, comparatively less attention has been given to how elevated temperatures directly constrain underlying biological processes, even in species with behavioral or physiological mechanisms that buffer heat exposure.</w:t>
      </w:r>
    </w:p>
    <w:p w14:paraId="45D3C90A" w14:textId="5A845E85" w:rsidR="00A60737" w:rsidRDefault="00A60737" w:rsidP="00534679">
      <w:r>
        <w:lastRenderedPageBreak/>
        <w:t xml:space="preserve"> Most research investigating this focuses on evidence of selection </w:t>
      </w:r>
      <w:proofErr w:type="spellStart"/>
      <w:r>
        <w:t>ofr</w:t>
      </w:r>
      <w:proofErr w:type="spellEnd"/>
      <w:r>
        <w:t xml:space="preserve"> </w:t>
      </w:r>
      <w:proofErr w:type="spellStart"/>
      <w:r>
        <w:t>themroregualtory</w:t>
      </w:r>
      <w:proofErr w:type="spellEnd"/>
      <w:r>
        <w:t xml:space="preserve"> adaptations to </w:t>
      </w:r>
      <w:proofErr w:type="spellStart"/>
      <w:r>
        <w:t>disaperseheat</w:t>
      </w:r>
      <w:proofErr w:type="spellEnd"/>
      <w:r>
        <w:t xml:space="preserve"> load or remain cool </w:t>
      </w:r>
    </w:p>
    <w:p w14:paraId="40EE06FB" w14:textId="02D08F09" w:rsidR="00A60737" w:rsidRDefault="00A60737" w:rsidP="00534679">
      <w:r>
        <w:t xml:space="preserve">But much less research </w:t>
      </w:r>
      <w:proofErr w:type="spellStart"/>
      <w:r>
        <w:t>invetgafets</w:t>
      </w:r>
      <w:proofErr w:type="spellEnd"/>
      <w:r>
        <w:t xml:space="preserve"> how these </w:t>
      </w:r>
      <w:proofErr w:type="spellStart"/>
      <w:r>
        <w:t>emchanisms</w:t>
      </w:r>
      <w:proofErr w:type="spellEnd"/>
      <w:r>
        <w:t xml:space="preserve"> actually play out in the real world </w:t>
      </w:r>
    </w:p>
    <w:p w14:paraId="6314AE71" w14:textId="306C7D4C" w:rsidR="00A60737" w:rsidRDefault="00A60737" w:rsidP="00534679">
      <w:r>
        <w:t xml:space="preserve">Really important for us to understand with climate change </w:t>
      </w:r>
      <w:proofErr w:type="spellStart"/>
      <w:r>
        <w:t>excposing</w:t>
      </w:r>
      <w:proofErr w:type="spellEnd"/>
      <w:r>
        <w:t xml:space="preserve"> animals to temperature they haven’t evolved adaptations to deal with </w:t>
      </w:r>
    </w:p>
    <w:p w14:paraId="373EADDC" w14:textId="77777777" w:rsidR="00A60737" w:rsidRDefault="00A60737" w:rsidP="00534679"/>
    <w:p w14:paraId="3783A260" w14:textId="64F51449" w:rsidR="00A60737" w:rsidRDefault="00F77EDF" w:rsidP="00534679">
      <w:r>
        <w:t xml:space="preserve">Temperature is a ubiquitous environmental stressor </w:t>
      </w:r>
      <w:r w:rsidR="00A60737">
        <w:t xml:space="preserve">that imposes distinct selective pressures on </w:t>
      </w:r>
      <w:proofErr w:type="spellStart"/>
      <w:r w:rsidR="00A60737">
        <w:t>individivual</w:t>
      </w:r>
      <w:proofErr w:type="spellEnd"/>
      <w:r w:rsidR="00A60737">
        <w:t xml:space="preserve"> as </w:t>
      </w:r>
      <w:proofErr w:type="spellStart"/>
      <w:r w:rsidR="00A60737">
        <w:t>ecvicence</w:t>
      </w:r>
      <w:proofErr w:type="spellEnd"/>
      <w:r w:rsidR="00A60737">
        <w:t xml:space="preserve"> that species have evolved thermal </w:t>
      </w:r>
      <w:proofErr w:type="spellStart"/>
      <w:r w:rsidR="00A60737">
        <w:t>toelrane</w:t>
      </w:r>
      <w:proofErr w:type="spellEnd"/>
      <w:r w:rsidR="00A60737">
        <w:t xml:space="preserve"> to reflect the temperature ranges of their environments. </w:t>
      </w:r>
      <w:r w:rsidR="00A60737">
        <w:t>Elevated temperatures, in particular, impose strong constraints on biological processes by destabilizing cells and increasing oxygen demands</w:t>
      </w:r>
    </w:p>
    <w:p w14:paraId="22EBF084" w14:textId="77777777" w:rsidR="00A60737" w:rsidRDefault="00A60737" w:rsidP="00534679"/>
    <w:p w14:paraId="7572D76C" w14:textId="77777777" w:rsidR="00A60737" w:rsidRDefault="00A60737" w:rsidP="00534679"/>
    <w:p w14:paraId="68C2E247" w14:textId="5076B7B7" w:rsidR="00F77EDF" w:rsidRDefault="00F77EDF" w:rsidP="00534679">
      <w:r>
        <w:t xml:space="preserve">that has shaped the evolution of diverse behavioral and physiological mechanisms for regulating internal conditions in response to ambient environments </w:t>
      </w:r>
      <w:r>
        <w:fldChar w:fldCharType="begin"/>
      </w:r>
      <w:r>
        <w:instrText xml:space="preserve"> ADDIN ZOTERO_ITEM CSL_CITATION {"citationID":"DYC0kSl8","properties":{"formattedCitation":"(Micheal &amp; Angilletta, 2009)","plainCitation":"(Micheal &amp; Angilletta, 2009)","noteIndex":0},"citationItems":[{"id":7549,"uris":["http://zotero.org/users/13901503/items/XHDE6DQ4"],"itemData":{"id":7549,"type":"book","original-publisher":"Oxford University Press","title":"Thermal adaptation: a theoretical and empirical synthesis","author":[{"family":"Micheal","given":"J"},{"family":"Angilletta","given":"JR"}],"issued":{"date-parts":[["2009"]]}}}],"schema":"https://github.com/citation-style-language/schema/raw/master/csl-citation.json"} </w:instrText>
      </w:r>
      <w:r>
        <w:fldChar w:fldCharType="separate"/>
      </w:r>
      <w:r>
        <w:rPr>
          <w:noProof/>
        </w:rPr>
        <w:t>(Micheal &amp; Angilletta, 2009)</w:t>
      </w:r>
      <w:r>
        <w:fldChar w:fldCharType="end"/>
      </w:r>
      <w:r>
        <w:t xml:space="preserve">. Elevated temperatures, in particular, impose strong constraints on </w:t>
      </w:r>
      <w:r>
        <w:t>biological processes by</w:t>
      </w:r>
      <w:r>
        <w:t xml:space="preserve"> destabilizing cells and increasing oxygen demands </w:t>
      </w:r>
      <w:r>
        <w:fldChar w:fldCharType="begin"/>
      </w:r>
      <w:r>
        <w:instrText xml:space="preserve"> ADDIN ZOTERO_ITEM CSL_CITATION {"citationID":"lOxSMCC4","properties":{"formattedCitation":"(P\\uc0\\u246{}rtner, 2002; Somero, 2020)","plainCitation":"(Pörtner, 2002; Somero, 2020)","noteIndex":0},"citationItems":[{"id":880,"uris":["http://zotero.org/users/13901503/items/V9GCQWSJ"],"itemData":{"id":880,"type":"article-journal","container-title":"Comparative Biochemistry and Physiology Part A: Molecular &amp; Integrative Physiology","DOI":"10.1016/S1095-6433(02)00045-4","ISSN":"10956433","issue":"4","journalAbbreviation":"Comp Biochem Physiol A Mol Integr Physiol","language":"en","license":"https://www.elsevier.com/tdm/userlicense/1.0/","page":"739-761","source":"DOI.org (Crossref)","title":"Climate variations and the physiological basis of temperature dependent biogeography: systemic to molecular hierarchy of thermal tolerance in animals","title-short":"Climate variations and the physiological basis of temperature dependent biogeography","volume":"132","author":[{"family":"Pörtner","given":"H.O"}],"issued":{"date-parts":[["2002",8]]}}},{"id":5026,"uris":["http://zotero.org/groups/6297082/items/YT8DPUP4"],"itemData":{"id":5026,"type":"article-journal","abstract":"The cellular stress response (CSR) is critical for enabling organisms to cope with thermal damage to proteins, nucleic acids, and membranes. It is a graded response whose properties vary with the degree of cellular damage. Molecular damage has positive, as well as negative, function-perturbing effects. Positive effects include crucial regulatory interactions that orchestrate involvement of the different components of the CSR. Thermally unfolded proteins signal for rapid initiation of transcription of genes encoding heat shock proteins (HSPs), central elements of the heat shock response (HSR). Thermal disruption of messenger RNA (mRNA) secondary structures in untranslated regions leads to the culling of the mRNA pool: thermally labile mRNAs for housekeeping proteins are degraded by exonucleases; heat-resistant mRNAs for stress proteins like HSPs then can monopolize the translational apparatus. Thus, proteins and RNA function as “cellular thermometers,” and evolved differences in their thermal stabilities enable rapid initiation of the CSR whenever cell temperature rises significantly above the normal thermal range of a species. Covalent DNA damage, which may result from increased production of reactive oxygen species, is temperature-dependent; its extent may determine cellular survival. High levels of stress that exceed capacities for molecular repair can lead to proteolysis, inhibition of cell division, and programmed cell death (apoptosis). Onset of these processes may occur later in the stress period, after initiation of the HSR, to allow HSPs opportunity to restore protein homeostasis. Delay of these energy costly processes may also result from shortfalls in availability of adenosine triphosphate and reducing power during times of peak stress.","container-title":"Journal of Experimental Zoology Part A: Ecological and Integrative Physiology","DOI":"10.1002/jez.2344","ISSN":"2471-5646","issue":"6","language":"en","license":"© 2020 Wiley Periodicals, Inc.","note":"_eprint: https://onlinelibrary.wiley.com/doi/pdf/10.1002/jez.2344","page":"379-397","source":"Wiley Online Library","title":"The cellular stress response and temperature: Function, regulation, and evolution","title-short":"The cellular stress response and temperature","volume":"333","author":[{"family":"Somero","given":"George N."}],"issued":{"date-parts":[["2020"]]}}}],"schema":"https://github.com/citation-style-language/schema/raw/master/csl-citation.json"} </w:instrText>
      </w:r>
      <w:r>
        <w:fldChar w:fldCharType="separate"/>
      </w:r>
      <w:r w:rsidRPr="009A0183">
        <w:t>(</w:t>
      </w:r>
      <w:proofErr w:type="spellStart"/>
      <w:r w:rsidRPr="009A0183">
        <w:t>Pörtner</w:t>
      </w:r>
      <w:proofErr w:type="spellEnd"/>
      <w:r w:rsidRPr="009A0183">
        <w:t>, 2002; Somero, 2020)</w:t>
      </w:r>
      <w:r>
        <w:fldChar w:fldCharType="end"/>
      </w:r>
      <w:r>
        <w:t>.</w:t>
      </w:r>
    </w:p>
    <w:p w14:paraId="6C476C70" w14:textId="77777777" w:rsidR="00F77EDF" w:rsidRDefault="00F77EDF" w:rsidP="00534679"/>
    <w:p w14:paraId="2EE5E59A" w14:textId="77777777" w:rsidR="00F77EDF" w:rsidRDefault="00F77EDF" w:rsidP="00534679"/>
    <w:p w14:paraId="2D4A3B2C" w14:textId="3039DA30" w:rsidR="00F77EDF" w:rsidRDefault="00F77EDF" w:rsidP="00534679">
      <w:r>
        <w:t>Temperature is a ubiquitous environmental stressor</w:t>
      </w:r>
      <w:r>
        <w:t xml:space="preserve"> because </w:t>
      </w:r>
      <w:r>
        <w:t>thermal conditions directly influence metabolic rate.</w:t>
      </w:r>
    </w:p>
    <w:p w14:paraId="3202BC8E" w14:textId="77777777" w:rsidR="00F77EDF" w:rsidRDefault="00F77EDF" w:rsidP="00534679"/>
    <w:p w14:paraId="12C85261" w14:textId="77777777" w:rsidR="00F77EDF" w:rsidRDefault="00F77EDF" w:rsidP="00534679"/>
    <w:p w14:paraId="208E175D" w14:textId="661C7A4D" w:rsidR="00F77EDF" w:rsidRDefault="00F77EDF" w:rsidP="00534679">
      <w:r>
        <w:t xml:space="preserve">Temperature is a ubiquitous environmental stressor </w:t>
      </w:r>
      <w:r>
        <w:t xml:space="preserve">that imposes </w:t>
      </w:r>
      <w:r>
        <w:t>distinct selective pressures on individuals</w:t>
      </w:r>
      <w:r>
        <w:t xml:space="preserve">. </w:t>
      </w:r>
    </w:p>
    <w:p w14:paraId="0B1BD880" w14:textId="77777777" w:rsidR="00F77EDF" w:rsidRDefault="00F77EDF" w:rsidP="00534679"/>
    <w:p w14:paraId="236A1C00" w14:textId="77777777" w:rsidR="00F77EDF" w:rsidRDefault="00F77EDF" w:rsidP="00534679"/>
    <w:p w14:paraId="5B3E7200" w14:textId="77777777" w:rsidR="00F77EDF" w:rsidRDefault="00F77EDF" w:rsidP="00534679"/>
    <w:p w14:paraId="226D8A38" w14:textId="77777777" w:rsidR="00F77EDF" w:rsidRDefault="00F77EDF" w:rsidP="00534679"/>
    <w:p w14:paraId="4E29A653" w14:textId="05A83E60" w:rsidR="00534679" w:rsidRPr="00534679" w:rsidRDefault="00F77EDF" w:rsidP="00534679">
      <w:pPr>
        <w:rPr>
          <w:sz w:val="28"/>
          <w:szCs w:val="28"/>
        </w:rPr>
      </w:pPr>
      <w:r>
        <w:t xml:space="preserve">that has shaped the evolution of diverse behavioral and physiological mechanisms for regulating internal conditions in response to ambient environments </w:t>
      </w:r>
      <w:r>
        <w:fldChar w:fldCharType="begin"/>
      </w:r>
      <w:r>
        <w:instrText xml:space="preserve"> ADDIN ZOTERO_ITEM CSL_CITATION {"citationID":"DYC0kSl8","properties":{"formattedCitation":"(Micheal &amp; Angilletta, 2009)","plainCitation":"(Micheal &amp; Angilletta, 2009)","noteIndex":0},"citationItems":[{"id":7549,"uris":["http://zotero.org/users/13901503/items/XHDE6DQ4"],"itemData":{"id":7549,"type":"book","original-publisher":"Oxford University Press","title":"Thermal adaptation: a theoretical and empirical synthesis","author":[{"family":"Micheal","given":"J"},{"family":"Angilletta","given":"JR"}],"issued":{"date-parts":[["2009"]]}}}],"schema":"https://github.com/citation-style-language/schema/raw/master/csl-citation.json"} </w:instrText>
      </w:r>
      <w:r>
        <w:fldChar w:fldCharType="separate"/>
      </w:r>
      <w:r>
        <w:rPr>
          <w:noProof/>
        </w:rPr>
        <w:t>(Micheal &amp; Angilletta, 2009)</w:t>
      </w:r>
      <w:r>
        <w:fldChar w:fldCharType="end"/>
      </w:r>
      <w:r>
        <w:t>.</w:t>
      </w:r>
      <w:r w:rsidRPr="00F77EDF">
        <w:t xml:space="preserve"> </w:t>
      </w:r>
      <w:r>
        <w:t xml:space="preserve">Elevated temperatures, in particular, impose strong constraints on physiology by destabilizing cells and increasing oxygen demands </w:t>
      </w:r>
      <w:r>
        <w:fldChar w:fldCharType="begin"/>
      </w:r>
      <w:r>
        <w:instrText xml:space="preserve"> ADDIN ZOTERO_ITEM CSL_CITATION {"citationID":"lOxSMCC4","properties":{"formattedCitation":"(P\\uc0\\u246{}rtner, 2002; Somero, 2020)","plainCitation":"(Pörtner, 2002; Somero, 2020)","noteIndex":0},"citationItems":[{"id":880,"uris":["http://zotero.org/users/13901503/items/V9GCQWSJ"],"itemData":{"id":880,"type":"article-journal","container-title":"Comparative Biochemistry and Physiology Part A: Molecular &amp; Integrative Physiology","DOI":"10.1016/S1095-6433(02)00045-4","ISSN":"10956433","issue":"4","journalAbbreviation":"Comp Biochem Physiol A Mol Integr Physiol","language":"en","license":"https://www.elsevier.com/tdm/userlicense/1.0/","page":"739-761","source":"DOI.org (Crossref)","title":"Climate variations and the physiological basis of temperature dependent biogeography: systemic to molecular hierarchy of thermal tolerance in animals","title-short":"Climate variations and the physiological basis of temperature dependent biogeography","volume":"132","author":[{"family":"Pörtner","given":"H.O"}],"issued":{"date-parts":[["2002",8]]}}},{"id":5026,"uris":["http://zotero.org/groups/6297082/items/YT8DPUP4"],"itemData":{"id":5026,"type":"article-journal","abstract":"The cellular stress response (CSR) is critical for enabling organisms to cope with thermal damage to proteins, nucleic acids, and membranes. It is a graded response whose properties vary with the degree of cellular damage. Molecular damage has positive, as well as negative, function-perturbing effects. Positive effects include crucial regulatory interactions that orchestrate involvement of the different components of the CSR. Thermally unfolded proteins signal for rapid initiation of transcription of genes encoding heat shock proteins (HSPs), central elements of the heat shock response (HSR). Thermal disruption of messenger RNA (mRNA) secondary structures in untranslated regions leads to the culling of the mRNA pool: thermally labile mRNAs for housekeeping proteins are degraded by exonucleases; heat-resistant mRNAs for stress proteins like HSPs then can monopolize the translational apparatus. Thus, proteins and RNA function as “cellular thermometers,” and evolved differences in their thermal stabilities enable rapid initiation of the CSR whenever cell temperature rises significantly above the normal thermal range of a species. Covalent DNA damage, which may result from increased production of reactive oxygen species, is temperature-dependent; its extent may determine cellular survival. High levels of stress that exceed capacities for molecular repair can lead to proteolysis, inhibition of cell division, and programmed cell death (apoptosis). Onset of these processes may occur later in the stress period, after initiation of the HSR, to allow HSPs opportunity to restore protein homeostasis. Delay of these energy costly processes may also result from shortfalls in availability of adenosine triphosphate and reducing power during times of peak stress.","container-title":"Journal of Experimental Zoology Part A: Ecological and Integrative Physiology","DOI":"10.1002/jez.2344","ISSN":"2471-5646","issue":"6","language":"en","license":"© 2020 Wiley Periodicals, Inc.","note":"_eprint: https://onlinelibrary.wiley.com/doi/pdf/10.1002/jez.2344","page":"379-397","source":"Wiley Online Library","title":"The cellular stress response and temperature: Function, regulation, and evolution","title-short":"The cellular stress response and temperature","volume":"333","author":[{"family":"Somero","given":"George N."}],"issued":{"date-parts":[["2020"]]}}}],"schema":"https://github.com/citation-style-language/schema/raw/master/csl-citation.json"} </w:instrText>
      </w:r>
      <w:r>
        <w:fldChar w:fldCharType="separate"/>
      </w:r>
      <w:r w:rsidRPr="009A0183">
        <w:t>(</w:t>
      </w:r>
      <w:proofErr w:type="spellStart"/>
      <w:r w:rsidRPr="009A0183">
        <w:t>Pörtner</w:t>
      </w:r>
      <w:proofErr w:type="spellEnd"/>
      <w:r w:rsidRPr="009A0183">
        <w:t>, 2002; Somero, 2020)</w:t>
      </w:r>
      <w:r>
        <w:fldChar w:fldCharType="end"/>
      </w:r>
      <w:r>
        <w:t>.</w:t>
      </w:r>
    </w:p>
    <w:sectPr w:rsidR="00534679" w:rsidRPr="00534679"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31D57"/>
    <w:multiLevelType w:val="hybridMultilevel"/>
    <w:tmpl w:val="A7EA2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8846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F1E"/>
    <w:rsid w:val="0000244F"/>
    <w:rsid w:val="000025C8"/>
    <w:rsid w:val="00007349"/>
    <w:rsid w:val="000309F3"/>
    <w:rsid w:val="000365B2"/>
    <w:rsid w:val="00074A66"/>
    <w:rsid w:val="000B696C"/>
    <w:rsid w:val="001E5EDA"/>
    <w:rsid w:val="00293353"/>
    <w:rsid w:val="00337EBD"/>
    <w:rsid w:val="003563E7"/>
    <w:rsid w:val="00404CDC"/>
    <w:rsid w:val="00425751"/>
    <w:rsid w:val="00431EDE"/>
    <w:rsid w:val="00433B11"/>
    <w:rsid w:val="004B2B5B"/>
    <w:rsid w:val="00534679"/>
    <w:rsid w:val="005473E7"/>
    <w:rsid w:val="005551F2"/>
    <w:rsid w:val="006B3AA3"/>
    <w:rsid w:val="00752B2B"/>
    <w:rsid w:val="0079151E"/>
    <w:rsid w:val="007C12C0"/>
    <w:rsid w:val="0083465A"/>
    <w:rsid w:val="008631EB"/>
    <w:rsid w:val="008E25E9"/>
    <w:rsid w:val="00940E8E"/>
    <w:rsid w:val="00952CA2"/>
    <w:rsid w:val="00977733"/>
    <w:rsid w:val="00993EB2"/>
    <w:rsid w:val="009F2C71"/>
    <w:rsid w:val="00A60737"/>
    <w:rsid w:val="00B950D1"/>
    <w:rsid w:val="00C245FF"/>
    <w:rsid w:val="00C43F1E"/>
    <w:rsid w:val="00CF2986"/>
    <w:rsid w:val="00DC3B0F"/>
    <w:rsid w:val="00DC6599"/>
    <w:rsid w:val="00E356F2"/>
    <w:rsid w:val="00E5130C"/>
    <w:rsid w:val="00EA3389"/>
    <w:rsid w:val="00ED38E9"/>
    <w:rsid w:val="00F042CC"/>
    <w:rsid w:val="00F77EDF"/>
    <w:rsid w:val="00F862B9"/>
    <w:rsid w:val="00FC4991"/>
    <w:rsid w:val="00FD1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8B4EAE"/>
  <w15:chartTrackingRefBased/>
  <w15:docId w15:val="{7CAA479E-7711-5042-BE57-317F8CE26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F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F1E"/>
    <w:rPr>
      <w:rFonts w:eastAsiaTheme="majorEastAsia" w:cstheme="majorBidi"/>
      <w:color w:val="272727" w:themeColor="text1" w:themeTint="D8"/>
    </w:rPr>
  </w:style>
  <w:style w:type="paragraph" w:styleId="Title">
    <w:name w:val="Title"/>
    <w:basedOn w:val="Normal"/>
    <w:next w:val="Normal"/>
    <w:link w:val="TitleChar"/>
    <w:uiPriority w:val="10"/>
    <w:qFormat/>
    <w:rsid w:val="00C43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F1E"/>
    <w:pPr>
      <w:spacing w:before="160"/>
      <w:jc w:val="center"/>
    </w:pPr>
    <w:rPr>
      <w:i/>
      <w:iCs/>
      <w:color w:val="404040" w:themeColor="text1" w:themeTint="BF"/>
    </w:rPr>
  </w:style>
  <w:style w:type="character" w:customStyle="1" w:styleId="QuoteChar">
    <w:name w:val="Quote Char"/>
    <w:basedOn w:val="DefaultParagraphFont"/>
    <w:link w:val="Quote"/>
    <w:uiPriority w:val="29"/>
    <w:rsid w:val="00C43F1E"/>
    <w:rPr>
      <w:i/>
      <w:iCs/>
      <w:color w:val="404040" w:themeColor="text1" w:themeTint="BF"/>
    </w:rPr>
  </w:style>
  <w:style w:type="paragraph" w:styleId="ListParagraph">
    <w:name w:val="List Paragraph"/>
    <w:basedOn w:val="Normal"/>
    <w:uiPriority w:val="34"/>
    <w:qFormat/>
    <w:rsid w:val="00C43F1E"/>
    <w:pPr>
      <w:ind w:left="720"/>
      <w:contextualSpacing/>
    </w:pPr>
  </w:style>
  <w:style w:type="character" w:styleId="IntenseEmphasis">
    <w:name w:val="Intense Emphasis"/>
    <w:basedOn w:val="DefaultParagraphFont"/>
    <w:uiPriority w:val="21"/>
    <w:qFormat/>
    <w:rsid w:val="00C43F1E"/>
    <w:rPr>
      <w:i/>
      <w:iCs/>
      <w:color w:val="0F4761" w:themeColor="accent1" w:themeShade="BF"/>
    </w:rPr>
  </w:style>
  <w:style w:type="paragraph" w:styleId="IntenseQuote">
    <w:name w:val="Intense Quote"/>
    <w:basedOn w:val="Normal"/>
    <w:next w:val="Normal"/>
    <w:link w:val="IntenseQuoteChar"/>
    <w:uiPriority w:val="30"/>
    <w:qFormat/>
    <w:rsid w:val="00C43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F1E"/>
    <w:rPr>
      <w:i/>
      <w:iCs/>
      <w:color w:val="0F4761" w:themeColor="accent1" w:themeShade="BF"/>
    </w:rPr>
  </w:style>
  <w:style w:type="character" w:styleId="IntenseReference">
    <w:name w:val="Intense Reference"/>
    <w:basedOn w:val="DefaultParagraphFont"/>
    <w:uiPriority w:val="32"/>
    <w:qFormat/>
    <w:rsid w:val="00C43F1E"/>
    <w:rPr>
      <w:b/>
      <w:bCs/>
      <w:smallCaps/>
      <w:color w:val="0F4761" w:themeColor="accent1" w:themeShade="BF"/>
      <w:spacing w:val="5"/>
    </w:rPr>
  </w:style>
  <w:style w:type="character" w:styleId="Hyperlink">
    <w:name w:val="Hyperlink"/>
    <w:basedOn w:val="DefaultParagraphFont"/>
    <w:uiPriority w:val="99"/>
    <w:unhideWhenUsed/>
    <w:rsid w:val="00534679"/>
    <w:rPr>
      <w:color w:val="467886" w:themeColor="hyperlink"/>
      <w:u w:val="single"/>
    </w:rPr>
  </w:style>
  <w:style w:type="character" w:customStyle="1" w:styleId="whitespace-normal">
    <w:name w:val="whitespace-normal"/>
    <w:basedOn w:val="DefaultParagraphFont"/>
    <w:rsid w:val="00404C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lucore@umich.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14</Pages>
  <Words>6285</Words>
  <Characters>35825</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7</cp:revision>
  <dcterms:created xsi:type="dcterms:W3CDTF">2026-05-07T14:35:00Z</dcterms:created>
  <dcterms:modified xsi:type="dcterms:W3CDTF">2026-05-08T19:28:00Z</dcterms:modified>
</cp:coreProperties>
</file>