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CA07" w14:textId="77777777" w:rsidR="006E5658" w:rsidRDefault="006E5658" w:rsidP="006E5658">
      <w:pPr>
        <w:rPr>
          <w:sz w:val="28"/>
          <w:szCs w:val="28"/>
        </w:rPr>
      </w:pPr>
      <w:r w:rsidRPr="00534679">
        <w:rPr>
          <w:sz w:val="28"/>
          <w:szCs w:val="28"/>
        </w:rPr>
        <w:t xml:space="preserve">High temperatures predict </w:t>
      </w:r>
      <w:r>
        <w:rPr>
          <w:sz w:val="28"/>
          <w:szCs w:val="28"/>
        </w:rPr>
        <w:t xml:space="preserve">altered </w:t>
      </w:r>
      <w:r w:rsidRPr="00534679">
        <w:rPr>
          <w:sz w:val="28"/>
          <w:szCs w:val="28"/>
        </w:rPr>
        <w:t xml:space="preserve">gut microbiome </w:t>
      </w:r>
      <w:r>
        <w:rPr>
          <w:sz w:val="28"/>
          <w:szCs w:val="28"/>
        </w:rPr>
        <w:t xml:space="preserve">taxonomic </w:t>
      </w:r>
      <w:r w:rsidRPr="00534679">
        <w:rPr>
          <w:sz w:val="28"/>
          <w:szCs w:val="28"/>
        </w:rPr>
        <w:t>composition</w:t>
      </w:r>
      <w:r>
        <w:rPr>
          <w:sz w:val="28"/>
          <w:szCs w:val="28"/>
        </w:rPr>
        <w:t xml:space="preserve"> and</w:t>
      </w:r>
      <w:r w:rsidRPr="00534679">
        <w:rPr>
          <w:sz w:val="28"/>
          <w:szCs w:val="28"/>
        </w:rPr>
        <w:t xml:space="preserve"> </w:t>
      </w:r>
      <w:r>
        <w:rPr>
          <w:sz w:val="28"/>
          <w:szCs w:val="28"/>
        </w:rPr>
        <w:t>functional potential</w:t>
      </w:r>
      <w:r w:rsidRPr="00534679">
        <w:rPr>
          <w:sz w:val="28"/>
          <w:szCs w:val="28"/>
        </w:rPr>
        <w:t xml:space="preserve"> consistent with dysbiosis in a wild primate</w:t>
      </w:r>
    </w:p>
    <w:p w14:paraId="4F08162E" w14:textId="77777777" w:rsidR="006E5658" w:rsidRPr="00E410C3" w:rsidRDefault="006E5658" w:rsidP="006E5658">
      <w:r w:rsidRPr="00E410C3">
        <w:t>Jordan M. Lucore</w:t>
      </w:r>
      <w:r w:rsidRPr="00E410C3">
        <w:rPr>
          <w:vertAlign w:val="superscript"/>
        </w:rPr>
        <w:t>1,2</w:t>
      </w:r>
      <w:r>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1,6,9, 10, 11</w:t>
      </w:r>
      <w:r>
        <w:rPr>
          <w:vertAlign w:val="superscript"/>
        </w:rPr>
        <w:t>†</w:t>
      </w:r>
    </w:p>
    <w:p w14:paraId="0447BFED" w14:textId="77777777" w:rsidR="006E5658" w:rsidRDefault="006E5658" w:rsidP="006E5658">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Taboga Research Project, Taboga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4F9A9913" w14:textId="77777777" w:rsidR="006E5658" w:rsidRDefault="006E5658" w:rsidP="006E5658">
      <w:r>
        <w:t>*</w:t>
      </w:r>
      <w:r w:rsidRPr="00974119">
        <w:t xml:space="preserve"> </w:t>
      </w:r>
      <w:r>
        <w:t xml:space="preserve">Corresponding author  </w:t>
      </w:r>
      <w:hyperlink r:id="rId4" w:history="1">
        <w:r w:rsidRPr="00040F15">
          <w:rPr>
            <w:rStyle w:val="Hyperlink"/>
          </w:rPr>
          <w:t>jlucore@umich.edu</w:t>
        </w:r>
      </w:hyperlink>
      <w:r>
        <w:t xml:space="preserve"> orchid id 0000-0002-2759-7412</w:t>
      </w:r>
    </w:p>
    <w:p w14:paraId="78EF4DA8" w14:textId="77777777" w:rsidR="006E5658" w:rsidRDefault="006E5658" w:rsidP="006E5658">
      <w:r>
        <w:rPr>
          <w:vertAlign w:val="superscript"/>
        </w:rPr>
        <w:t xml:space="preserve">† </w:t>
      </w:r>
      <w:r>
        <w:t>These authors contributed equally to this work.</w:t>
      </w:r>
    </w:p>
    <w:p w14:paraId="6DA2523C" w14:textId="31406567" w:rsidR="006E5658" w:rsidRDefault="000D2449" w:rsidP="006E5658">
      <w:r>
        <w:t xml:space="preserve">Intro: </w:t>
      </w:r>
    </w:p>
    <w:p w14:paraId="1CD97775" w14:textId="0001F5D4" w:rsidR="005B00A1" w:rsidRDefault="00F214F3" w:rsidP="005B00A1">
      <w:pPr>
        <w:spacing w:after="0"/>
      </w:pPr>
      <w:r>
        <w:t>Temperature is a ubiquitous environmental stressor that has shaped the evolution of diverse behavioral and physiological mechanisms for regulating internal conditions in response to ambient environments</w:t>
      </w:r>
      <w:r>
        <w:t xml:space="preserve"> </w:t>
      </w:r>
      <w:r>
        <w:fldChar w:fldCharType="begin"/>
      </w:r>
      <w:r w:rsidR="00454EF0">
        <w:instrText xml:space="preserve"> ADDIN ZOTERO_ITEM CSL_CITATION {"citationID":"LuVKxYFl","properties":{"unsorted":false,"formattedCitation":"(Micheal &amp; Angilletta, 2009)","plainCitation":"(Micheal &amp; Angilletta, 2009)","noteIndex":0},"citationItems":[{"id":7549,"uris":["http://zotero.org/users/13901503/items/XHDE6DQ4"],"itemData":{"id":7549,"type":"book","original-publisher":"Oxford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fldChar w:fldCharType="separate"/>
      </w:r>
      <w:r w:rsidR="00454EF0">
        <w:rPr>
          <w:noProof/>
        </w:rPr>
        <w:t>(Micheal &amp; Angilletta, 2009)</w:t>
      </w:r>
      <w:r>
        <w:fldChar w:fldCharType="end"/>
      </w:r>
      <w:r w:rsidR="00454EF0">
        <w:t xml:space="preserve">. </w:t>
      </w:r>
      <w:r w:rsidR="00454EF0">
        <w:t>Elevated temperatures, in particular, impose strong constraints on physiology by destabilizing cells and increasing oxygen demands</w:t>
      </w:r>
      <w:r w:rsidR="00454EF0">
        <w:t xml:space="preserve"> </w:t>
      </w:r>
      <w:r w:rsidR="00454EF0">
        <w:fldChar w:fldCharType="begin"/>
      </w:r>
      <w:r w:rsidR="00454EF0">
        <w:instrText xml:space="preserve"> ADDIN ZOTERO_ITEM CSL_CITATION {"citationID":"a1S5hwXn","properties":{"unsorted":false,"formattedCitation":"(P\\uc0\\u246{}rtner, 2002; Somero, 2020)","plainCitation":"(Pörtner, 2002; Somero, 2020)","noteIndex":0},"citationItems":[{"id":5190,"uris":["http://zotero.org/groups/6297082/items/8ZT6B3PJ"],"itemData":{"id":5190,"type":"article-journal","container-title":"Comparative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rsidR="00454EF0">
        <w:fldChar w:fldCharType="separate"/>
      </w:r>
      <w:r w:rsidR="00454EF0" w:rsidRPr="00454EF0">
        <w:rPr>
          <w:rFonts w:ascii="Aptos" w:cs="Times New Roman"/>
          <w:kern w:val="0"/>
        </w:rPr>
        <w:t>(Pörtner, 2002; Somero, 2020)</w:t>
      </w:r>
      <w:r w:rsidR="00454EF0">
        <w:fldChar w:fldCharType="end"/>
      </w:r>
      <w:r w:rsidR="0067594E">
        <w:t xml:space="preserve">. These consequences of </w:t>
      </w:r>
      <w:r w:rsidR="0067594E">
        <w:t>heat</w:t>
      </w:r>
      <w:r w:rsidR="0067594E">
        <w:t xml:space="preserve"> exposure</w:t>
      </w:r>
      <w:r w:rsidR="0067594E">
        <w:t xml:space="preserve"> occur rapidly once temperatures exceed thermal tolerances</w:t>
      </w:r>
      <w:r w:rsidR="0067594E">
        <w:t>, l</w:t>
      </w:r>
      <w:r w:rsidR="0067594E">
        <w:t xml:space="preserve">eading to abrupt declines in </w:t>
      </w:r>
      <w:r w:rsidR="00EE6398">
        <w:t>the performance of biological processes t</w:t>
      </w:r>
      <w:r w:rsidR="00EE6398">
        <w:t xml:space="preserve">hat can </w:t>
      </w:r>
      <w:r w:rsidR="00EE6398">
        <w:t xml:space="preserve">ultimately reduce </w:t>
      </w:r>
      <w:r w:rsidR="0067594E">
        <w:t>survival, growth, and reproductive success.</w:t>
      </w:r>
      <w:r w:rsidR="00EE6398">
        <w:t xml:space="preserve"> However, despite our growing understanding of the </w:t>
      </w:r>
      <w:r w:rsidR="00465396">
        <w:t xml:space="preserve">ultimate </w:t>
      </w:r>
      <w:r w:rsidR="00EE6398">
        <w:t xml:space="preserve">consequences of the </w:t>
      </w:r>
      <w:r w:rsidR="00465396">
        <w:t>molecular effects of high temperatures</w:t>
      </w:r>
      <w:r w:rsidR="00EE6398">
        <w:t xml:space="preserve">, the </w:t>
      </w:r>
      <w:r w:rsidR="00465396">
        <w:t>proximate physiological</w:t>
      </w:r>
      <w:r w:rsidR="00EE6398">
        <w:t xml:space="preserve"> mechanisms linking heat exposure to fitness outcomes remain poorly understood.</w:t>
      </w:r>
      <w:r w:rsidR="00EE6398">
        <w:t xml:space="preserve"> </w:t>
      </w:r>
      <w:r w:rsidR="00EE6398">
        <w:t xml:space="preserve">Investigating these mechanisms is increasingly important </w:t>
      </w:r>
      <w:r w:rsidR="00465396">
        <w:t>given the</w:t>
      </w:r>
      <w:r w:rsidR="00EE6398">
        <w:t xml:space="preserve"> challenges posed by rapidly rising global temperatures </w:t>
      </w:r>
      <w:r w:rsidR="00EE6398">
        <w:t>from</w:t>
      </w:r>
      <w:r w:rsidR="00EE6398">
        <w:t xml:space="preserve"> anthropogenic climate change.</w:t>
      </w:r>
    </w:p>
    <w:p w14:paraId="0078EB31" w14:textId="66406F39" w:rsidR="0054697E" w:rsidRDefault="0054697E" w:rsidP="00D36353">
      <w:pPr>
        <w:spacing w:after="0"/>
        <w:ind w:firstLine="720"/>
      </w:pPr>
      <w:r>
        <w:t xml:space="preserve">Growing evidence shows that heat exposure alters the gut microbiome in ways that shape host health and </w:t>
      </w:r>
      <w:r>
        <w:t xml:space="preserve">fitness. </w:t>
      </w:r>
      <w:r>
        <w:t>Across diverse host taxa, heat stress consistently predicts microbiome changes characteristic of dysbiosis</w:t>
      </w:r>
      <w:r>
        <w:t xml:space="preserve"> </w:t>
      </w:r>
      <w:r>
        <w:t>(i.e. changes in</w:t>
      </w:r>
      <w:r w:rsidRPr="005B00A1">
        <w:t xml:space="preserve"> microbial composition and </w:t>
      </w:r>
      <w:r w:rsidRPr="005B00A1">
        <w:lastRenderedPageBreak/>
        <w:t>metabolic function that disrupt community homeostasis</w:t>
      </w:r>
      <w:r>
        <w:t>)</w:t>
      </w:r>
      <w:r>
        <w:t xml:space="preserve">, including </w:t>
      </w:r>
      <w:r>
        <w:t>reduced microbial diversity, contractions of Firmicutes, and expansions of Proteobacteria.</w:t>
      </w:r>
      <w:r>
        <w:t xml:space="preserve"> </w:t>
      </w:r>
      <w:r>
        <w:t xml:space="preserve">These </w:t>
      </w:r>
      <w:r>
        <w:t>changes have health implications as</w:t>
      </w:r>
      <w:r>
        <w:t xml:space="preserve"> Firmicutes </w:t>
      </w:r>
      <w:r>
        <w:t xml:space="preserve">include </w:t>
      </w:r>
      <w:r>
        <w:t xml:space="preserve">obligate anaerobic fermenters that produce </w:t>
      </w:r>
      <w:r>
        <w:t xml:space="preserve">beneficial </w:t>
      </w:r>
      <w:r>
        <w:t xml:space="preserve">metabolites </w:t>
      </w:r>
      <w:r>
        <w:t>which support</w:t>
      </w:r>
      <w:r>
        <w:t xml:space="preserve"> epithelial integrity, energy balance, and immune regulation</w:t>
      </w:r>
      <w:r>
        <w:t xml:space="preserve">. Conversely, </w:t>
      </w:r>
      <w:r>
        <w:t xml:space="preserve">Proteobacteria contain many opportunistic and </w:t>
      </w:r>
      <w:r>
        <w:t>potentially pathogenic</w:t>
      </w:r>
      <w:r>
        <w:t xml:space="preserve"> taxa </w:t>
      </w:r>
      <w:r>
        <w:t xml:space="preserve">(i.e., pathobionts) </w:t>
      </w:r>
      <w:r>
        <w:t xml:space="preserve">commonly linked to </w:t>
      </w:r>
      <w:r w:rsidR="00D36353">
        <w:t>inflammation and disease</w:t>
      </w:r>
      <w:r>
        <w:t xml:space="preserve">. Heat stress has also been associated with functional changes, including </w:t>
      </w:r>
      <w:r>
        <w:t>reduced production of beneficial microbial metabolites such as short-chain fatty acids</w:t>
      </w:r>
      <w:r w:rsidR="00D36353">
        <w:t xml:space="preserve"> and</w:t>
      </w:r>
      <w:r>
        <w:t xml:space="preserve"> increased inflammatory biomarkers. </w:t>
      </w:r>
      <w:r w:rsidR="00D36353">
        <w:t xml:space="preserve">Notably, these patterns mirror those observed in inflammatory bowel diseases and </w:t>
      </w:r>
      <w:r w:rsidR="00D36353">
        <w:t>gastrointestinal infections</w:t>
      </w:r>
      <w:r w:rsidR="00D36353">
        <w:t xml:space="preserve">, suggesting that heat exposure may </w:t>
      </w:r>
      <w:r w:rsidR="00D36353">
        <w:t>disrupt microbiome homeostasis in ways that promote inflammation and contribute to poor health outcomes.</w:t>
      </w:r>
    </w:p>
    <w:p w14:paraId="139A4D77" w14:textId="2A2D9F7A" w:rsidR="00340EEA" w:rsidRDefault="00340EEA" w:rsidP="00340EEA">
      <w:pPr>
        <w:spacing w:after="0"/>
        <w:ind w:firstLine="720"/>
      </w:pPr>
      <w:r>
        <w:t xml:space="preserve">However, much of what we know about gut microbiome responses to heat comes from experimental studies </w:t>
      </w:r>
      <w:r w:rsidR="00465396">
        <w:t xml:space="preserve">and laboratory research </w:t>
      </w:r>
      <w:r>
        <w:t>that may not fully reflect responses under natural conditions.</w:t>
      </w:r>
      <w:r w:rsidRPr="00340EEA">
        <w:t xml:space="preserve"> </w:t>
      </w:r>
      <w:r>
        <w:t xml:space="preserve">In the wild, individuals move among microclimates </w:t>
      </w:r>
      <w:r>
        <w:fldChar w:fldCharType="begin"/>
      </w:r>
      <w:r>
        <w:instrText xml:space="preserve"> ADDIN ZOTERO_ITEM CSL_CITATION {"citationID":"mNkn1kkg","properties":{"formattedCitation":"(M. Kearney et al., 2009; Tull et al., 2001)","plainCitation":"(M. Kearney et al., 2009; Tull et al., 2001)","noteIndex":0},"citationItems":[{"id":7053,"uris":["http://zotero.org/groups/6297082/items/S5T2LDCV"],"itemData":{"id":7053,"type":"article-journal","abstract":"Increasing concern about the impacts of global warming on biodiversity has stimulated extensive discussion, but methods to translate broad-scale shifts in climate into direct impacts on living animals remain simplistic. A key missing element from models of climatic change impacts on animals is the buffering influence of behavioral thermoregulation. Here, we show how behavioral and mass/energy balance models can be combined with spatial data on climate, topography, and vegetation to predict impacts of increased air temperature on thermoregulating ectotherms such as reptiles and insects (a large portion of global biodiversity). We show that for most “cold-blooded” terrestrial animals, the primary thermal challenge is not to attain high body temperatures (although this is important in temperate environments) but to stay cool (particularly in tropical and desert areas, where ectotherm biodiversity is greatest). The impact of climate warming on thermoregulating ectotherms will depend critically on how changes in vegetation cover alter the availability of shade as well as the animals' capacities to alter their seasonal timing of activity and reproduction. Warmer environments also may increase maintenance energy costs while simultaneously constraining activity time, putting pressure on mass and energy budgets. Energy- and mass-balance models provide a general method to integrate the complexity of these direct interactions between organisms and climate into spatial predictions of the impact of climate change on biodiversity. This methodology allows quantitative organism- and habitat-specific assessments of climate change impacts.","container-title":"Proceedings of the National Academy of Sciences","DOI":"10.1073/pnas.0808913106","issue":"10","page":"3835-3840","publisher":"Proceedings of the National Academy of Sciences","source":"www-pnas-org.proxy.lib.umich.edu (Atypon)","title":"The potential for behavioral thermoregulation to buffer “cold-blooded” animals against climate warming","volume":"106","author":[{"family":"Kearney","given":"Michael"},{"family":"Shine","given":"Richard"},{"family":"Porter","given":"Warren P."}],"issued":{"date-parts":[["2009",3,10]]}}},{"id":7045,"uris":["http://zotero.org/groups/6297082/items/JTGBIP46"],"itemData":{"id":7045,"type":"article-journal","abstract":"We compared bed sites selected by desert mule deer (Odocoileus hemionus eremicus) to nearby random sites to assess bed site features. Thermal cover of bed sites (i.e., vegetation ≥75 cm high that provided shade for a deer) was highest in summer (X̄ = 43.7% ± 4.1 SE) compared to spring (29.7% ± 4.4), winter (33.5% ± 3.1), and autumn (39.8% ± 4.0); however, selection for bed sites with thermal cover that differed most from that available randomly was highest in spring (X̄ difference between bed and random sites = 14.8% ± 5.2) compared to summer (8.3% ± 4.1), winter (6.6% ± 3.5), and autumn (8.6% ± 3.5). Thermal cover is likely important as a contribution to thermoregulation, escape cover, protection of fawns, and fawn survival. /// Comparamos los echaderos seleccionados por el venado bura (Odocoileus hemionus eremicus) a sitios cercanos al azar para determinar las características de los echaderos. La cubierta termal de los echaderos (o sea, vegetación ≥75 cm de altura que proveyó sombra para el venado) fue más alta en el verano (X̄ = 43.7% ± 4.1 SE), comparado con la primavera (27.9% ± 4.4), invierno (33.5% ± 3.1), y otoño (39.8% ± 4.0). Sin embargo, la selección de echaderos con cubierta termal que difirió más que lo disponible al azar fue más alta en la primavera (X̄ diferencia entre echaderos y sitios al azar = 14.8% ± 5.2) comparada con el verano (8.3% ± 4.1), invierno (6.6% ± 3.5), y otoño (8.6% ± 3.5). La cubierta termal es quizás importante como una contribución a la termorregulación, cubierta de escape, protección de ciervos, y supervivencia de ciervos.","container-title":"The Southwestern Naturalist","DOI":"10.2307/3672432","ISSN":"0038-4909","issue":"3","page":"354-357","publisher":"Southwestern Association of Naturalists","source":"JSTOR","title":"Bed-Site Selection by Desert Mule Deer in Southern Arizona","volume":"46","author":[{"family":"Tull","given":"John C."},{"family":"Krausman","given":"Paul R."},{"family":"Steidl","given":"Robert J."}],"issued":{"date-parts":[["2001"]]}}}],"schema":"https://github.com/citation-style-language/schema/raw/master/csl-citation.json"} </w:instrText>
      </w:r>
      <w:r>
        <w:fldChar w:fldCharType="separate"/>
      </w:r>
      <w:r>
        <w:rPr>
          <w:noProof/>
        </w:rPr>
        <w:t>(Kearney et al., 2009; Tull et al., 2001)</w:t>
      </w:r>
      <w:r>
        <w:fldChar w:fldCharType="end"/>
      </w:r>
      <w:r>
        <w:t xml:space="preserve">, weather conditions fluctuate over short timescales </w:t>
      </w:r>
      <w:r>
        <w:fldChar w:fldCharType="begin"/>
      </w:r>
      <w:r>
        <w:instrText xml:space="preserve"> ADDIN ZOTERO_ITEM CSL_CITATION {"citationID":"PG4V4s3X","properties":{"formattedCitation":"(M. R. Kearney et al., 2012)","plainCitation":"(M. R. Kearney et al., 2012)","noteIndex":0},"citationItems":[{"id":7055,"uris":["http://zotero.org/groups/6297082/items/AC5NQFDC"],"itemData":{"id":7055,"type":"article-journal","abstract":"The emerging field of mechanistic niche modelling aims to link the functional traits of organisms to their environments to predict survival, reproduction, distribution and abundance. This approach has great potential to increase our understanding of the impacts of environmental change on individuals, populations and communities by providing functional connections between physiological and ecological response to increasingly available spatial environmental data. By their nature, such mechanistic models are more data intensive in comparison with the more widely applied correlative approaches but can potentially provide more spatially and temporally explicit predictions, which are often needed by decision makers. A poorly explored issue in this context is the appropriate level of temporal resolution of input data required for these models, and specifically the error in predictions that can be incurred through the use of temporally averaged data. Here, we review how biomechanical principles from heat-transfer and metabolic theory are currently being used as foundations for mechanistic niche models and consider the consequences of different temporal resolutions of environmental data for modelling the niche of a behaviourally thermoregulating terrestrial lizard. We show that fine-scale temporal resolution (daily) data can be crucial for unbiased inference of climatic impacts on survival, growth and reproduction. This is especially so for species with little capacity for behavioural buffering, because of behavioural or habitat constraints, and for detecting temporal trends. However, coarser-resolution data (long-term monthly averages) can be appropriate for mechanistic studies of climatic constraints on distribution and abundance limits in thermoregulating species at broad spatial scales.","container-title":"Journal of Experimental Biology","DOI":"10.1242/jeb.059634","ISSN":"0022-0949","issue":"6","journalAbbreviation":"J Exp Biol","page":"922-933","source":"Silverchair","title":"Biomechanics meets the ecological niche: the importance of temporal data resolution","title-short":"Biomechanics meets the ecological niche","volume":"215","author":[{"family":"Kearney","given":"Michael R."},{"family":"Matzelle","given":"Allison"},{"family":"Helmuth","given":"Brian"}],"issued":{"date-parts":[["2012",3,15]]}}}],"schema":"https://github.com/citation-style-language/schema/raw/master/csl-citation.json"} </w:instrText>
      </w:r>
      <w:r>
        <w:fldChar w:fldCharType="separate"/>
      </w:r>
      <w:r w:rsidR="009F7F07">
        <w:rPr>
          <w:noProof/>
        </w:rPr>
        <w:t>(M. R. Kearney et al., 2012)</w:t>
      </w:r>
      <w:r>
        <w:fldChar w:fldCharType="end"/>
      </w:r>
      <w:r>
        <w:t xml:space="preserve">, and multiple factors interact to shape experienced heat, including life-history stage </w:t>
      </w:r>
      <w:r>
        <w:fldChar w:fldCharType="begin"/>
      </w:r>
      <w:r>
        <w:instrText xml:space="preserve"> ADDIN ZOTERO_ITEM CSL_CITATION {"citationID":"9AtYxZMo","properties":{"formattedCitation":"(Kingsolver et al., 2011)","plainCitation":"(Kingsolver et al., 2011)","noteIndex":0},"citationItems":[{"id":7060,"uris":["http://zotero.org/groups/6297082/items/IDEHMQBE"],"itemData":{"id":7060,"type":"article-journal","abstract":"Many organisms have complex life cycles with distinct life stages that experience different environmental conditions.</w:instrText>
      </w:r>
      <w:r>
        <w:rPr>
          <w:rFonts w:ascii="Arial" w:hAnsi="Arial" w:cs="Arial"/>
        </w:rPr>
        <w:instrText> </w:instrText>
      </w:r>
      <w:r>
        <w:instrText xml:space="preserve">How does the complexity of life cycles affect the ecological and evolutionary responses of organisms to climate change? We address this question by exploring several recent case studies and synthetic analyses of insects. First, different life stages may inhabit different microhabitats, and may differ in their thermal sensitivities and other traits that are important for responses to climate. For example, the life stages of Manduca experience different patterns of thermal and hydric variability, and differ in tolerance to high temperatures. Second, life stages may differ in their mechanisms for adaptation to local climatic conditions. For example, in Colias, larvae in different geographic populations and species adapt to local climate via differences in optimal and maximal temperatures for feeding and growth, whereas adults adapt via differences in melanin of the wings and in other morphological traits. Third, we extend a recent analysis of the temperature-dependence of insect population growth to demonstrate how changes in temperature can differently impact juvenile survival and adult reproduction. In both temperate and tropical regions, high rates of adult reproduction in a given environment may not be realized if occasional, high temperatures prevent survival to maturity. This suggests that considering the differing responses of multiple life stages is essential to understand the ecological and evolutionary consequences of climate change.","container-title":"Integrative and Comparative Biology","DOI":"10.1093/icb/icr015","ISSN":"1540-7063","issue":"5","journalAbbreviation":"Integr Comp Biol","page":"719-732","source":"Silverchair","title":"Complex Life Cycles and the Responses of Insects to Climate Change","volume":"51","author":[{"family":"Kingsolver","given":"Joel G."},{"family":"Arthur Woods","given":"H."},{"family":"Buckley","given":"Lauren B."},{"family":"Potter","given":"Kristen A."},{"family":"MacLean","given":"Heidi J."},{"family":"Higgins","given":"Jessica K."}],"issued":{"date-parts":[["2011",11,1]]}}}],"schema":"https://github.com/citation-style-language/schema/raw/master/csl-citation.json"} </w:instrText>
      </w:r>
      <w:r>
        <w:fldChar w:fldCharType="separate"/>
      </w:r>
      <w:r>
        <w:rPr>
          <w:noProof/>
        </w:rPr>
        <w:t>(Kingsolver et al., 2011)</w:t>
      </w:r>
      <w:r>
        <w:fldChar w:fldCharType="end"/>
      </w:r>
      <w:r>
        <w:t xml:space="preserve">, behavioral thermoregulation </w:t>
      </w:r>
      <w:r>
        <w:fldChar w:fldCharType="begin"/>
      </w:r>
      <w:r>
        <w:instrText xml:space="preserve"> ADDIN ZOTERO_ITEM CSL_CITATION {"citationID":"PFVoLnDa","properties":{"formattedCitation":"(Campos &amp; Fedigan, 2009; Iii et al., 2006)","plainCitation":"(Campos &amp; Fedigan, 2009; Iii et al., 2006)","noteIndex":0},"citationItems":[{"id":545,"uris":["http://zotero.org/users/13901503/items/DK9CP8XR"],"itemData":{"id":545,"type":"article-journal","abstract":"We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Pr>
          <w:rFonts w:ascii="Cambria Math" w:hAnsi="Cambria Math" w:cs="Cambria Math"/>
        </w:rPr>
        <w:instrText>∼</w:instrText>
      </w:r>
      <w: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M."}],"issued":{"date-parts":[["2009"]]}}},{"id":7042,"uris":["http://zotero.org/groups/6297082/items/ZZTCX5WG"],"itemData":{"id":7042,"type":"article-journal","abstract":"Desert ungulates must contend with high solar radiation, high ambient temperatures, a lack of water and cover, unpredictable food resources, and the challenges these factors present for thermoregulation and water balance. To deal with the conflicting challenges of maintaining body temperature within acceptable limits and minimizing water loss, desert ungulates use a variety of physiological, morphological, and behavioral mechanisms. The mechanisms involved in thermoregulation and water balance have been studied in many domestic and wild African and Middle Eastern ungulates; studies involving ungulates inhabiting North American deserts are limited in comparison. Our objectives were to review available scientific literature on thermoregulation, water balance, and the effects of dehydration in desert ungulates. We discuss the physiological, morphological, and behavioral mechanisms used by ungulates to maintain temperature and water balance in arid environments, and the implications for research and management of desert ungulates in western North America.","container-title":"Wildlife Society Bulletin","DOI":"10.2193/0091-7648(2006)34[570:MOTAWB]2.0.CO;2","ISSN":"1938-5463","issue":"3","journalAbbreviation":"Wildl. Soc. Bull.","language":"en","note":"_eprint: https://onlinelibrary.wiley.com/doi/pdf/10.2193/0091-7648%282006%2934%5B570%3AMOTAWB%5D2.0.CO%3B2","page":"570-581","source":"Wiley Online Library","title":"Mechanisms of Thermoregulation and Water Balance in Desert Ungulates","volume":"34","author":[{"family":"Iii","given":"James W. Cain"},{"family":"Krausman","given":"Paul R."},{"family":"Rosenstock","given":"Steven S."},{"family":"Turner","given":"Jack C."}],"issued":{"date-parts":[["2006"]]}}}],"schema":"https://github.com/citation-style-language/schema/raw/master/csl-citation.json"} </w:instrText>
      </w:r>
      <w:r>
        <w:fldChar w:fldCharType="separate"/>
      </w:r>
      <w:r>
        <w:rPr>
          <w:noProof/>
        </w:rPr>
        <w:t>(Campos &amp; Fedigan, 2009; Iii et al., 2006)</w:t>
      </w:r>
      <w:r>
        <w:fldChar w:fldCharType="end"/>
      </w:r>
      <w:r>
        <w:t xml:space="preserve">, and prior thermal exposure </w:t>
      </w:r>
      <w:r>
        <w:fldChar w:fldCharType="begin"/>
      </w:r>
      <w:r>
        <w:instrText xml:space="preserve"> ADDIN ZOTERO_ITEM CSL_CITATION {"citationID":"mRpjKJXG","properties":{"formattedCitation":"(Sinclair et al., 2016)","plainCitation":"(Sinclair et al., 2016)","noteIndex":0},"citationItems":[{"id":905,"uris":["http://zotero.org/users/13901503/items/3AZ25ELL"],"itemData":{"id":905,"type":"article-journal","abstract":"Thermal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fldChar w:fldCharType="separate"/>
      </w:r>
      <w:r>
        <w:rPr>
          <w:noProof/>
        </w:rPr>
        <w:t>(Sinclair et al., 2016)</w:t>
      </w:r>
      <w:r>
        <w:fldChar w:fldCharType="end"/>
      </w:r>
      <w:r>
        <w:t>.</w:t>
      </w:r>
      <w:r w:rsidRPr="009A0183">
        <w:t xml:space="preserve"> </w:t>
      </w:r>
      <w:r>
        <w:t xml:space="preserve">Additionally, microbiomes themselves are shaped by complex interactions </w:t>
      </w:r>
      <w:r w:rsidR="00465396">
        <w:t>between</w:t>
      </w:r>
      <w:r>
        <w:t xml:space="preserve"> diet,</w:t>
      </w:r>
      <w:r>
        <w:t xml:space="preserve"> </w:t>
      </w:r>
      <w:r>
        <w:t>behavior,</w:t>
      </w:r>
      <w:r>
        <w:t xml:space="preserve"> the</w:t>
      </w:r>
      <w:r>
        <w:t xml:space="preserve"> </w:t>
      </w:r>
      <w:r>
        <w:t>ecological environment</w:t>
      </w:r>
      <w:r>
        <w:t xml:space="preserve">, </w:t>
      </w:r>
      <w:r>
        <w:t xml:space="preserve">and host demographics. </w:t>
      </w:r>
      <w:r>
        <w:t>This complexity is difficult to reproduce under experimental conditions.</w:t>
      </w:r>
    </w:p>
    <w:p w14:paraId="13306FBE" w14:textId="219A927E" w:rsidR="00340EEA" w:rsidRDefault="00340EEA" w:rsidP="005B00A1">
      <w:pPr>
        <w:spacing w:after="0"/>
      </w:pPr>
    </w:p>
    <w:p w14:paraId="2C0D2724" w14:textId="1A506363" w:rsidR="00340EEA" w:rsidRDefault="00340EEA" w:rsidP="005B00A1">
      <w:pPr>
        <w:spacing w:after="0"/>
      </w:pPr>
      <w:r w:rsidRPr="00340EEA">
        <w:t xml:space="preserve">Wild systems inherently include </w:t>
      </w:r>
      <w:r>
        <w:t xml:space="preserve">this variation and allow for more accurate identification fo thermal conditions that can produce these effects in the wild or whther they are relevant at all with all the other stuff going on. </w:t>
      </w:r>
    </w:p>
    <w:p w14:paraId="2E9CCB62" w14:textId="1EB7885B" w:rsidR="00340EEA" w:rsidRDefault="00340EEA" w:rsidP="005B00A1">
      <w:pPr>
        <w:spacing w:after="0"/>
      </w:pPr>
      <w:r w:rsidRPr="00340EEA">
        <w:t>This context allows more accurate identification of the temperature conditions that produce immune dysregulation with meaningful health consequences.</w:t>
      </w:r>
    </w:p>
    <w:p w14:paraId="092F1B8D" w14:textId="77777777" w:rsidR="00340EEA" w:rsidRDefault="00340EEA" w:rsidP="005B00A1">
      <w:pPr>
        <w:spacing w:after="0"/>
      </w:pPr>
    </w:p>
    <w:p w14:paraId="3C5A435C" w14:textId="0ED3E705" w:rsidR="00340EEA" w:rsidRDefault="00340EEA" w:rsidP="005B00A1">
      <w:pPr>
        <w:spacing w:after="0"/>
      </w:pPr>
      <w:r>
        <w:t xml:space="preserve">Therefore, studing stuff in the wild is great </w:t>
      </w:r>
    </w:p>
    <w:p w14:paraId="5EB5C0DF" w14:textId="77777777" w:rsidR="00340EEA" w:rsidRDefault="00340EEA" w:rsidP="005B00A1">
      <w:pPr>
        <w:spacing w:after="0"/>
      </w:pPr>
    </w:p>
    <w:p w14:paraId="620DE3EA" w14:textId="77777777" w:rsidR="00340EEA" w:rsidRDefault="00340EEA" w:rsidP="00340EEA">
      <w:r>
        <w:t>Such work may also improve our understanding of how environmental conditions contribute to inflammatory and gastrointestinal disease processes, particularly as rising global temperatures increase the frequency and intensity of heat exposure under climate change</w:t>
      </w:r>
    </w:p>
    <w:p w14:paraId="0F847920" w14:textId="77777777" w:rsidR="00340EEA" w:rsidRDefault="00340EEA" w:rsidP="005B00A1">
      <w:pPr>
        <w:spacing w:after="0"/>
      </w:pPr>
    </w:p>
    <w:p w14:paraId="4E80C564" w14:textId="7CF4F6D0" w:rsidR="00340EEA" w:rsidRDefault="00340EEA" w:rsidP="005B00A1">
      <w:pPr>
        <w:spacing w:after="0"/>
      </w:pPr>
      <w:r>
        <w:lastRenderedPageBreak/>
        <w:t>Therefore, although we cannot isolate the direct effects of heat in our study system, our results demonstrate that high ambient temperatures predict changes in physiology, behavior, and ecology that together reshape the gut microbiome, highlighting the importance of studying these mechanisms under real-world conditions.</w:t>
      </w:r>
    </w:p>
    <w:p w14:paraId="6A27B8B6" w14:textId="77777777" w:rsidR="00340EEA" w:rsidRDefault="00340EEA" w:rsidP="005B00A1">
      <w:pPr>
        <w:spacing w:after="0"/>
      </w:pPr>
    </w:p>
    <w:p w14:paraId="04F139E3" w14:textId="77777777" w:rsidR="00340EEA" w:rsidRDefault="00340EEA" w:rsidP="005B00A1">
      <w:pPr>
        <w:spacing w:after="0"/>
      </w:pPr>
    </w:p>
    <w:p w14:paraId="694CD10A" w14:textId="77777777" w:rsidR="00340EEA" w:rsidRDefault="00340EEA" w:rsidP="005B00A1">
      <w:pPr>
        <w:spacing w:after="0"/>
      </w:pPr>
    </w:p>
    <w:p w14:paraId="1E13D403" w14:textId="7A51225C" w:rsidR="0054697E" w:rsidRDefault="00D36353" w:rsidP="005B00A1">
      <w:pPr>
        <w:spacing w:after="0"/>
      </w:pPr>
      <w:r>
        <w:t>Then important of wild studies, throw in that most of this is done in the lab or on farm animals…</w:t>
      </w:r>
    </w:p>
    <w:p w14:paraId="6336E810" w14:textId="35C06CE0" w:rsidR="00D36353" w:rsidRDefault="00D36353" w:rsidP="005B00A1">
      <w:pPr>
        <w:spacing w:after="0"/>
      </w:pPr>
      <w:r>
        <w:t xml:space="preserve">While the effects of heat on the microbiome of diverse taxa have ben shown….this is all experimental.  Almost no research has established whether these effects relevant in a natural environment. </w:t>
      </w:r>
    </w:p>
    <w:p w14:paraId="54687762" w14:textId="77777777" w:rsidR="0054697E" w:rsidRDefault="0054697E" w:rsidP="005B00A1">
      <w:pPr>
        <w:spacing w:after="0"/>
      </w:pPr>
    </w:p>
    <w:p w14:paraId="3B435E7B" w14:textId="77777777" w:rsidR="0054697E" w:rsidRDefault="0054697E" w:rsidP="005B00A1">
      <w:pPr>
        <w:spacing w:after="0"/>
      </w:pPr>
    </w:p>
    <w:p w14:paraId="7DAA3CAE" w14:textId="397C0746" w:rsidR="0054697E" w:rsidRDefault="00D36353" w:rsidP="005B00A1">
      <w:pPr>
        <w:spacing w:after="0"/>
      </w:pPr>
      <w:r>
        <w:t xml:space="preserve">Las pargaphr explain what we are going to do, put this this is really the hoslistic respone to a hot dry season rather than the isolated effect of temperautres, show if temperature predicts coordinates changes in physiolyg, ecology, and beahior that affect the microbiome in ways that are relevant to health in similar ways. </w:t>
      </w:r>
    </w:p>
    <w:p w14:paraId="4FA1A7B4" w14:textId="77777777" w:rsidR="005B00A1" w:rsidRDefault="005B00A1" w:rsidP="005B00A1">
      <w:pPr>
        <w:ind w:firstLine="720"/>
      </w:pPr>
    </w:p>
    <w:p w14:paraId="0FFC0590" w14:textId="23EA4694" w:rsidR="006E5658" w:rsidRDefault="006E5658" w:rsidP="006E5658">
      <w:r>
        <w:t xml:space="preserve">Results: </w:t>
      </w:r>
    </w:p>
    <w:p w14:paraId="526E1185" w14:textId="77777777" w:rsidR="006E5658" w:rsidRDefault="006E5658" w:rsidP="006E5658">
      <w:pPr>
        <w:spacing w:after="0"/>
      </w:pPr>
      <w:r w:rsidRPr="00ED38E9">
        <w:rPr>
          <w:b/>
          <w:bCs/>
        </w:rPr>
        <w:t xml:space="preserve">Temperature predicts gut microbiome taxonomic and functional </w:t>
      </w:r>
      <w:r>
        <w:rPr>
          <w:b/>
          <w:bCs/>
        </w:rPr>
        <w:t>diversity</w:t>
      </w:r>
      <w:r w:rsidRPr="00ED38E9">
        <w:rPr>
          <w:b/>
          <w:bCs/>
        </w:rPr>
        <w:t xml:space="preserve">. </w:t>
      </w:r>
      <w:r>
        <w:t xml:space="preserve">To assess the relationship between temperature and community-level composition, </w:t>
      </w:r>
      <w:r w:rsidRPr="00ED38E9">
        <w:t>we compared a baseline model that accounted for known predictors of microbiome composition (sex, social group, diet, and season) to a model that included both the baseline predictors and temperature (</w:t>
      </w:r>
      <w:r w:rsidRPr="009F7B11">
        <w:t>Fig. 1S</w:t>
      </w:r>
      <w:r w:rsidRPr="00ED38E9">
        <w:t xml:space="preserve">). We measured alpha diversity using Shannon diversity index and observed richness (the total number of </w:t>
      </w:r>
      <w:r>
        <w:t xml:space="preserve">unique </w:t>
      </w:r>
      <w:r w:rsidRPr="00ED38E9">
        <w:t>Amplicon Sequence Variants</w:t>
      </w:r>
      <w:r>
        <w:t xml:space="preserve"> [</w:t>
      </w:r>
      <w:r w:rsidRPr="00ED38E9">
        <w:t>ASVs</w:t>
      </w:r>
      <w:r>
        <w:t>]</w:t>
      </w:r>
      <w:r w:rsidRPr="00ED38E9">
        <w:t xml:space="preserve">, or </w:t>
      </w:r>
      <w:r>
        <w:t xml:space="preserve">metabolic </w:t>
      </w:r>
      <w:r w:rsidRPr="00ED38E9">
        <w:t xml:space="preserve">pathways in a sample), and characterized beta diversity using the first three principal components (PC1–PC3) from a principal component analysis (PCA) to capture major axes of variation in community composition. </w:t>
      </w:r>
      <w:r>
        <w:t xml:space="preserve">For taxonomic community composition, the model including temperature provided the best fit (controlling for model complexity) across all community-level indices, accounting for 100% of the model weight for every principal component and alpha diversity metric (Fig. 2B). The strong relationship between temperature and principal components 1–3 suggests that rising temperatures predict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-0.41, Observed </w:t>
      </w:r>
      <w:r w:rsidRPr="00887114">
        <w:t>β</w:t>
      </w:r>
      <w:r>
        <w:rPr>
          <w:vertAlign w:val="subscript"/>
        </w:rPr>
        <w:t>temp</w:t>
      </w:r>
      <w:r>
        <w:t xml:space="preserve"> = -0.41)(Fig. 2A). Even though the effect sizes were small compared to the principal components, alpha diversity reliably </w:t>
      </w:r>
      <w:r>
        <w:lastRenderedPageBreak/>
        <w:t>declined with increasing temperatures (Fig. 2S). This suggests that higher temperatures are associated with reductions in both taxonomic richness and evenness.</w:t>
      </w:r>
    </w:p>
    <w:p w14:paraId="63A2FB99" w14:textId="77777777" w:rsidR="006E5658" w:rsidRDefault="006E5658" w:rsidP="006E5658">
      <w:pPr>
        <w:spacing w:after="0"/>
        <w:ind w:firstLine="720"/>
      </w:pPr>
      <w:r>
        <w:t xml:space="preserve">For functional capacity, the temperature model provided the best fit for every principal component and the total number of observed metabolic pathways, accounting for at least 85% of the model weight. In contrast, the baseline model provided the best fit for Shannon diversity, accounting for 83% of the model weight (Fig. 2D).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-17.0), but the magnitude and direction of this effect were uncertain due to the wide confidence intervals that include zero. The effect size for Shannon diversity (</w:t>
      </w:r>
      <w:r w:rsidRPr="00887114">
        <w:t>β</w:t>
      </w:r>
      <w:r>
        <w:rPr>
          <w:vertAlign w:val="subscript"/>
        </w:rPr>
        <w:t>temp</w:t>
      </w:r>
      <w:r>
        <w:t xml:space="preserve"> = -0.1) was much smaller, and the confidence intervals also included zero (Fig. 2C). This suggests that higher temperatures may reduce the number of unique metabolic pathways but are not associated with changes in pathway evenness.</w:t>
      </w:r>
    </w:p>
    <w:p w14:paraId="7E9B0614" w14:textId="77777777" w:rsidR="006E5658" w:rsidRDefault="006E5658" w:rsidP="006E5658">
      <w:pPr>
        <w:spacing w:after="0"/>
        <w:ind w:firstLine="720"/>
      </w:pPr>
      <w:r>
        <w:t>Together, these results support our hypothesis that ambient temperature is an important predictor of gut microbiome taxonomic composition and functional potential in a wild primate population. These community-level shifts are likely driven by a combination of exposure to elevated ambient temperatures, as well as ecological and behavioral changes that covary with hotter periods, such as altered diet, water use, activity patterns, and social or spatial behavior. The observed loss of taxonomic and functional diversity is also consistent with our prediction that elevated temperatures promote changes characteristic of dysbiosis (Fig 1A), and these patterns align with experimental studies demonstrating that physiological heat stress is often associated with reduced alpha diversity</w:t>
      </w:r>
    </w:p>
    <w:p w14:paraId="1C4523E1" w14:textId="77777777" w:rsidR="006E5658" w:rsidRDefault="006E5658" w:rsidP="006E5658">
      <w:pPr>
        <w:spacing w:after="0"/>
        <w:ind w:firstLine="720"/>
      </w:pPr>
    </w:p>
    <w:p w14:paraId="237E36E5" w14:textId="77777777" w:rsidR="006E5658" w:rsidRPr="00993EB2" w:rsidRDefault="006E5658" w:rsidP="006E5658">
      <w:pPr>
        <w:spacing w:after="0"/>
        <w:rPr>
          <w:b/>
          <w:bCs/>
        </w:rPr>
      </w:pPr>
      <w:r w:rsidRPr="00DC6599">
        <w:rPr>
          <w:b/>
          <w:bCs/>
        </w:rPr>
        <w:t xml:space="preserve">High temperatures predict changes </w:t>
      </w:r>
      <w:r>
        <w:rPr>
          <w:b/>
          <w:bCs/>
        </w:rPr>
        <w:t xml:space="preserve">in taxonomic composition consistent with experimentally induced heat stress. </w:t>
      </w:r>
      <w:r>
        <w:t>To further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w:t>
      </w:r>
      <w:r w:rsidRPr="00CF2986">
        <w:t xml:space="preserve"> </w:t>
      </w:r>
      <w:r>
        <w:t>We constructed these ratios to capture broader community-level shifts that may be more relevant to host health and microbial homeostasis than focusing the analysis on individual taxa exclusively.</w:t>
      </w:r>
    </w:p>
    <w:p w14:paraId="3C0CC5F5" w14:textId="77777777" w:rsidR="006E5658" w:rsidRDefault="006E5658" w:rsidP="006E5658">
      <w:pPr>
        <w:ind w:firstLine="720"/>
      </w:pPr>
      <w:r>
        <w:t>The first ratio captured broad taxonomic shifts commonly observed during heat stress by comparing the relative abundance of genera from the phylum Proteobacteria in the numerator to those from the phylum Firmicutes in the denominator. Increasing temperature was associated with higher relative abundances of Proteobacteria compared to Firmicutes (β</w:t>
      </w:r>
      <w:r>
        <w:rPr>
          <w:vertAlign w:val="subscript"/>
        </w:rPr>
        <w:t>temp</w:t>
      </w:r>
      <w:r>
        <w:t xml:space="preserve"> = 0.26; Fig. 3A). The temperature model accounted for 100% of the </w:t>
      </w:r>
      <w:r>
        <w:lastRenderedPageBreak/>
        <w:t xml:space="preserve">model weight (Fig. 3B), indicating that temperature was an important predictor of variation in this ratio. This pattern closely mirrors microbiome responses to physiological heat stress reported across diverse vertebrates [e.g., reptiles (Bestion et al., 2017), birds (He et al., 2019; Zhu et al., 2019), mammals (Tajima et al., 2007)]. This suggests that at least part of the observed shift in community-level diversity may reflect direct physiological effects of high ambient temperatures, in addition to ecological and behavioral changes associated with hotter environments. Importantly, the relative expansion of Proteobacteria compared to Firmicutes is widely considered a hallmark signature of gut dysbiosis and is frequently associated with inflammatory diseases. </w:t>
      </w:r>
    </w:p>
    <w:p w14:paraId="51132EE1" w14:textId="77777777" w:rsidR="006E5658" w:rsidRPr="00AD470F" w:rsidRDefault="006E5658" w:rsidP="006E5658">
      <w:pPr>
        <w:spacing w:after="0"/>
      </w:pPr>
      <w:r>
        <w:rPr>
          <w:b/>
          <w:bCs/>
        </w:rPr>
        <w:t>High temperatures predict</w:t>
      </w:r>
      <w:r w:rsidRPr="00ED38E9">
        <w:rPr>
          <w:b/>
          <w:bCs/>
        </w:rPr>
        <w:t xml:space="preserve"> </w:t>
      </w:r>
      <w:r>
        <w:rPr>
          <w:b/>
          <w:bCs/>
        </w:rPr>
        <w:t xml:space="preserve">changes to gut microbiome taxonomic composition consistent with dysbiosis. </w:t>
      </w:r>
      <w:r>
        <w:t>To more specifically investigate whether elevated temperatures predicted taxonomic shifts associated with dysbiosis, we constructed a second log-ratio designed to capture coordinated shifts from common commensals toward more opportunistic taxa. Specifically, we placed facultatively anaerobic and commonly pathobiontic genera in the numerator and obligately anaerobic fermenters in the denominator (Table S1). Increasing temperature predicted a relative expansion of facultative and pathobiont taxa compared to obligate fermenters (β</w:t>
      </w:r>
      <w:r w:rsidRPr="00247807">
        <w:rPr>
          <w:vertAlign w:val="subscript"/>
        </w:rPr>
        <w:t>temp</w:t>
      </w:r>
      <w:r>
        <w:t xml:space="preserve"> = 0.43; Fig. 3A), and the temperature model again accounted for 100% of the model weight (Fig. 3B). Together, these results indicate that high temperatures predict changes characteristic of dysbiosis, including the relative loss of beneficial bacteria alongside the persistence or expansion of potentially pathogenic bacteria (Fig 1A).</w:t>
      </w:r>
      <w:r w:rsidRPr="00041F7C">
        <w:t xml:space="preserve"> </w:t>
      </w:r>
      <w:r>
        <w:t>Notably, the effect size for this ratio was greater than that observed for the comparison between Proteobacteria and Firmicutes (Fig. 2A),</w:t>
      </w:r>
      <w:r w:rsidRPr="00041F7C">
        <w:t xml:space="preserve"> </w:t>
      </w:r>
      <w:r>
        <w:t xml:space="preserve">suggesting that this ratio may better capture biologically meaningful taxonomic shifts associated with elevated temperatures, and with more direct relevance to host health. </w:t>
      </w:r>
    </w:p>
    <w:p w14:paraId="67FA56A3" w14:textId="77777777" w:rsidR="006E5658" w:rsidRDefault="006E5658" w:rsidP="006E5658">
      <w:pPr>
        <w:spacing w:after="0"/>
        <w:ind w:firstLine="720"/>
      </w:pPr>
      <w:r>
        <w:t xml:space="preserve">To investigate which specific bacteria were driving these community-level patterns, we conducted differential abundance analyses at the family and genus levels. Using the same model selection framework, we found that temperature models provided the best fit (while accounting for model complexity) for 85 out of 152 taxa, with each accounting for at least 50% of the total model weight. The majority of these taxa (74 of 85) declined in abundance with increasing temperature (Table S2). Most of the temperature-sensitive taxa that decreased belonged to the Firmicutes and Bacteroidetes phyla (Fig. S3), including several families of obligately anaerobic fermenters critical to SCFA production, such as Oscillospiraceae, Ruminococcaceae, and Butyricicoccaceae. These declines also included genera containing well-known butyrate producers, including Anaerostipes, Blautia, and several members of Clostridium (Table S2). The relative loss of these taxa supports the community-level ratio analyses and suggests that rising temperatures </w:t>
      </w:r>
      <w:r>
        <w:lastRenderedPageBreak/>
        <w:t>disproportionately reduce fermentative commensals that help maintain gut homeostasis through the production of beneficial metabolites.</w:t>
      </w:r>
    </w:p>
    <w:p w14:paraId="09DA9072" w14:textId="77777777" w:rsidR="006E5658" w:rsidRDefault="006E5658" w:rsidP="006E5658">
      <w:pPr>
        <w:ind w:firstLine="720"/>
      </w:pPr>
      <w:r>
        <w:t>In contrast, many taxa within the Proteobacteria and Actinobacteria phyla appeared comparatively resilient to temperature, with rising temperatures often having little or no effect on their abundance (Fig. S3). This included several genera commonly considered pathobionts, such as Klebsiella and Campylobacter (Table S2), which are frequently associated with gut inflammation. We also observed an increase in the relative abundance of Helicobacteraceae (Table S2), a family containing mucosa-associated pathobionts commonly linked to gastrointestinal inflammation. This suggests that elevated temperatures may simultaneously reduce beneficial commensals while permitting the persistence or expansion of opportunistic and inflammation-associated taxa, a pattern widely considered characteristic of gut dysbiosis (Fig 1A).</w:t>
      </w:r>
    </w:p>
    <w:p w14:paraId="20E4281A" w14:textId="77777777" w:rsidR="006E5658" w:rsidRDefault="006E5658" w:rsidP="006E5658">
      <w:pPr>
        <w:spacing w:after="0"/>
      </w:pPr>
      <w:r>
        <w:rPr>
          <w:b/>
          <w:bCs/>
        </w:rPr>
        <w:t>High t</w:t>
      </w:r>
      <w:r w:rsidRPr="00ED38E9">
        <w:rPr>
          <w:b/>
          <w:bCs/>
        </w:rPr>
        <w:t>emperature</w:t>
      </w:r>
      <w:r>
        <w:rPr>
          <w:b/>
          <w:bCs/>
        </w:rPr>
        <w:t>s</w:t>
      </w:r>
      <w:r w:rsidRPr="00ED38E9">
        <w:rPr>
          <w:b/>
          <w:bCs/>
        </w:rPr>
        <w:t xml:space="preserve"> predict </w:t>
      </w:r>
      <w:r>
        <w:rPr>
          <w:b/>
          <w:bCs/>
        </w:rPr>
        <w:t xml:space="preserve">changes to gut microbiome functional capacity consistent with dysbiosis. </w:t>
      </w:r>
      <w:r>
        <w:t xml:space="preserve">To evaluate whether the taxonomic shifts were substantial enough to translate into changes in functional capacity, we constructed analogous log-ratios using the metabolic pathway abundance data. </w:t>
      </w:r>
      <w:r w:rsidRPr="00501FA0">
        <w:t xml:space="preserve">In the first ratio, we constructed the numerator from metabolic pathways involved in opportunistic carbon metabolism, including the utilization of simple sugars, alternative carbon substrates, and host-derived compounds such as glycans and mucins, which are characteristic </w:t>
      </w:r>
      <w:r>
        <w:t xml:space="preserve">of metabolic </w:t>
      </w:r>
      <w:r w:rsidRPr="00501FA0">
        <w:t xml:space="preserve">strategies commonly employed by facultatively anaerobic and </w:t>
      </w:r>
      <w:r>
        <w:t>pathobiont</w:t>
      </w:r>
      <w:r w:rsidRPr="00501FA0">
        <w:t xml:space="preserve"> taxa.</w:t>
      </w:r>
      <w:r>
        <w:t xml:space="preserve"> </w:t>
      </w:r>
      <w:r w:rsidRPr="00994109">
        <w:t xml:space="preserve">We constructed the denominator from pathways involved in fermentative metabolism, including anaerobic </w:t>
      </w:r>
      <w:r>
        <w:t xml:space="preserve">complex </w:t>
      </w:r>
      <w:r w:rsidRPr="00994109">
        <w:t>carbohydrate and amino acid fermentation characteristic of obligately anaerobic commensals</w:t>
      </w:r>
      <w:r>
        <w:t>. We found that opportunistic carbon metabolism increased relative to fermentative metabolism (β</w:t>
      </w:r>
      <w:r w:rsidRPr="00247807">
        <w:rPr>
          <w:vertAlign w:val="subscript"/>
        </w:rPr>
        <w:t>temp</w:t>
      </w:r>
      <w:r>
        <w:t xml:space="preserve"> = 0.47; Fig. 3C), with the temperature model accounting for 74% of the model weight (Fig 3D). This functional shift mirrored the observed taxonomic changes, with elevated temperatures predicting a relative expansion of opportunistic metabolic strategies and a reduction in fermentative metabolism typical of beneficial commensals. These patterns are also consistent with dysbiosis because reduced fermentative metabolism may limit the production of beneficial metabolites, including SCFAs, important for epithelial maintenance and immune regulation. Together, these results suggest that the taxonomic changes predicted by rising temperatures were sufficient to alter the functional potential of the gut microbiome.</w:t>
      </w:r>
    </w:p>
    <w:p w14:paraId="6BE33A3F" w14:textId="77777777" w:rsidR="006E5658" w:rsidRDefault="006E5658" w:rsidP="006E5658">
      <w:pPr>
        <w:ind w:firstLine="720"/>
      </w:pPr>
      <w:r>
        <w:t xml:space="preserve">We also conducted a pathway-level differential abundance analysis to identify additional functional pathways associated with rising temperatures. Of the 277 pathways examined, 62 were best explained by the model including temperature (Table 3S). Across these 62 pathways, temperature was associated with shifts in lipid metabolism consistent with microbial responses to increased in membrane fluidity with rising temperatures. </w:t>
      </w:r>
      <w:r>
        <w:lastRenderedPageBreak/>
        <w:t>Specifically, we observed decreases in lipid catabolism pathways alongside increases in lipid biosynthesis pathways (Fig. 4S), suggesting increased investment in membrane remodeling and maintenance under elevated temperatures. These patterns may also suggest that rising temperatures favor the persistence or expansion of microbial groups better able to tolerate fluctuating environmental conditions, including facultative anaerobes and pathobionts.</w:t>
      </w:r>
    </w:p>
    <w:p w14:paraId="073E63B3" w14:textId="77777777" w:rsidR="006E5658" w:rsidRDefault="006E5658" w:rsidP="006E5658">
      <w:pPr>
        <w:spacing w:after="0"/>
      </w:pPr>
      <w:r>
        <w:rPr>
          <w:b/>
          <w:bCs/>
        </w:rPr>
        <w:t>High t</w:t>
      </w:r>
      <w:r w:rsidRPr="00ED38E9">
        <w:rPr>
          <w:b/>
          <w:bCs/>
        </w:rPr>
        <w:t>emperature</w:t>
      </w:r>
      <w:r>
        <w:rPr>
          <w:b/>
          <w:bCs/>
        </w:rPr>
        <w:t>s</w:t>
      </w:r>
      <w:r w:rsidRPr="00ED38E9">
        <w:rPr>
          <w:b/>
          <w:bCs/>
        </w:rPr>
        <w:t xml:space="preserve"> predict </w:t>
      </w:r>
      <w:r>
        <w:rPr>
          <w:b/>
          <w:bCs/>
        </w:rPr>
        <w:t xml:space="preserve">changes to gut microbiome functional capacity with implications for host health. </w:t>
      </w:r>
      <w:r>
        <w:t>To more directly evaluate the potential consequences of gut dysbiosis, we constructed a second ratio comparing metabolic pathways characteristic of pathobionts in the numerator to beneficial metabolic pathways characteristic of commensals in the denominator. Pathways characteristic of pathobionts included the synthesis of outer membrane components capable of stimulating host immune responses (e.g., lipopolysaccharides [LPS], lipid A, and O-antigens), as well as pathways involved in host glycan degradation and mucus utilization (Table S4), which, in excess, may compromise epithelial barrier integrity and promote inflammation. In contrast, beneficial metabolic pathways characteristic of commensals included those involved in anaerobic fermentation and short-chain fatty acid (SCFA) production, as well as polyamine biosynthesis linked to epithelial integrity and anti-inflammatory effects, and B vitamin biosynthesis that supports host nutrient availability and redox balance (Table S4). We found that pathobiont-associated metabolism increased relative to commensal-associated metabolism with rising temperatures (β</w:t>
      </w:r>
      <w:r w:rsidRPr="00247807">
        <w:rPr>
          <w:vertAlign w:val="subscript"/>
        </w:rPr>
        <w:t>temp</w:t>
      </w:r>
      <w:r>
        <w:t xml:space="preserve"> = 0.28; Fig. 3C), with the temperature model accounting for 62% of the model weight (Fig. 3D).  This suggests that functional changes predicted by high temperatures may have direct consequences for host health by increasing the risk of inflammation via damage to the epithelial barrier and reducing microbial functions that support epithelial integrity, nutrient availability, and immune regulation.</w:t>
      </w:r>
    </w:p>
    <w:p w14:paraId="1C51FA4C" w14:textId="3D8D37D7" w:rsidR="006E5658" w:rsidRDefault="006E5658" w:rsidP="006E5658">
      <w:pPr>
        <w:ind w:firstLine="720"/>
      </w:pPr>
      <w:r>
        <w:t>Our differential abundance analysis suggested that the relative decrease of the acetyl-CoA fermentation to butanoate pathway may be an important driver of this broader community-level shift (Table 3S). Declines in this pathway at higher temperatures are consistent with reductions in obligately anaerobic fermentative taxa, and likely indicate reduced capacity for butyrate production, with potential consequences for epithelial integrity and immune regulation. In contrast, there was a relative increase in pathways involved in lipopolysaccharide (LPS) biosynthesis in Gram-negative bacteria (Table 3S), consistent with the observed expansion of Proteobacteria and suggesting increased potential for host immune activation.</w:t>
      </w:r>
      <w:r w:rsidRPr="000A5B7B">
        <w:t xml:space="preserve"> </w:t>
      </w:r>
      <w:r>
        <w:t>Together, these pathway-level results support the community-level analyses and suggest that high temperatures are associated with functional shifts that may have important consequences for host health.</w:t>
      </w:r>
    </w:p>
    <w:p w14:paraId="6781859E" w14:textId="313D6B81" w:rsidR="00D30FD7" w:rsidRDefault="00D30FD7" w:rsidP="00D30FD7">
      <w:r>
        <w:lastRenderedPageBreak/>
        <w:t xml:space="preserve">Discussion: </w:t>
      </w:r>
    </w:p>
    <w:p w14:paraId="1C221037" w14:textId="598D92F7" w:rsidR="00E9519A" w:rsidRDefault="00D30FD7" w:rsidP="00BF0AB1">
      <w:pPr>
        <w:spacing w:after="0"/>
      </w:pPr>
      <w:r>
        <w:t>Our results provide compelling evidence that ambient temperature is an important predictor of gut microbiome taxonomic composition and functional capacity in a wild non-human primate.</w:t>
      </w:r>
      <w:r>
        <w:t xml:space="preserve"> </w:t>
      </w:r>
      <w:r>
        <w:t xml:space="preserve">Rising temperatures predicted coordinated taxonomic and functional </w:t>
      </w:r>
      <w:r>
        <w:t>changes</w:t>
      </w:r>
      <w:r>
        <w:t xml:space="preserve"> characteristic of dysbiosis, including (1) reduced taxonomic and functional diversity, (2) the relative loss of commensal taxa and beneficial metabolic functions, and (3) the relative expansion of potentially pathogenic taxa </w:t>
      </w:r>
      <w:r>
        <w:t xml:space="preserve">and </w:t>
      </w:r>
      <w:r>
        <w:t xml:space="preserve">metabolic functions that </w:t>
      </w:r>
      <w:r>
        <w:t>could</w:t>
      </w:r>
      <w:r>
        <w:t xml:space="preserve"> promote inflammation</w:t>
      </w:r>
      <w:r>
        <w:t xml:space="preserve">. </w:t>
      </w:r>
      <w:r w:rsidR="00E9519A">
        <w:t xml:space="preserve">Many of these changes also parallel patterns observed in experimentally induced heat stress, suggesting that high ambient temperatures </w:t>
      </w:r>
      <w:r w:rsidR="000D2449">
        <w:t xml:space="preserve">in </w:t>
      </w:r>
      <w:r w:rsidR="00E9519A">
        <w:t>real-world</w:t>
      </w:r>
      <w:r w:rsidR="00E9519A">
        <w:t xml:space="preserve"> environments may exert similar effects on gut microbiome </w:t>
      </w:r>
      <w:r w:rsidR="00E9519A">
        <w:t>composition</w:t>
      </w:r>
      <w:r w:rsidR="00E9519A">
        <w:t xml:space="preserve"> and functional potential</w:t>
      </w:r>
      <w:r w:rsidR="00E9519A">
        <w:t>. These findings provide some of the first evidence</w:t>
      </w:r>
      <w:r w:rsidR="004C7D43">
        <w:t xml:space="preserve"> from a natural population</w:t>
      </w:r>
      <w:r w:rsidR="00E9519A">
        <w:t xml:space="preserve"> </w:t>
      </w:r>
      <w:r w:rsidR="00A62C03">
        <w:t>that the consequences of heat for the</w:t>
      </w:r>
      <w:r w:rsidR="00E9519A">
        <w:t xml:space="preserve"> gut microbiome may represent an important mechanism by which high temperatures influence host health</w:t>
      </w:r>
      <w:r w:rsidR="004C7D43">
        <w:t xml:space="preserve">. </w:t>
      </w:r>
    </w:p>
    <w:p w14:paraId="5E6F2F8C" w14:textId="72B2764B" w:rsidR="00ED4616" w:rsidRDefault="004C7D43" w:rsidP="004C7D43">
      <w:pPr>
        <w:spacing w:after="0"/>
        <w:ind w:firstLine="720"/>
      </w:pPr>
      <w:r>
        <w:t xml:space="preserve">Even though we could not </w:t>
      </w:r>
      <w:r>
        <w:t xml:space="preserve">isolate the effects of temperature in our study system from the </w:t>
      </w:r>
      <w:r>
        <w:t>diverse</w:t>
      </w:r>
      <w:r>
        <w:t xml:space="preserve"> ecological and behavioral changes that covary with periods of high temperatures</w:t>
      </w:r>
      <w:r>
        <w:t xml:space="preserve">, our results suggest that physiological heat stress plays a role in driving these changes. </w:t>
      </w:r>
      <w:r w:rsidR="003A2343">
        <w:t>For example, heat stress can disrupt oxygen conditions within the gastrointestinal tract</w:t>
      </w:r>
      <w:r w:rsidR="003A2343">
        <w:t xml:space="preserve"> </w:t>
      </w:r>
      <w:r w:rsidR="003A2343">
        <w:fldChar w:fldCharType="begin"/>
      </w:r>
      <w:r w:rsidR="003A2343">
        <w:instrText xml:space="preserve"> ADDIN ZOTERO_ITEM CSL_CITATION {"citationID":"qsx8YVsN","properties":{"unsorted":false,"formattedCitation":"(Hall et al., 2001)","plainCitation":"(Hall et al., 2001)","noteIndex":0},"citationItems":[{"id":3189,"uris":["http://zotero.org/users/13901503/items/IN6DJBZU"],"itemData":{"id":3189,"type":"article-journal","abstract":"This work tested the hypotheses that splanchnic oxidant generation is important in determining heat tolerance and that inappropriate ·NO production may be involved in circulatory dysfunction with heat stroke. We monitored colonic temperature (Tc), heart rate, mean arterial pressure, and splanchnic blood flow (SBF) in anesthetized rats exposed to 40°C ambient temperature. Heating rate, heating time, and thermal load determined heat tolerance. Portal blood was regularly collected for determination of radical and endotoxin content. Elevating Tc from 37 to 41.5°C reduced SBF by 40% and stimulated production of the radicals ceruloplasmin, semiquinone, and penta-coordinate iron(II) nitrosyl-heme (heme-·NO). Portal endotoxin concentration rose from 28 to 59 pg/ml (P &lt; 0.05). Compared with heat stress alone, heat plus treatment with the nitric oxide synthase (NOS) antagonistN ω-nitro-l-arginine methyl ester (l-NAME) dose dependently depressed heme-·NO production and increased ceruloplasmin and semiquinone levels. l-NAME also significantly reduced lowered SBF, increased portal endotoxin concentration, and reduced heat tolerance (P &lt; 0.05). The NOS II and diamine oxidase antagonist aminoguanidine, the superoxide anion scavenger superoxide dismutase, and the xanthine oxidase antagonist allopurinol slowed the rates of heme-·NO production, decreased ceruloplasmin and semiquinone levels, and preserved SBF. However, only aminoguanidine and allopurinol improved heat tolerance, and only allpourinol eliminated the rise in portal endotoxin content. We conclude that hyperthermia stimulates xanthine oxidase production of reactive oxygen species that activate metals and limit heat tolerance by promoting circulatory and intestinal barrier dysfunction. In addition, intact NOS activity is required for normal stress tolerance, whereas overproduction of ·NO may contribute to the nonprogrammed splanchnic dilation that precedes vascular collapse with heat stroke.","container-title":"American Journal of Physiology-Heart and Circulatory Physiology","DOI":"10.1152/ajpheart.2001.280.2.H509","ISSN":"0363-6135","issue":"2","page":"H509-H521","publisher":"American Physiological Society","source":"journals.physiology.org (Atypon)","title":"Mechanisms of circulatory and intestinal barrier dysfunction during whole body hyperthermia","volume":"280","author":[{"family":"Hall","given":"David M."},{"family":"Buettner","given":"Garry R."},{"family":"Oberley","given":"Larry W."},{"family":"Xu","given":"Linjing"},{"family":"Matthes","given":"Ronald D."},{"family":"Gisolfi","given":"Carl V."}],"issued":{"date-parts":[["2001",2]]}}}],"schema":"https://github.com/citation-style-language/schema/raw/master/csl-citation.json"} </w:instrText>
      </w:r>
      <w:r w:rsidR="003A2343">
        <w:fldChar w:fldCharType="separate"/>
      </w:r>
      <w:r w:rsidR="003A2343">
        <w:rPr>
          <w:noProof/>
        </w:rPr>
        <w:t>(Hall et al., 2001)</w:t>
      </w:r>
      <w:r w:rsidR="003A2343">
        <w:fldChar w:fldCharType="end"/>
      </w:r>
      <w:r w:rsidR="003A2343">
        <w:t>, increasing oxygen availability in ways that may favor bacteria with greater tolerance to oxidative stress at the expense of beneficial commensals</w:t>
      </w:r>
      <w:r w:rsidR="003A2343">
        <w:t xml:space="preserve"> </w:t>
      </w:r>
      <w:r w:rsidR="003A2343">
        <w:fldChar w:fldCharType="begin"/>
      </w:r>
      <w:r w:rsidR="003A2343">
        <w:instrText xml:space="preserve"> ADDIN ZOTERO_ITEM CSL_CITATION {"citationID":"luAMzY8g","properties":{"unsorted":false,"formattedCitation":"(Lu et al., 2018; Winter et al., 2010, 2013)","plainCitation":"(Lu et al., 2018; Winter et al., 2010, 2013)","noteIndex":0},"citationItems":[{"id":3598,"uris":["http://zotero.org/users/13901503/items/AT42KT3B"],"itemData":{"id":3598,"type":"article-journal","abstract":"It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Sciences","DOI":"10.1073/pnas.1800120115","issue":"14","page":"E3266-E3275","publisher":"Proceedings of the National Academy of Sciences","source":"www-pnas-org.proxy.lib.umich.edu (Atypon)","title":"Endogenous superoxide is a key effector of the oxygen sensitivity of a model obligate anaerobe","volume":"115","author":[{"family":"Lu","given":"Zheng"},{"family":"Sethu","given":"Ramakrishnan"},{"family":"Imlay","given":"James A."}],"issued":{"date-parts":[["2018",4,3]]}}},{"id":7521,"uris":["http://zotero.org/users/13901503/items/EA4N4T4K"],"itemData":{"id":7521,"type":"article-journal","abstract":"Salmonella enterica serotype Typhimurium (S. Typhimurium) causes acute gut inflammation by using its virulence factors to invade the intestinal epithelium and survive in mucosal macrophages. The inflammatory response enhances the transmission success of S. Typhimurium by promoting its outgrowth in the gut lumen through unknown mechanisms. Here we show that reactive oxygen species generated during inflammation react with endogenous, luminal sulphur compounds (thiosulphate) to form a new respiratory electron acceptor, tetrathionate. The genes conferring the ability to use tetrathionate as an electron acceptor produce a growth advantage for S. Typhimurium over the competing microbiota in the lumen of the inflamed gut. We conclude that S. Typhimurium virulence factors induce host-driven production of a new electron acceptor that allows the pathogen to use respiration to compete with fermenting gut microbes. Thus the ability to trigger intestinal inflammation is crucial for the biology of this diarrhoeal pathogen.","container-title":"Nature","DOI":"10.1038/nature09415","ISSN":"1476-4687","issue":"7314","language":"en","license":"2010 Springer Nature Limited","page":"426-429","publisher":"Nature Publishing Group","source":"www.nature.com","title":"Gut inflammation provides a respiratory electron acceptor for Salmonella","volume":"467","author":[{"family":"Winter","given":"Sebastian E."},{"family":"Thiennimitr","given":"Parameth"},{"family":"Winter","given":"Maria G."},{"family":"Butler","given":"Brian P."},{"family":"Huseby","given":"Douglas L."},{"family":"Crawford","given":"Robert W."},{"family":"Russell","given":"Joseph M."},{"family":"Bevins","given":"Charles L."},{"family":"Adams","given":"L. Garry"},{"family":"Tsolis","given":"Renée M."},{"family":"Roth","given":"John R."},{"family":"Bäumler","given":"Andreas J."}],"issued":{"date-parts":[["2010",9]]}}},{"id":7620,"uris":["http://zotero.org/users/13901503/items/58RI9EC7"],"itemData":{"id":7620,"type":"article-journal","abstract":"E. coli\n              kNOws How to Win\n            \n            \n              The harmonious existence among the various microbial inhabitants of the gut is critical for good health. However, inflammation from injury or inflammatory bowel disease, can disrupt this balance and lead to the outgrowth of particular bacteria. The outgrowth of members of the Enterobacteriaceae family, which includes\n              Escherichia coli\n              , is often observed. Because\n              E. coli\n              are facultative rather an obligate anaerobes,\n              \n                Winter\n                et al.\n              \n              (p.\n              708\n              ) postulated that they may be able to use by-products of reactive oxygen and nitrogen species, which are produced during inflammation, for anaerobic respiration, thereby edging out other fermenting bacteria. Indeed, in two mouse models of colitis and in a model of intestinal injury, various\n              E. coli\n              strains were able to use host-derived nitrate as an energy source and outcompete mutant strains unable to do this.\n            \n          , \n            \n              During inflammation,\n              Escherichia coli\n              uses nitrate respiration to gain a growth advantage over other gut bacteria.\n            \n          , \n            \n              Changes in the microbial community structure are observed in individuals with intestinal inflammatory disorders. These changes are often characterized by a depletion of obligate anaerobic bacteria, whereas the relative abundance of facultative anaerobic Enterobacteriaceae increases. The mechanisms by which the host response shapes the microbial community structure, however, remain unknown. We show that nitrate generated as a by-product of the inflammatory response conferred a growth advantage to the commensal bacterium\n              Escherichia coli\n              in the large intestine of mice. Mice deficient in inducible nitric oxide synthase did not support the growth of\n              E. coli\n              by nitrate respiration, suggesting that the nitrate generated during inflammation was host-derived. Thus, the inflammatory host response selectively enhances the growth of commensal Enterobacteriaceae by generating electron acceptors for anaerobic respiration.","container-title":"Science","DOI":"10.1126/science.1232467","ISSN":"0036-8075, 1095-9203","issue":"6120","journalAbbreviation":"Science","language":"en","page":"708-711","source":"DOI.org (Crossref)","title":"Host-Derived Nitrate Boosts Growth of &lt;i&gt;E. coli&lt;/i&gt; in the Inflamed Gut","volume":"339","author":[{"family":"Winter","given":"Sebastian E."},{"family":"Winter","given":"Maria G."},{"family":"Xavier","given":"Mariana N."},{"family":"Thiennimitr","given":"Parameth"},{"family":"Poon","given":"Victor"},{"family":"Keestra","given":"A. Marijke"},{"family":"Laughlin","given":"Richard C."},{"family":"Gomez","given":"Gabriel"},{"family":"Wu","given":"Jing"},{"family":"Lawhon","given":"Sara D."},{"family":"Popova","given":"Ina E."},{"family":"Parikh","given":"Sanjai J."},{"family":"Adams","given":"L. Garry"},{"family":"Tsolis","given":"Renée M."},{"family":"Stewart","given":"Valley J."},{"family":"Bäumler","given":"Andreas J."}],"issued":{"date-parts":[["2013",2,8]]}}}],"schema":"https://github.com/citation-style-language/schema/raw/master/csl-citation.json"} </w:instrText>
      </w:r>
      <w:r w:rsidR="003A2343">
        <w:fldChar w:fldCharType="separate"/>
      </w:r>
      <w:r w:rsidR="003A2343">
        <w:rPr>
          <w:noProof/>
        </w:rPr>
        <w:t>(Lu et al., 2018; Winter et al., 2010, 2013)</w:t>
      </w:r>
      <w:r w:rsidR="003A2343">
        <w:fldChar w:fldCharType="end"/>
      </w:r>
      <w:r w:rsidR="003A2343">
        <w:t>. Our results are consistent with th</w:t>
      </w:r>
      <w:r w:rsidR="00B9436A">
        <w:t>is</w:t>
      </w:r>
      <w:r w:rsidR="003A2343">
        <w:t xml:space="preserve"> “oxygen hypothesis” of dysbiosis, in which increased gut oxygenation promotes the relative expansion of facultative anaerobes and aerobes while reducing obligately anaerobic fermenters</w:t>
      </w:r>
      <w:r w:rsidR="003A2343">
        <w:t xml:space="preserve"> </w:t>
      </w:r>
      <w:r w:rsidR="003A2343">
        <w:fldChar w:fldCharType="begin"/>
      </w:r>
      <w:r w:rsidR="003A2343">
        <w:instrText xml:space="preserve"> ADDIN ZOTERO_ITEM CSL_CITATION {"citationID":"OuqAyutT","properties":{"unsorted":false,"formattedCitation":"(Rigottier-Gois, 2013)","plainCitation":"(Rigottier-Gois, 2013)","noteIndex":0},"citationItems":[{"id":3546,"uris":["http://zotero.org/users/13901503/items/UTQWYXVP"],"itemData":{"id":3546,"type":"article-journal","abstract":"The healthy intestine is characterized by a low level of oxygen and by the presence of large bacterial communities of obligate anaerobes. Dysbiosis of the gut microbiota has been reported in patients suffering from inflammatory bowel diseases (IBDs), but the mechanisms causing this imbalance remain unknown. Observations have included a decrease in obligate anaerobes of the phylum Firmicutes and an increase in facultative anaerobes, including members of the family Enterobacteriaceae. The shift of bacterial communities from obligate to facultative anaerobes strongly suggests a disruption in anaerobiosis and points to a role for oxygen in intestinal dysbiosis. Proposals to evaluate this hypothesis of a role for oxygen in IBD dysbiosis are provided. If this hypothesis is confirmed, decreasing oxygen in the intestine could open novel means to rebalance the microbiota and could provide novel preventative or therapeutic strategies for IBD patients in whom current treatments are ineffective.","container-title":"The ISME Journal","DOI":"10.1038/ismej.2013.80","ISSN":"1751-7370","issue":"7","journalAbbreviation":"ISME J","language":"en","license":"2013 International Society for Microbial Ecology","page":"1256-1261","publisher":"Nature Publishing Group","source":"www-nature-com.proxy.lib.umich.edu","title":"Dysbiosis in inflammatory bowel diseases: the oxygen hypothesis","title-short":"Dysbiosis in inflammatory bowel diseases","volume":"7","author":[{"family":"Rigottier-Gois","given":"Lionel"}],"issued":{"date-parts":[["2013",7]]}}}],"schema":"https://github.com/citation-style-language/schema/raw/master/csl-citation.json"} </w:instrText>
      </w:r>
      <w:r w:rsidR="003A2343">
        <w:fldChar w:fldCharType="separate"/>
      </w:r>
      <w:r w:rsidR="003A2343">
        <w:rPr>
          <w:noProof/>
        </w:rPr>
        <w:t>(Rigottier-Gois, 2013)</w:t>
      </w:r>
      <w:r w:rsidR="003A2343">
        <w:fldChar w:fldCharType="end"/>
      </w:r>
      <w:r w:rsidR="003A2343">
        <w:t>.</w:t>
      </w:r>
    </w:p>
    <w:p w14:paraId="07375B01" w14:textId="24AC5D88" w:rsidR="00ED4616" w:rsidRDefault="00ED4616" w:rsidP="00ED4616">
      <w:pPr>
        <w:spacing w:after="0"/>
        <w:ind w:firstLine="720"/>
      </w:pPr>
      <w:r w:rsidRPr="00ED4616">
        <w:t>In tandem, the indirect effects of high ambient temperatures, including ecological changes associated with the hot dry season</w:t>
      </w:r>
      <w:r>
        <w:t>,</w:t>
      </w:r>
      <w:r w:rsidRPr="00ED4616">
        <w:t xml:space="preserve"> such as </w:t>
      </w:r>
      <w:r>
        <w:t xml:space="preserve">changes </w:t>
      </w:r>
      <w:r w:rsidRPr="00ED4616">
        <w:t>in food and water availability</w:t>
      </w:r>
      <w:r w:rsidR="00E50407">
        <w:t xml:space="preserve"> </w:t>
      </w:r>
      <w:r w:rsidR="00E50407">
        <w:fldChar w:fldCharType="begin"/>
      </w:r>
      <w:r w:rsidR="00E50407">
        <w:instrText xml:space="preserve"> ADDIN ZOTERO_ITEM CSL_CITATION {"citationID":"j3fsQokO","properties":{"unsorted":false,"formattedCitation":"(Melin et al., 2014)","plainCitation":"(Melin et al., 2014)","noteIndex":0},"citationItems":[{"id":7262,"uris":["http://zotero.org/users/13901503/items/CTFFN4UR"],"itemData":{"id":7262,"type":"article-journal","abstract":"The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E50407">
        <w:fldChar w:fldCharType="separate"/>
      </w:r>
      <w:r w:rsidR="00E50407">
        <w:rPr>
          <w:noProof/>
        </w:rPr>
        <w:t>(Melin et al., 2014)</w:t>
      </w:r>
      <w:r w:rsidR="00E50407">
        <w:fldChar w:fldCharType="end"/>
      </w:r>
      <w:r w:rsidRPr="00ED4616">
        <w:t>, along with behavioral adjustments in ranging patterns and activity budgets</w:t>
      </w:r>
      <w:r w:rsidR="00E50407">
        <w:t xml:space="preserve"> </w:t>
      </w:r>
      <w:r w:rsidR="00E50407">
        <w:fldChar w:fldCharType="begin"/>
      </w:r>
      <w:r w:rsidR="00E50407">
        <w:instrText xml:space="preserve"> ADDIN ZOTERO_ITEM CSL_CITATION {"citationID":"3NJFjHCq","properties":{"unsorted":false,"formattedCitation":"(Campos &amp; Fedigan, 2009)","plainCitation":"(Campos &amp; Fedigan, 2009)","noteIndex":0},"citationItems":[{"id":545,"uris":["http://zotero.org/users/13901503/items/DK9CP8XR"],"itemData":{"id":545,"type":"article-journal","abstract":"We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E50407">
        <w:rPr>
          <w:rFonts w:ascii="Cambria Math" w:hAnsi="Cambria Math" w:cs="Cambria Math"/>
        </w:rPr>
        <w:instrText>∼</w:instrText>
      </w:r>
      <w:r w:rsidR="00E50407">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E50407">
        <w:fldChar w:fldCharType="separate"/>
      </w:r>
      <w:r w:rsidR="00E50407">
        <w:rPr>
          <w:noProof/>
        </w:rPr>
        <w:t>(Campos &amp; Fedigan, 2009)</w:t>
      </w:r>
      <w:r w:rsidR="00E50407">
        <w:fldChar w:fldCharType="end"/>
      </w:r>
      <w:r w:rsidRPr="00ED4616">
        <w:t>, also certainly contribute to these effects.</w:t>
      </w:r>
      <w:r>
        <w:t xml:space="preserve"> </w:t>
      </w:r>
      <w:r>
        <w:t>Although we attempted to account for broad changes in seasonal ecology and dietary variation, future work would benefit from more detailed analysis of these variables,</w:t>
      </w:r>
      <w:r w:rsidR="00B9436A">
        <w:t xml:space="preserve"> </w:t>
      </w:r>
      <w:r>
        <w:t xml:space="preserve">particularly </w:t>
      </w:r>
      <w:r w:rsidR="00B9436A">
        <w:t xml:space="preserve">how fiber intake varies with temperature. </w:t>
      </w:r>
      <w:r>
        <w:t>Dietary fiber plays an important role in maintaining mucus barrier integrity and has been closely linked to susceptibility to dysbiosis and inflammatory bowel disease</w:t>
      </w:r>
      <w:r>
        <w:t xml:space="preserve"> </w:t>
      </w:r>
      <w:r>
        <w:fldChar w:fldCharType="begin"/>
      </w:r>
      <w:r>
        <w:instrText xml:space="preserve"> ADDIN ZOTERO_ITEM CSL_CITATION {"citationID":"MoIq8sQT","properties":{"unsorted":false,"formattedCitation":"(Desai et al., 2016)","plainCitation":"(Desai et al., 2016)","noteIndex":0},"citationItems":[{"id":7927,"uris":["http://zotero.org/users/13901503/items/L93DUF63"],"itemData":{"id":7927,"type":"article-journal","abstract":"Despite the accepted health beneﬁts of consuming dietary ﬁber, little is known about the mechanisms by which ﬁber deprivation impacts the gut microbiota and alters disease risk. Using a gnotobiotic mouse model, in which animals were colonized with a synthetic human gut microbiota composed of fully sequenced commensal bacteria, we elucidated the functional interactions between dietary ﬁber, the gut microbiota, and the colonic mucus barrier, which serves as a primary defense against enteric pathogens. We show that during chronic or intermittent dietary ﬁber deﬁciency, the gut microbiota resorts to host-secreted mucus glycoproteins as a nutrient source, leading to erosion of the colonic mucus barrier. Dietary ﬁber deprivation, together with a ﬁber-deprived, mucus-eroding microbiota, promotes greater epithelial access and lethal colitis by the mucosal pathogen, Citrobacter rodentium. Our work reveals intricate pathways linking diet, the gut microbiome, and intestinal barrier dysfunction, which could be exploited to improve health using dietary therapeutics.","container-title":"Cell","DOI":"10.1016/j.cell.2016.10.043","ISSN":"00928674","issue":"5","journalAbbreviation":"Cell","language":"en","page":"1339-1353.e21","source":"DOI.org (Crossref)","title":"A Dietary Fiber-Deprived Gut Microbiota Degrades the Colonic Mucus Barrier and Enhances Pathogen Susceptibility","volume":"167","author":[{"family":"Desai","given":"Mahesh S."},{"family":"Seekatz","given":"Anna M."},{"family":"Koropatkin","given":"Nicole M."},{"family":"Kamada","given":"Nobuhiko"},{"family":"Hickey","given":"Christina A."},{"family":"Wolter","given":"Mathis"},{"family":"Pudlo","given":"Nicholas A."},{"family":"Kitamoto","given":"Sho"},{"family":"Terrapon","given":"Nicolas"},{"family":"Muller","given":"Arnaud"},{"family":"Young","given":"Vincent B."},{"family":"Henrissat","given":"Bernard"},{"family":"Wilmes","given":"Paul"},{"family":"Stappenbeck","given":"Thaddeus S."},{"family":"Núñez","given":"Gabriel"},{"family":"Martens","given":"Eric C."}],"issued":{"date-parts":[["2016",11]]}}}],"schema":"https://github.com/citation-style-language/schema/raw/master/csl-citation.json"} </w:instrText>
      </w:r>
      <w:r>
        <w:fldChar w:fldCharType="separate"/>
      </w:r>
      <w:r>
        <w:rPr>
          <w:noProof/>
        </w:rPr>
        <w:t>(Desai et al., 2016)</w:t>
      </w:r>
      <w:r>
        <w:fldChar w:fldCharType="end"/>
      </w:r>
      <w:r>
        <w:t>.</w:t>
      </w:r>
      <w:r w:rsidR="00E50407" w:rsidRPr="00E50407">
        <w:t xml:space="preserve"> </w:t>
      </w:r>
      <w:r w:rsidR="00E50407">
        <w:t xml:space="preserve">Therefore, </w:t>
      </w:r>
      <w:r w:rsidR="00E50407">
        <w:t>although we cannot isolate the direct effects of heat in our study system, our results demonstrate that high ambient temperatures predict changes in physiology, behavior, and ecology that together reshape the gut microbiome, highlighting the importance of studying these mechanisms under real-world conditions.</w:t>
      </w:r>
    </w:p>
    <w:p w14:paraId="49A5294C" w14:textId="250942D8" w:rsidR="00A47212" w:rsidRDefault="00733445" w:rsidP="00A47212">
      <w:pPr>
        <w:spacing w:after="0"/>
        <w:ind w:firstLine="720"/>
      </w:pPr>
      <w:r>
        <w:lastRenderedPageBreak/>
        <w:t>Our results contribute to a growing understanding of the importance of environmental conditions in shaping susceptibility to and the severity of inflammatory bowel diseases.</w:t>
      </w:r>
      <w:r w:rsidR="00A47212">
        <w:t xml:space="preserve"> </w:t>
      </w:r>
      <w:r w:rsidR="006E5658">
        <w:t xml:space="preserve">While most research on dysbiosis and inflammatory disease has focused on genetic or lifestyle </w:t>
      </w:r>
      <w:r>
        <w:t>factors</w:t>
      </w:r>
      <w:r w:rsidR="006E5658">
        <w:t>, far less attention has been given to how the abiotic environment may</w:t>
      </w:r>
      <w:r w:rsidR="00A62C03">
        <w:t xml:space="preserve"> </w:t>
      </w:r>
      <w:r w:rsidR="006E5658">
        <w:t>contribute</w:t>
      </w:r>
      <w:r w:rsidR="000C4015">
        <w:t xml:space="preserve"> (directly or indirectly)</w:t>
      </w:r>
      <w:r w:rsidR="006E5658">
        <w:t xml:space="preserve"> to these conditions. </w:t>
      </w:r>
      <w:r w:rsidR="00A62C03">
        <w:t xml:space="preserve">Future work in natural populations should evaluate whether heat-driven changes to the microbiome translate into </w:t>
      </w:r>
      <w:r w:rsidR="00A62C03">
        <w:t>measurable differences in host health, fitness, or reproductive outcomes.</w:t>
      </w:r>
      <w:r w:rsidR="00A62C03">
        <w:t xml:space="preserve"> </w:t>
      </w:r>
      <w:r w:rsidR="00A47212">
        <w:t xml:space="preserve">Non-invasive biomarkers of immune activity, such as neopterin and urinary </w:t>
      </w:r>
      <w:r w:rsidR="00340EEA" w:rsidRPr="00340EEA">
        <w:t xml:space="preserve">soluble urokinase plasminogen activator receptor </w:t>
      </w:r>
      <w:r w:rsidR="00340EEA">
        <w:t>(</w:t>
      </w:r>
      <w:r w:rsidR="00A47212">
        <w:t>suPAR</w:t>
      </w:r>
      <w:r w:rsidR="00340EEA">
        <w:t>)</w:t>
      </w:r>
      <w:r w:rsidR="00A47212">
        <w:t>, along with indicators of oxidative stress</w:t>
      </w:r>
      <w:r w:rsidR="00A47212">
        <w:t>,</w:t>
      </w:r>
      <w:r w:rsidR="00A47212">
        <w:t xml:space="preserve"> including markers of DNA damage and protein oxidation, </w:t>
      </w:r>
      <w:r w:rsidR="00A47212">
        <w:t>are</w:t>
      </w:r>
      <w:r w:rsidR="00A47212">
        <w:t xml:space="preserve"> promising tools for quantifying the physiological consequences </w:t>
      </w:r>
      <w:r w:rsidR="00A47212">
        <w:t xml:space="preserve">of dysbiosis </w:t>
      </w:r>
      <w:r w:rsidR="00A47212">
        <w:t>in wild animal populations.</w:t>
      </w:r>
      <w:r w:rsidR="00A47212">
        <w:t xml:space="preserve"> </w:t>
      </w:r>
    </w:p>
    <w:p w14:paraId="3EC767B2" w14:textId="388E6428" w:rsidR="00A47212" w:rsidRDefault="00A47212" w:rsidP="00A47212">
      <w:pPr>
        <w:spacing w:after="0"/>
        <w:ind w:firstLine="720"/>
      </w:pPr>
      <w:r>
        <w:t>Our findings are also particularly relevant in the context of ongoing anthropogenic climate change and suggest that globally rising temperatures may have important implications for host health through their effects on the gut microbiome.</w:t>
      </w:r>
      <w:r w:rsidRPr="00A47212">
        <w:t xml:space="preserve"> </w:t>
      </w:r>
      <w:r>
        <w:t>Future work should also investigate how the duration and intensity of high ambient temperatures influence these patterns, particularly during periods of heat that exceed the historical temperature range of a region.</w:t>
      </w:r>
      <w:r w:rsidRPr="00733445">
        <w:t xml:space="preserve"> </w:t>
      </w:r>
      <w:r>
        <w:t>Overall, these results lay an important foundation for understanding how gut microbiomes may contribute to the heat tolerance of their hosts and how rising temperatures may influence the health of both wild animals and humans in the future.</w:t>
      </w:r>
    </w:p>
    <w:p w14:paraId="0A89E1FF" w14:textId="02E1F5DA" w:rsidR="00A47212" w:rsidRDefault="00A47212" w:rsidP="00A47212">
      <w:pPr>
        <w:spacing w:after="0"/>
        <w:ind w:firstLine="720"/>
      </w:pPr>
    </w:p>
    <w:p w14:paraId="7AE19E42" w14:textId="62566429" w:rsidR="00A47212" w:rsidRDefault="001631FB" w:rsidP="001631FB">
      <w:pPr>
        <w:spacing w:after="0"/>
      </w:pPr>
      <w:r>
        <w:t xml:space="preserve">Methods: </w:t>
      </w:r>
    </w:p>
    <w:p w14:paraId="5593AA76" w14:textId="77777777" w:rsidR="009F090F" w:rsidRDefault="009F090F" w:rsidP="009F090F">
      <w:pPr>
        <w:spacing w:after="0"/>
        <w:rPr>
          <w:u w:val="single"/>
        </w:rPr>
      </w:pPr>
      <w:r w:rsidRPr="00487A6E">
        <w:rPr>
          <w:u w:val="single"/>
        </w:rPr>
        <w:t xml:space="preserve">Site information and </w:t>
      </w:r>
      <w:r>
        <w:rPr>
          <w:u w:val="single"/>
        </w:rPr>
        <w:t>data</w:t>
      </w:r>
      <w:r w:rsidRPr="00487A6E">
        <w:rPr>
          <w:u w:val="single"/>
        </w:rPr>
        <w:t xml:space="preserve"> collection</w:t>
      </w:r>
    </w:p>
    <w:p w14:paraId="1ED57F7A" w14:textId="0D0D62CA" w:rsidR="009F090F" w:rsidRPr="009F090F" w:rsidRDefault="009F090F" w:rsidP="009F090F">
      <w:pPr>
        <w:spacing w:after="0"/>
        <w:rPr>
          <w:u w:val="single"/>
        </w:rPr>
      </w:pPr>
      <w:r>
        <w:t xml:space="preserve">We collected data from a wild population of </w:t>
      </w:r>
      <w:r w:rsidRPr="007D107D">
        <w:rPr>
          <w:i/>
          <w:iCs/>
        </w:rPr>
        <w:t>C</w:t>
      </w:r>
      <w:r>
        <w:rPr>
          <w:i/>
          <w:iCs/>
        </w:rPr>
        <w:t>.</w:t>
      </w:r>
      <w:r w:rsidRPr="007D107D">
        <w:rPr>
          <w:i/>
          <w:iCs/>
        </w:rPr>
        <w:t xml:space="preserve"> imitator</w:t>
      </w:r>
      <w:r>
        <w:t xml:space="preserve"> in the Taboga Forest Reserve. </w:t>
      </w:r>
      <w:r w:rsidRPr="00EB2753">
        <w:t xml:space="preserve">The </w:t>
      </w:r>
      <w:r>
        <w:t xml:space="preserve">reserve </w:t>
      </w:r>
      <w:r w:rsidRPr="00EB2753">
        <w:t>is a 516-ha tropical dry forest</w:t>
      </w:r>
      <w:r>
        <w:t xml:space="preserve"> fragment in </w:t>
      </w:r>
      <w:r w:rsidRPr="00EB2753">
        <w:t>Guanacaste</w:t>
      </w:r>
      <w:r>
        <w:t>, n</w:t>
      </w:r>
      <w:r w:rsidRPr="00EB2753">
        <w:t>orthwestern Costa Rica</w:t>
      </w:r>
      <w:r>
        <w:t xml:space="preserve">, that forms part of a </w:t>
      </w:r>
      <w:r w:rsidRPr="00EB2753">
        <w:t>biological corridor connecting the Tempisque River Basin to the Guanacaste Mountains</w:t>
      </w:r>
      <w:r>
        <w:t xml:space="preserve"> </w:t>
      </w:r>
      <w:r>
        <w:fldChar w:fldCharType="begin"/>
      </w:r>
      <w:r>
        <w:instrText xml:space="preserve"> ADDIN ZOTERO_ITEM CSL_CITATION {"citationID":"eQw2Y3nW","properties":{"formattedCitation":"(Tinsley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The Capuchinos de Taboga has collected daily behavioral and endocrine data on three habituated groups of white-faced capuchins since 2018. All individuals were uniquely identified. Age was determined using known birth dates for monkeys younger than seven years and estimated for older individuals by a field team member (J.C.O.) with over two decades of experience observing wild capuchins. Daily behavioral observations and sample collection were conducted by a team of two or more trained field assistants</w:t>
      </w:r>
      <w:r w:rsidRPr="008006B8">
        <w:t xml:space="preserve"> </w:t>
      </w:r>
      <w:r>
        <w:t>between 5:00 AM and 6:30 PM. Behavioral observations included feeding and foraging behavior using a scan sampling procedure every 30 minutes for 10 minutes. During the scan, feeding and foraging observations of individually identified monkeys were recorded, with individuals recorded multiple times if they engaged with different food items. Plant food items were identified on the family or genus level.</w:t>
      </w:r>
    </w:p>
    <w:p w14:paraId="7F882A68" w14:textId="77777777" w:rsidR="009F090F" w:rsidRDefault="009F090F" w:rsidP="009F090F">
      <w:pPr>
        <w:spacing w:after="0"/>
        <w:ind w:firstLine="720"/>
        <w:rPr>
          <w:bCs/>
        </w:rPr>
      </w:pPr>
      <w:r>
        <w:lastRenderedPageBreak/>
        <w:t xml:space="preserve">In conjunction with behavioral observations, we </w:t>
      </w:r>
      <w:r w:rsidRPr="00196F3A">
        <w:t>opportunistically</w:t>
      </w:r>
      <w:r>
        <w:t xml:space="preserve"> collected fecal and urine samples between September 2022 and July 2023. All samples were collected </w:t>
      </w:r>
      <w:r w:rsidRPr="00196F3A">
        <w:t xml:space="preserve">from </w:t>
      </w:r>
      <w:r>
        <w:t xml:space="preserve">identified </w:t>
      </w:r>
      <w:r w:rsidRPr="00196F3A">
        <w:t xml:space="preserve">individuals </w:t>
      </w:r>
      <w:r>
        <w:t>that</w:t>
      </w:r>
      <w:r w:rsidRPr="00196F3A">
        <w:t xml:space="preserve"> appeared healthy upon visual inspection</w:t>
      </w:r>
      <w:r>
        <w:t xml:space="preserve">. Fecal samples were placed in 4 mL of 98% ethanol immediately after defecation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Ecology","page":"1344-1353","publisher":"Nature Publishing Group","source":"www.nature.com","title":"Habitat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t>(Amato et al., 2013)</w:t>
      </w:r>
      <w:r>
        <w:fldChar w:fldCharType="end"/>
      </w:r>
      <w:r>
        <w:t>. To minimize contamination with other microbiomes (e.g., skin, soil, urogenital), we wore gloves, collected feces that had not contacted the soil, and discarded samples contaminated with urine.</w:t>
      </w:r>
      <w:r>
        <w:rPr>
          <w:bCs/>
        </w:rPr>
        <w:t xml:space="preserve"> </w:t>
      </w:r>
      <w:r>
        <w:t xml:space="preserve">Urine samples were collected using a clean-catch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t>(Bergstrom et al., 2017)</w:t>
      </w:r>
      <w:r>
        <w:rPr>
          <w:bCs/>
        </w:rPr>
        <w:fldChar w:fldCharType="end"/>
      </w:r>
      <w:r>
        <w:rPr>
          <w:bCs/>
        </w:rPr>
        <w:t xml:space="preserve"> </w:t>
      </w:r>
      <w:r>
        <w:t xml:space="preserve">to avoid fecal or water contamination, and samples were stored immediately in a portable cooler before transfer to a –20 °C freezer at the end of each field day. We also collected urine from leaves or the ground if it appeared free of soil and feces. Fecal samples were refrigerated until shipment to the Amato Microbiome Lab at Northwestern University (Evanston, IL), and urine samples remained frozen until assay analysis in the Capuchinos de Taboga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t>(Beehner et al., 2022)</w:t>
      </w:r>
      <w:r>
        <w:rPr>
          <w:bCs/>
        </w:rPr>
        <w:fldChar w:fldCharType="end"/>
      </w:r>
      <w:r>
        <w:rPr>
          <w:bCs/>
        </w:rPr>
        <w:t xml:space="preserve">. </w:t>
      </w:r>
    </w:p>
    <w:p w14:paraId="25CFD5BD" w14:textId="77777777" w:rsidR="009F090F" w:rsidRPr="009E0201" w:rsidRDefault="009F090F" w:rsidP="009F090F">
      <w:pPr>
        <w:spacing w:after="0"/>
        <w:ind w:firstLine="720"/>
      </w:pPr>
      <w:r>
        <w:rPr>
          <w:bCs/>
        </w:rPr>
        <w:t xml:space="preserve">We used temperature observations from the Palo Verde meteorological station, located ~20.81 km southwest of the Taboga Forest Reserve at the Organization for Tropical Studies (OTS) Palo Verde research station </w:t>
      </w:r>
      <w:r>
        <w:t xml:space="preserve">(10.345°N, 85.339°E). Like Taboga, Palo Verde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t>(Stern et al., 2002)</w:t>
      </w:r>
      <w:r>
        <w:fldChar w:fldCharType="end"/>
      </w:r>
      <w:r>
        <w:t xml:space="preserve">. Because of its habitat similarity and proximity, temperature measurements from Palo Verde have been used in previous studies of the Taboga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t>(Lucore et al., 2024)</w:t>
      </w:r>
      <w:r>
        <w:fldChar w:fldCharType="end"/>
      </w:r>
      <w:r>
        <w:t xml:space="preserve">. Maximum and minimum temperature were recorded every 15 minutes. </w:t>
      </w:r>
    </w:p>
    <w:p w14:paraId="4433390C" w14:textId="77777777" w:rsidR="00A47212" w:rsidRDefault="00A47212" w:rsidP="009F090F">
      <w:pPr>
        <w:spacing w:after="0"/>
      </w:pPr>
    </w:p>
    <w:p w14:paraId="07EE8BE2" w14:textId="77777777" w:rsidR="009F090F" w:rsidRDefault="009F090F" w:rsidP="009F090F">
      <w:pPr>
        <w:spacing w:after="0"/>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65790D21" w14:textId="77777777" w:rsidR="009F090F" w:rsidRDefault="009F090F" w:rsidP="009F090F">
      <w:pPr>
        <w:spacing w:after="0"/>
        <w:rPr>
          <w:i/>
          <w:iCs/>
        </w:rPr>
      </w:pPr>
      <w:r w:rsidRPr="00147548">
        <w:rPr>
          <w:i/>
          <w:iCs/>
        </w:rPr>
        <w:t>DNA extraction</w:t>
      </w:r>
    </w:p>
    <w:p w14:paraId="54E4CE1B" w14:textId="57862199" w:rsidR="009F090F" w:rsidRDefault="009F090F" w:rsidP="009F090F">
      <w:pPr>
        <w:spacing w:after="0"/>
      </w:pPr>
      <w:r>
        <w:t xml:space="preserve">All lab work was conducted at the </w:t>
      </w:r>
      <w:r w:rsidRPr="00196F3A">
        <w:rPr>
          <w:bCs/>
        </w:rPr>
        <w:t>Amato Microbiome Lab at Northwestern University</w:t>
      </w:r>
      <w:r>
        <w:rPr>
          <w:bCs/>
        </w:rPr>
        <w:t>,</w:t>
      </w:r>
      <w:r w:rsidRPr="00196F3A">
        <w:rPr>
          <w:bCs/>
        </w:rPr>
        <w:t xml:space="preserve"> Evanston IL</w:t>
      </w:r>
      <w:r>
        <w:rPr>
          <w:bCs/>
        </w:rPr>
        <w:t xml:space="preserve">. We extracted DNA from the fecal samples using the </w:t>
      </w:r>
      <w:r>
        <w:t>DNeasy PowerLyzer PowerSoil Kit (Qiagen, Germantown, MD, USA)</w:t>
      </w:r>
      <w:r>
        <w:t xml:space="preserve"> </w:t>
      </w:r>
      <w:r>
        <w:t>with minor modifications to manufacturer protocol.</w:t>
      </w:r>
      <w:r w:rsidRPr="009F090F">
        <w:t xml:space="preserve"> </w:t>
      </w:r>
      <w:r>
        <w:t>Specifically, we incubated samples at 65°C for 10 minutes after adding the C1 and PowerBead solutions, refrigerated the C2 and C3 incubation steps, and prewarmed the C6 solution before the final elution. These modifications align with other protocols designed for fecal samples containing high levels of plant fiber</w:t>
      </w:r>
      <w:r>
        <w:t xml:space="preserve"> </w:t>
      </w:r>
      <w:r w:rsidR="009F7F07">
        <w:fldChar w:fldCharType="begin"/>
      </w:r>
      <w:r w:rsidR="009F7F07">
        <w:instrText xml:space="preserve"> ADDIN ZOTERO_ITEM CSL_CITATION {"citationID":"Xb7zYsT8","properties":{"unsorted":false,"formattedCitation":"(Amato et al., 2020; E. k. Mallott et al., 2015)","plainCitation":"(Amato et al., 2020; E. k. Mallott et al., 2015)","noteIndex":0},"citationItems":[{"id":34,"uris":["http://zotero.org/users/13901503/items/QZVE8E7B"],"itemData":{"id":34,"type":"article-journal","abstract":"Understanding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9F7F07">
        <w:rPr>
          <w:rFonts w:ascii="Cambria Math" w:hAnsi="Cambria Math" w:cs="Cambria Math"/>
        </w:rPr>
        <w:instrText>∼</w:instrText>
      </w:r>
      <w:r w:rsidR="009F7F07">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9F7F07">
        <w:rPr>
          <w:rFonts w:ascii="Cambria Math" w:hAnsi="Cambria Math" w:cs="Cambria Math"/>
        </w:rPr>
        <w:instrText>∼</w:instrText>
      </w:r>
      <w:r w:rsidR="009F7F07">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Bolivia","volume":"156","author":[{"family":"Mallott","given":"E.k."},{"family":"Malhi","given":"R.s."},{"family":"Garber","given":"P.a."}],"issued":{"date-parts":[["2015"]]}}}],"schema":"https://github.com/citation-style-language/schema/raw/master/csl-citation.json"} </w:instrText>
      </w:r>
      <w:r w:rsidR="009F7F07">
        <w:fldChar w:fldCharType="separate"/>
      </w:r>
      <w:r w:rsidR="009F7F07">
        <w:rPr>
          <w:noProof/>
        </w:rPr>
        <w:t>(Amato et al., 2020; E. k. Mallott et al., 2015)</w:t>
      </w:r>
      <w:r w:rsidR="009F7F07">
        <w:fldChar w:fldCharType="end"/>
      </w:r>
    </w:p>
    <w:p w14:paraId="6CE0A72E" w14:textId="77777777" w:rsidR="009F7F07" w:rsidRPr="00FD15B2" w:rsidRDefault="009F7F07" w:rsidP="009F090F">
      <w:pPr>
        <w:spacing w:after="0"/>
      </w:pPr>
    </w:p>
    <w:p w14:paraId="68C3C53C" w14:textId="77777777" w:rsidR="009F090F" w:rsidRDefault="009F090F" w:rsidP="009F090F">
      <w:pPr>
        <w:spacing w:after="0"/>
        <w:rPr>
          <w:i/>
          <w:iCs/>
        </w:rPr>
      </w:pPr>
      <w:r w:rsidRPr="00147548">
        <w:rPr>
          <w:i/>
          <w:iCs/>
        </w:rPr>
        <w:t xml:space="preserve">16s rRNA amplicon </w:t>
      </w:r>
      <w:r>
        <w:rPr>
          <w:i/>
          <w:iCs/>
        </w:rPr>
        <w:t>sequencing and data processing</w:t>
      </w:r>
    </w:p>
    <w:p w14:paraId="3972906C" w14:textId="242AF6B8" w:rsidR="009F090F" w:rsidRDefault="009F090F" w:rsidP="009F090F">
      <w:pPr>
        <w:spacing w:after="0"/>
      </w:pPr>
      <w:r>
        <w:t xml:space="preserve">To characterize the taxonomic composition of the gut microbiome, we performed </w:t>
      </w:r>
      <w:r w:rsidRPr="006E7CF5">
        <w:t>16s rRNA</w:t>
      </w:r>
      <w:r>
        <w:t xml:space="preserve"> amplicon sequencing targeting the hypervariable V4-V5 region of the 16s rRNA gene. Amplification was conducted with primers 515F/926R, recommended by the Earth Microbiome Project (</w:t>
      </w:r>
      <w:hyperlink r:id="rId5" w:tgtFrame="_new" w:history="1">
        <w:r>
          <w:rPr>
            <w:rStyle w:val="Hyperlink"/>
            <w:rFonts w:eastAsiaTheme="majorEastAsia"/>
          </w:rPr>
          <w:t>www.earthmicrobiome.org</w:t>
        </w:r>
      </w:hyperlink>
      <w:r>
        <w:t>), using a dual-indexing strategy see</w:t>
      </w:r>
      <w:r w:rsidR="009F7F07">
        <w:t xml:space="preserve"> </w:t>
      </w:r>
      <w:r>
        <w:t xml:space="preserve">Mallot &amp; Amato 2018 for details. We included negative controls to monitor contamination during </w:t>
      </w:r>
      <w:r>
        <w:lastRenderedPageBreak/>
        <w:t>DNA extraction and PCR amplification, and purified PCR products using SequalPrep Normalization. Sequencing was performed on the Illumina MiSeq V4 platform at the Rush Genomics and Microbiome Core Facility.</w:t>
      </w:r>
    </w:p>
    <w:p w14:paraId="7B1B6236" w14:textId="77777777" w:rsidR="009F090F" w:rsidRDefault="009F090F" w:rsidP="009F090F">
      <w:pPr>
        <w:spacing w:after="0"/>
        <w:ind w:firstLine="720"/>
      </w:pPr>
      <w:r>
        <w:t xml:space="preserve">We analyzed sequences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t>(Caporaso et al., 2010)</w:t>
      </w:r>
      <w:r>
        <w:fldChar w:fldCharType="end"/>
      </w:r>
      <w:r>
        <w:t xml:space="preserve">, v2023.9. Pair-end sequences from 900 samples produced </w:t>
      </w:r>
      <w:r w:rsidRPr="005D24FC">
        <w:t>28</w:t>
      </w:r>
      <w:r>
        <w:t>,</w:t>
      </w:r>
      <w:r w:rsidRPr="005D24FC">
        <w:t>869</w:t>
      </w:r>
      <w:r>
        <w:t>,</w:t>
      </w:r>
      <w:r w:rsidRPr="005D24FC">
        <w:t>202</w:t>
      </w:r>
      <w:r>
        <w:t xml:space="preserve"> raw reads (average </w:t>
      </w:r>
      <w:r w:rsidRPr="005D24FC">
        <w:t>32</w:t>
      </w:r>
      <w:r>
        <w:t>,</w:t>
      </w:r>
      <w:r w:rsidRPr="005D24FC">
        <w:t>07</w:t>
      </w:r>
      <w:r>
        <w:t xml:space="preserve">7 per sample, range of 7 to </w:t>
      </w:r>
      <w:r w:rsidRPr="005D24FC">
        <w:t>64851</w:t>
      </w:r>
      <w:r>
        <w:t xml:space="preserve"> reads). We trimmed reads at a minimum Phred score of 33 and truncated forward and reverse reads to 216 bases and 206 bases, respectively. We then used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t>(Callahan et al., 2016)</w:t>
      </w:r>
      <w:r>
        <w:fldChar w:fldCharType="end"/>
      </w:r>
      <w:r>
        <w:t xml:space="preserve"> via the q2-dada2 pipeline to quality filter and denoise sequences. DADA2 inferred Amplicon Sequence Variants (ASVs), which we taxonomically assigned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Author(s)","page":"610-618","publisher":"Nature Publishing Group","source":"www-nature-com.proxy.lib.umich.edu","title":"An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Author(s)","page":"715-718","publisher":"Nature Publishing Group","source":"www-nature-com.proxy.lib.umich.edu","title":"Greengenes2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t>(McDonald et al., 2012, 2024)</w:t>
      </w:r>
      <w:r>
        <w:fldChar w:fldCharType="end"/>
      </w:r>
      <w:r>
        <w:t>. To retain only microbial sequences, we removed those assigned to chloroplasts and mitochondria with the q2-taxa-filter-table. We removed all negative controls after confirming their taxonomic composition did not indicate contamination, as well as one fecal sample with fewer than 1,000 reads to avoid bias from shallow sequencing depth. We retained 797 samples that contained an average of 16,898 reads (range: 4,944–38,941).</w:t>
      </w:r>
    </w:p>
    <w:p w14:paraId="6493AFCB" w14:textId="634F77DB" w:rsidR="009F090F" w:rsidRDefault="009F090F" w:rsidP="009F090F">
      <w:pPr>
        <w:spacing w:after="0"/>
        <w:ind w:firstLine="720"/>
      </w:pPr>
      <w:r>
        <w:t xml:space="preserve">We imported the ASV count and taxonomy outputs from QIIME2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t>(Bisanz, 2018)</w:t>
      </w:r>
      <w:r>
        <w:fldChar w:fldCharType="end"/>
      </w:r>
      <w:r>
        <w:t xml:space="preserve"> and created a </w:t>
      </w:r>
      <w:r w:rsidRPr="00DE7B52">
        <w:rPr>
          <w:i/>
          <w:iCs/>
        </w:rPr>
        <w:t>phyloseq</w:t>
      </w:r>
      <w:r>
        <w:t xml:space="preserve"> object using the {phyloseq}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t>(McMurdie &amp; Holmes, 2013)</w:t>
      </w:r>
      <w:r>
        <w:fldChar w:fldCharType="end"/>
      </w:r>
      <w:r>
        <w:t xml:space="preserve">. Most ASVs were rare: of </w:t>
      </w:r>
      <w:r w:rsidR="009F7F07" w:rsidRPr="009F7F07">
        <w:t>22</w:t>
      </w:r>
      <w:r w:rsidR="009F7F07">
        <w:t>,</w:t>
      </w:r>
      <w:r w:rsidR="009F7F07" w:rsidRPr="009F7F07">
        <w:t>793</w:t>
      </w:r>
      <w:r w:rsidR="009F7F07" w:rsidRPr="009F7F07">
        <w:t xml:space="preserve"> </w:t>
      </w:r>
      <w:r>
        <w:t xml:space="preserve">total ASVs, </w:t>
      </w:r>
      <w:r w:rsidR="009F7F07">
        <w:t>91</w:t>
      </w:r>
      <w:r>
        <w:t>% occurred only in one sample</w:t>
      </w:r>
      <w:r w:rsidR="009F7F07">
        <w:t>,</w:t>
      </w:r>
      <w:r>
        <w:t xml:space="preserve"> and 16% lacked phylum</w:t>
      </w:r>
      <w:r w:rsidR="009F7F07">
        <w:t>-</w:t>
      </w:r>
      <w:r>
        <w:t>level classification.</w:t>
      </w:r>
      <w:r w:rsidRPr="00DE7B52">
        <w:t xml:space="preserve"> </w:t>
      </w:r>
      <w:r>
        <w:t xml:space="preserve">We removed ASVs present in fewer than 0.5% of samples as well as those without a phylum-level classification. After filtering, </w:t>
      </w:r>
      <w:r w:rsidRPr="00830DDA">
        <w:t>1</w:t>
      </w:r>
      <w:r>
        <w:t>,</w:t>
      </w:r>
      <w:r w:rsidRPr="00830DDA">
        <w:t>15</w:t>
      </w:r>
      <w:r w:rsidR="009F7F07">
        <w:t>1</w:t>
      </w:r>
      <w:r>
        <w:t xml:space="preserve"> ASVs remained, all classified at the class level, 95% at the order level, 9</w:t>
      </w:r>
      <w:r w:rsidR="009F7F07">
        <w:t>4</w:t>
      </w:r>
      <w:r>
        <w:t>% at the family level, and 6</w:t>
      </w:r>
      <w:r w:rsidR="009F7F07">
        <w:t>3</w:t>
      </w:r>
      <w:r>
        <w:t>% at the genus level.</w:t>
      </w:r>
    </w:p>
    <w:p w14:paraId="6ACE5061" w14:textId="77777777" w:rsidR="009F090F" w:rsidRDefault="009F090F" w:rsidP="009F090F">
      <w:pPr>
        <w:spacing w:after="0"/>
      </w:pPr>
    </w:p>
    <w:p w14:paraId="431F5128" w14:textId="77777777" w:rsidR="009F7F07" w:rsidRDefault="009F7F07" w:rsidP="009F7F07">
      <w:pPr>
        <w:spacing w:after="0"/>
        <w:rPr>
          <w:i/>
          <w:iCs/>
        </w:rPr>
      </w:pPr>
      <w:r>
        <w:rPr>
          <w:i/>
          <w:iCs/>
        </w:rPr>
        <w:t>Shotgun metagenomic</w:t>
      </w:r>
      <w:r w:rsidRPr="00147548">
        <w:rPr>
          <w:i/>
          <w:iCs/>
        </w:rPr>
        <w:t xml:space="preserve"> </w:t>
      </w:r>
      <w:r>
        <w:rPr>
          <w:i/>
          <w:iCs/>
        </w:rPr>
        <w:t>sequencing and data processing</w:t>
      </w:r>
    </w:p>
    <w:p w14:paraId="2379448C" w14:textId="77777777" w:rsidR="009F7F07" w:rsidRDefault="009F7F07" w:rsidP="009F7F07">
      <w:pPr>
        <w:spacing w:after="0"/>
      </w:pPr>
      <w:r>
        <w:t xml:space="preserve">To characterize the functional capacity of the gut microbiome, we performed metagenomic sequencing on a subset of 95 samples with sufficient DNA for library preparation. We used the </w:t>
      </w:r>
      <w:r w:rsidRPr="006E7CF5">
        <w:t>NEBNext Ultra™ II FS DNA PCR-free Library Prep Kit for Illumina</w:t>
      </w:r>
      <w:r>
        <w:t xml:space="preserve"> (New England Biolabs, Ipswich, MA, USA) to prepare sequencing libraries, following the manufacturer’s protocol for low inputs (50ng to 99ng). We selected library inserts around 350bp and pooled libraries for sequencing on the Illumina NovaSeq platform at the Rush Genomics and Microbiome Core Facility. Pair-end sequencing of the 95 samples produced </w:t>
      </w:r>
      <w:r w:rsidRPr="003761CD">
        <w:t>2</w:t>
      </w:r>
      <w:r>
        <w:t>,</w:t>
      </w:r>
      <w:r w:rsidRPr="003761CD">
        <w:t>902</w:t>
      </w:r>
      <w:r>
        <w:t>,</w:t>
      </w:r>
      <w:r w:rsidRPr="003761CD">
        <w:t>714</w:t>
      </w:r>
      <w:r>
        <w:t>,</w:t>
      </w:r>
      <w:r w:rsidRPr="003761CD">
        <w:t>548</w:t>
      </w:r>
      <w:r>
        <w:t xml:space="preserve"> raw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25E00BC3" w14:textId="799ECF92" w:rsidR="009F7B11" w:rsidRDefault="009F7F07" w:rsidP="003A2134">
      <w:pPr>
        <w:spacing w:after="0"/>
        <w:ind w:firstLine="720"/>
      </w:pPr>
      <w:r>
        <w:t>We quality filtered sequences with KneadData (</w:t>
      </w:r>
      <w:r w:rsidRPr="003D15B6">
        <w:t>v0.12.0</w:t>
      </w:r>
      <w:r>
        <w:t>) using standard parameters S</w:t>
      </w:r>
      <w:r w:rsidRPr="00975DCE">
        <w:t>LIDINGWINDOW:4:20</w:t>
      </w:r>
      <w:r>
        <w:t xml:space="preserve"> and</w:t>
      </w:r>
      <w:r w:rsidRPr="00975DCE">
        <w:t xml:space="preserve"> MINLEN:90</w:t>
      </w:r>
      <w:r>
        <w:t xml:space="preserve">, and removed host-associated reads using the GRCh38.p13 human reference genome </w:t>
      </w:r>
      <w:r w:rsidRPr="00FF2CF9">
        <w:t>(RefSeq accession: GCF_009914755.1)</w:t>
      </w:r>
      <w:r>
        <w:fldChar w:fldCharType="begin"/>
      </w:r>
      <w:r>
        <w:instrText xml:space="preserve"> ADDIN ZOTERO_ITEM CSL_CITATION {"citationID":"1Zg0y02O","properties":{"formattedCitation":"(Beghini et al., 2021)","plainCitation":"(Beghini et al., 2021)","noteIndex":0},"citationItems":[{"id":968,"uris":["http://zotero.org/users/13901503/items/9YGIV4WL"],"itemData":{"id":968,"type":"article-journal","abstract":"Culture-independent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studies.","container-title":"eLife","DOI":"10.7554/eLife.65088","ISSN":"2050-084X","page":"e65088","publisher":"eLife Sciences Publications, Ltd","source":"eLife","title":"Integrating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t>(Beghini et al., 2021)</w:t>
      </w:r>
      <w:r>
        <w:fldChar w:fldCharType="end"/>
      </w:r>
      <w:r>
        <w:t xml:space="preserve">. This reference genome has been used to filter host reads in previous capuchin </w:t>
      </w:r>
      <w:r>
        <w:lastRenderedPageBreak/>
        <w:t xml:space="preserve">metagenomic studies </w:t>
      </w:r>
      <w:r>
        <w:fldChar w:fldCharType="begin"/>
      </w:r>
      <w:r w:rsidR="003A2134">
        <w:instrText xml:space="preserve"> ADDIN ZOTERO_ITEM CSL_CITATION {"citationID":"drRFm1ap","properties":{"formattedCitation":"(Orkin et al., 2019)","plainCitation":"(Orkin et al., 2019)","noteIndex":0},"citationItems":[{"id":700,"uris":["http://zotero.org/users/13901503/items/HCYVY6PR"],"itemData":{"id":700,"type":"article-journal","abstract":"Research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3A2134">
        <w:t>(Orkin et al., 2019)</w:t>
      </w:r>
      <w:r>
        <w:fldChar w:fldCharType="end"/>
      </w:r>
      <w:r>
        <w:t xml:space="preserve">. After quality filtering, </w:t>
      </w:r>
      <w:r w:rsidRPr="003054A4">
        <w:t>931</w:t>
      </w:r>
      <w:r>
        <w:t>,</w:t>
      </w:r>
      <w:r w:rsidRPr="003054A4">
        <w:t>326</w:t>
      </w:r>
      <w:r>
        <w:t>,</w:t>
      </w:r>
      <w:r w:rsidRPr="003054A4">
        <w:t>495</w:t>
      </w:r>
      <w:r>
        <w:t xml:space="preserve"> cleaned reads remained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for functional profiling, assigning gene families with the Uniref50 database, and regrouping results into MetaCyc reactions. The final table reported the abundance of each unique metabolic pathway normalized for the number of contributing gene families. We imported the pathway abundance table into R and removed unmapped values (sequences not assigned to any gene family) and unintegrated values (gene families not associated with any pathway). After filtering, 5</w:t>
      </w:r>
      <w:r w:rsidR="00802FD1">
        <w:t xml:space="preserve">62 </w:t>
      </w:r>
      <w:r>
        <w:t>unique metabolic pathways remained. All subsequent analyses were conducted in R v4.3.1.</w:t>
      </w:r>
    </w:p>
    <w:p w14:paraId="5166D2B1" w14:textId="77777777" w:rsidR="003A2134" w:rsidRDefault="003A2134" w:rsidP="003A2134">
      <w:pPr>
        <w:spacing w:after="0"/>
        <w:ind w:firstLine="720"/>
      </w:pPr>
    </w:p>
    <w:p w14:paraId="59FEED51" w14:textId="77777777" w:rsidR="003A2134" w:rsidRDefault="003A2134" w:rsidP="003A2134">
      <w:pPr>
        <w:spacing w:after="0"/>
        <w:rPr>
          <w:u w:val="single"/>
        </w:rPr>
      </w:pPr>
      <w:r>
        <w:rPr>
          <w:u w:val="single"/>
        </w:rPr>
        <w:t>Metadata assembly</w:t>
      </w:r>
    </w:p>
    <w:p w14:paraId="78128C52" w14:textId="77777777" w:rsidR="009B357C" w:rsidRDefault="003A2134" w:rsidP="009B357C">
      <w:pPr>
        <w:spacing w:after="0"/>
      </w:pPr>
      <w:r>
        <w:t>For both sample types, we averaged the maximum temperature (recorded every 15 minutes) across the 15 days preceding sample collection.</w:t>
      </w:r>
      <w:r w:rsidRPr="00403377">
        <w:t xml:space="preserve"> </w:t>
      </w:r>
      <w:r>
        <w:t xml:space="preserve">This approach is designed to capture responses to longer-term thermal conditions, rather than acute temperature spikes that are more likely to be confounded by short-term shifts in diet, ranging behavior, or social interactions. Importantly, this temperature predictor has previously been linked to changes in immune activation </w:t>
      </w:r>
      <w:r w:rsidR="009B357C">
        <w:t>in this population</w:t>
      </w:r>
      <w:r>
        <w:t xml:space="preserve"> </w:t>
      </w:r>
      <w:r>
        <w:fldChar w:fldCharType="begin"/>
      </w:r>
      <w:r>
        <w:instrText xml:space="preserve"> ADDIN ZOTERO_ITEM CSL_CITATION {"citationID":"UD9dVsc3","properties":{"unsorted":false,"formattedCitation":"(Lucore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r>
        <w:t xml:space="preserve">We also averaged rainfall across the four days preceding sample collection </w:t>
      </w:r>
      <w:r w:rsidR="009B357C">
        <w:t>in an attempt to control for</w:t>
      </w:r>
      <w:r>
        <w:t xml:space="preserve"> broad seasonal ecological changes associated with reduced rainfall during the dry season</w:t>
      </w:r>
      <w:r w:rsidR="009B357C">
        <w:t xml:space="preserve"> and better isolate the effects of high ambient temperatures. </w:t>
      </w:r>
    </w:p>
    <w:p w14:paraId="4A59CF56" w14:textId="7035F093" w:rsidR="003A2134" w:rsidRDefault="003A2134" w:rsidP="009B357C">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t>(E. K. Mallott et al., 2018; Orkin et al., 2019)</w:t>
      </w:r>
      <w:r>
        <w:fldChar w:fldCharType="end"/>
      </w:r>
      <w:r>
        <w:t xml:space="preserve">. We quantified diet diversity by modeling diet richness (i.e., the total number of unique food items recorded) as a function of the total number of feeding observations and extracting the residuals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Zoology","DOI":"10.26107/RBZ-2021-0067","ISSN":"0217-2445","language":"en","page":"497506","publisher":"Lee Kong Chian Natural History Museum","source":"DOI.org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t>(Marshall et al., 2021)</w:t>
      </w:r>
      <w:r>
        <w:fldChar w:fldCharType="end"/>
      </w:r>
      <w:r>
        <w:t xml:space="preserve">. We then calculated the percent consumption of each food category (animal, flower, fruit, fungi, insect, leaves, nectar, nurse, pith, seeds) and plotted each against temperature to identify diet categories that vary with temperature. We found that percent fruit consumption has a strong, positive relationship with temperature (Fig 1S) and </w:t>
      </w:r>
      <w:r w:rsidR="009B357C">
        <w:t>included this as a covariate in our models in</w:t>
      </w:r>
      <w:r>
        <w:t xml:space="preserve"> subsequent analyses. After matching each sample with the appropriate metadata, we were left with </w:t>
      </w:r>
      <w:r w:rsidR="009B357C">
        <w:t>699</w:t>
      </w:r>
      <w:r>
        <w:t xml:space="preserve"> 16s rRNA samples and </w:t>
      </w:r>
      <w:r w:rsidR="009B357C">
        <w:t>87</w:t>
      </w:r>
      <w:r>
        <w:t xml:space="preserve"> shotgun metagenomic samples. </w:t>
      </w:r>
    </w:p>
    <w:p w14:paraId="09B75331" w14:textId="713618EA" w:rsidR="009B357C" w:rsidRDefault="009B357C" w:rsidP="009B357C">
      <w:pPr>
        <w:spacing w:after="0"/>
        <w:rPr>
          <w:u w:val="single"/>
        </w:rPr>
      </w:pPr>
      <w:r w:rsidRPr="00D807D7">
        <w:rPr>
          <w:u w:val="single"/>
        </w:rPr>
        <w:t>Communit</w:t>
      </w:r>
      <w:r w:rsidR="00C05041">
        <w:rPr>
          <w:u w:val="single"/>
        </w:rPr>
        <w:t>y diversity</w:t>
      </w:r>
      <w:r>
        <w:rPr>
          <w:u w:val="single"/>
        </w:rPr>
        <w:t xml:space="preserve"> a</w:t>
      </w:r>
      <w:r w:rsidRPr="00D807D7">
        <w:rPr>
          <w:u w:val="single"/>
        </w:rPr>
        <w:t>nalysis</w:t>
      </w:r>
    </w:p>
    <w:p w14:paraId="58FF2A42" w14:textId="014A9DA2" w:rsidR="009B357C" w:rsidRDefault="009B357C" w:rsidP="009B357C">
      <w:pPr>
        <w:spacing w:after="0"/>
      </w:pPr>
      <w:r>
        <w:t xml:space="preserve">To evaluate how gut microbiome taxonomic composition and functional capacity are related to temperature, we generated metrics of community composition including alpha and beta diversity. To measure alpha diversity, we calculated two widely used indices: </w:t>
      </w:r>
      <w:r>
        <w:lastRenderedPageBreak/>
        <w:t xml:space="preserve">Shannon diversity index and observed richness. To measure beta diversity, we generated Aitchison distances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t>(Gloor &amp; Reid, 2016)</w:t>
      </w:r>
      <w:r>
        <w:fldChar w:fldCharType="end"/>
      </w:r>
      <w:r w:rsidRPr="009E07A2">
        <w:t xml:space="preserve"> </w:t>
      </w:r>
      <w:r>
        <w:fldChar w:fldCharType="begin"/>
      </w:r>
      <w:r>
        <w:instrText xml:space="preserve"> ADDIN ZOTERO_ITEM CSL_CITATION {"citationID":"8BoUq4dE","properties":{"unsorted":false,"formattedCitation":"(Gloor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t>(Gloor et al., 2017)</w:t>
      </w:r>
      <w:r>
        <w:fldChar w:fldCharType="end"/>
      </w:r>
      <w:r>
        <w:t xml:space="preserve"> by computing the Euclidean distance between pairwise samples after performing a centered log-ratio (clr)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t>(Aitchison &amp; Greenacre, 2002)</w:t>
      </w:r>
      <w:r>
        <w:fldChar w:fldCharType="end"/>
      </w:r>
      <w:r>
        <w:t xml:space="preserve">. We added a pseudo count to all zeros using </w:t>
      </w:r>
      <w:r w:rsidRPr="00510277">
        <w:t>Bayesian-multiplicative replacement</w:t>
      </w:r>
      <w:r>
        <w:t xml:space="preserve"> to </w:t>
      </w:r>
      <w:r w:rsidRPr="00510277">
        <w:t xml:space="preserve">preserve the structure of the data and minimize distortion </w:t>
      </w:r>
      <w:r w:rsidRPr="00FB297C">
        <w:fldChar w:fldCharType="begin"/>
      </w:r>
      <w:r>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9B357C">
        <w:rPr>
          <w:rFonts w:ascii="Aptos" w:cs="Times New Roman"/>
          <w:kern w:val="0"/>
        </w:rPr>
        <w:t>(Palarea-Albaladejo &amp; Martín-Fernández, 2015)</w:t>
      </w:r>
      <w:r w:rsidRPr="00FB297C">
        <w:fldChar w:fldCharType="end"/>
      </w:r>
      <w:r w:rsidRPr="00FB297C">
        <w:t>.</w:t>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w:t>
      </w:r>
      <w:r w:rsidR="008503F6">
        <w:t>4</w:t>
      </w:r>
      <w:r>
        <w:t>% of the variation (Fig 2S).</w:t>
      </w:r>
    </w:p>
    <w:p w14:paraId="50050D4D" w14:textId="53FFB667" w:rsidR="009B357C" w:rsidRDefault="009B357C" w:rsidP="009B357C">
      <w:pPr>
        <w:spacing w:after="0"/>
        <w:ind w:firstLine="720"/>
      </w:pPr>
      <w:r>
        <w:t xml:space="preserve">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(AICc) </w:t>
      </w:r>
      <w:r>
        <w:fldChar w:fldCharType="begin"/>
      </w:r>
      <w:r>
        <w:instrText xml:space="preserve"> ADDIN ZOTERO_ITEM CSL_CITATION {"citationID":"9MopvbYc","properties":{"formattedCitation":"(Akaike, 1998; Hurvich &amp; Tsai, 1989)","plainCitation":"(Akaike, 1998; Hurvich &amp; Tsai, 1989)","noteIndex":0},"citationItems":[{"id":1693,"uris":["http://zotero.org/users/13901503/items/5WE7IHKN"],"itemData":{"id":1693,"type":"chapter","container-title":"Selected Papers of Hirotugu Akaike","DOI":"10.1007/978-1-4612-1694-0_15","ISBN":"978-1-4612-7248-9","note":"collection-title: Springer Series in Statistics","page":"199-213","publisher":"Springer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discussed.","container-title":"Biometrika","issue":"2","language":"en","page":"297-307","source":"Zotero","title":"Regression and time series model selection in small samples","volume":"76","author":[{"family":"Hurvich","given":"Clifford M"},{"family":"Tsai","given":"Chih-Ling"}],"issued":{"date-parts":[["1989"]]}}}],"schema":"https://github.com/citation-style-language/schema/raw/master/csl-citation.json"} </w:instrText>
      </w:r>
      <w:r>
        <w:fldChar w:fldCharType="separate"/>
      </w:r>
      <w:r>
        <w:t>(Akaike, 1998; Hurvich &amp; Tsai, 1989)</w:t>
      </w:r>
      <w:r>
        <w:fldChar w:fldCharType="end"/>
      </w:r>
      <w:r>
        <w:t xml:space="preserve">. The baseline model, </w:t>
      </w:r>
      <w:r w:rsidRPr="00B133A3">
        <w:rPr>
          <w:i/>
          <w:iCs/>
        </w:rPr>
        <w:t>m_main</w:t>
      </w:r>
      <w:r>
        <w:t xml:space="preserve">, included predictors for social group, age, sex, rainfall, diet diversity and fruit consumption. The temperature model, </w:t>
      </w:r>
      <w:r w:rsidRPr="00B133A3">
        <w:rPr>
          <w:i/>
          <w:iCs/>
        </w:rPr>
        <w:t>m_full</w:t>
      </w:r>
      <w:r>
        <w:t xml:space="preserve">, included all of the same predictors with an additional predictor for temperature (Fig 3S).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1S), and we wanted to control for this effect to better isolate the relationship between temperature and community features.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We used the model weights from the AICc comparison to evaluate the importance of temperature as a predictor of community composition.</w:t>
      </w:r>
    </w:p>
    <w:p w14:paraId="2F3D218E" w14:textId="77777777" w:rsidR="003A2134" w:rsidRDefault="003A2134" w:rsidP="003A2134">
      <w:pPr>
        <w:spacing w:after="0"/>
        <w:rPr>
          <w:u w:val="single"/>
        </w:rPr>
      </w:pPr>
    </w:p>
    <w:p w14:paraId="6D528072" w14:textId="7DA5EB84" w:rsidR="008503F6" w:rsidRDefault="008503F6" w:rsidP="003A2134">
      <w:pPr>
        <w:spacing w:after="0"/>
        <w:rPr>
          <w:u w:val="single"/>
        </w:rPr>
      </w:pPr>
      <w:r>
        <w:rPr>
          <w:u w:val="single"/>
        </w:rPr>
        <w:t>Taxonomic composition analysis</w:t>
      </w:r>
    </w:p>
    <w:p w14:paraId="6CDA702F" w14:textId="61AC543B" w:rsidR="00BF19DA" w:rsidRPr="00C05041" w:rsidRDefault="00BF19DA" w:rsidP="003A2134">
      <w:pPr>
        <w:spacing w:after="0"/>
      </w:pPr>
      <w:r>
        <w:t xml:space="preserve">We used taxonomic abundances to evaluate the specific changes in gut microbiome composition predicted by temperature. </w:t>
      </w:r>
      <w:r w:rsidR="00C05041">
        <w:t>W</w:t>
      </w:r>
      <w:r w:rsidR="00C05041">
        <w:t>e aggregated the number of reads per taxa on the family and genus levels, calculated the relative abundance, and removed taxa with less than 0.2% average relative abundance across all samples to avoid analyzing extremely low-abundance taxa. This resulted in 1</w:t>
      </w:r>
      <w:r w:rsidR="00C05041">
        <w:t>28</w:t>
      </w:r>
      <w:r w:rsidR="00C05041">
        <w:t xml:space="preserve"> genera and </w:t>
      </w:r>
      <w:r w:rsidR="00C05041">
        <w:t>73</w:t>
      </w:r>
      <w:r w:rsidR="00C05041">
        <w:t xml:space="preserve"> families</w:t>
      </w:r>
      <w:r w:rsidR="00C05041">
        <w:t xml:space="preserve"> to be used for our analysis. </w:t>
      </w:r>
    </w:p>
    <w:p w14:paraId="2307C770" w14:textId="77777777" w:rsidR="00C05041" w:rsidRDefault="00C05041" w:rsidP="003A2134">
      <w:pPr>
        <w:spacing w:after="0"/>
        <w:rPr>
          <w:i/>
          <w:iCs/>
        </w:rPr>
      </w:pPr>
    </w:p>
    <w:p w14:paraId="3BE84AC9" w14:textId="77777777" w:rsidR="00C05041" w:rsidRDefault="00C05041" w:rsidP="003A2134">
      <w:pPr>
        <w:spacing w:after="0"/>
        <w:rPr>
          <w:i/>
          <w:iCs/>
        </w:rPr>
      </w:pPr>
    </w:p>
    <w:p w14:paraId="1910F66C" w14:textId="77777777" w:rsidR="00C05041" w:rsidRDefault="00C05041" w:rsidP="003A2134">
      <w:pPr>
        <w:spacing w:after="0"/>
        <w:rPr>
          <w:i/>
          <w:iCs/>
        </w:rPr>
      </w:pPr>
    </w:p>
    <w:p w14:paraId="5682C2BA" w14:textId="60C505BE" w:rsidR="00C05041" w:rsidRDefault="008503F6" w:rsidP="003A2134">
      <w:pPr>
        <w:spacing w:after="0"/>
        <w:rPr>
          <w:i/>
          <w:iCs/>
        </w:rPr>
      </w:pPr>
      <w:r w:rsidRPr="008503F6">
        <w:rPr>
          <w:i/>
          <w:iCs/>
        </w:rPr>
        <w:lastRenderedPageBreak/>
        <w:t>Log</w:t>
      </w:r>
      <w:r w:rsidR="00C05041">
        <w:rPr>
          <w:i/>
          <w:iCs/>
        </w:rPr>
        <w:t xml:space="preserve"> </w:t>
      </w:r>
      <w:r w:rsidRPr="008503F6">
        <w:rPr>
          <w:i/>
          <w:iCs/>
        </w:rPr>
        <w:t>ratio analysis</w:t>
      </w:r>
    </w:p>
    <w:p w14:paraId="495ECD84" w14:textId="05D98E98" w:rsidR="00C05041" w:rsidRDefault="00C05041" w:rsidP="003A2134">
      <w:pPr>
        <w:spacing w:after="0"/>
      </w:pPr>
      <w:r>
        <w:t>To investigate community-level changes in taxonomic composition associated with temperature, we constructed log-ratios comparing the relative abundance of groups of genera previously associated with heat stress responses and host health. We used these ratios to capture broader community-level patterns rather than focusing solely on changes in individual taxa.</w:t>
      </w:r>
      <w:r>
        <w:t xml:space="preserve"> </w:t>
      </w:r>
      <w:r>
        <w:t>The first ratio captured taxonomic shifts commonly observed during heat stress by comparing the relative abundance of genera from the phylum Proteobacteria in the numerator to those from the phylum Firmicutes in the denominator.</w:t>
      </w:r>
      <w:r>
        <w:t xml:space="preserve"> We designed the </w:t>
      </w:r>
      <w:r>
        <w:t>second log-ratio designed to capture coordinated shifts from common commensals toward more opportunistic taxa. Specifically, we placed facultatively anaerobic and commonly pathobiontic genera in the numerator and obligately anaerobic fermenters in the denominator</w:t>
      </w:r>
      <w:r>
        <w:t>. A table with the list of genera included in each group is available in the supplement</w:t>
      </w:r>
      <w:r>
        <w:t xml:space="preserve"> (Table S1).</w:t>
      </w:r>
    </w:p>
    <w:p w14:paraId="7EF58067" w14:textId="28796960" w:rsidR="00C05041" w:rsidRDefault="00C05041" w:rsidP="00C05041">
      <w:pPr>
        <w:ind w:firstLine="720"/>
      </w:pPr>
      <w:r>
        <w:t xml:space="preserve">To calculate the log ratios, we first replaced zeros with a pseudocount using multiplicative zero replacement via the </w:t>
      </w:r>
      <w:r w:rsidRPr="001D4E08">
        <w:t xml:space="preserve">cmultRepl() </w:t>
      </w:r>
      <w:r>
        <w:t xml:space="preserve">function </w:t>
      </w:r>
      <w:r w:rsidRPr="00FB297C">
        <w:fldChar w:fldCharType="begin"/>
      </w:r>
      <w:r>
        <w:instrText xml:space="preserve"> ADDIN ZOTERO_ITEM CSL_CITATION {"citationID":"mOxU7lTE","properties":{"formattedCitation":"(Palarea-Albaladejo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9A0183">
        <w:t>(Palarea-Albaladejo &amp; Martín-Fernández, 2015)</w:t>
      </w:r>
      <w:r w:rsidRPr="00FB297C">
        <w:fldChar w:fldCharType="end"/>
      </w:r>
      <w:r>
        <w:t xml:space="preserve">, preparing the data for log transformation. For each ratio, we then calculated the log of the geometric mean abundance of the numerator taxa relative to the denominator taxa. This approach is appropriate for compositional data because it projects abundances into log-ratio space, reducing bias from sequencing depth differences </w:t>
      </w:r>
      <w:r>
        <w:fldChar w:fldCharType="begin"/>
      </w:r>
      <w:r>
        <w:instrText xml:space="preserve"> ADDIN ZOTERO_ITEM CSL_CITATION {"citationID":"rs0qVbjI","properties":{"formattedCitation":"(Gloor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t>(Gloor et al., 2017)</w:t>
      </w:r>
      <w:r>
        <w:fldChar w:fldCharType="end"/>
      </w:r>
      <w:r>
        <w:t>.</w:t>
      </w:r>
      <w:r>
        <w:t xml:space="preserve"> We then used the same model section approach described for the community diversity analysis to assess the importance of temperature in predicting these relationships. </w:t>
      </w:r>
    </w:p>
    <w:p w14:paraId="6E102E70" w14:textId="23E22238" w:rsidR="008503F6" w:rsidRDefault="008503F6" w:rsidP="003A2134">
      <w:pPr>
        <w:spacing w:after="0"/>
        <w:rPr>
          <w:i/>
          <w:iCs/>
        </w:rPr>
      </w:pPr>
      <w:r w:rsidRPr="008503F6">
        <w:rPr>
          <w:i/>
          <w:iCs/>
        </w:rPr>
        <w:t>Differential abundance analysis</w:t>
      </w:r>
    </w:p>
    <w:p w14:paraId="33F35C10" w14:textId="3928CF40" w:rsidR="00930EFD" w:rsidRDefault="00917817" w:rsidP="00917817">
      <w:pPr>
        <w:spacing w:after="0"/>
      </w:pPr>
      <w:r>
        <w:t>To investigate which specific bacteria were driving these community-level patterns, we conducted differential abundance analyses at the family and genus levels.</w:t>
      </w:r>
      <w:r>
        <w:t xml:space="preserve"> Taking a similar model selection approach, w</w:t>
      </w:r>
      <w:r>
        <w:t xml:space="preserve">e built two generalized linear mixed models (GLMMs) using a negative binomial distribution with a log link function </w:t>
      </w:r>
      <w:r>
        <w:fldChar w:fldCharType="begin"/>
      </w:r>
      <w:r w:rsidR="004943C3">
        <w:instrText xml:space="preserve"> ADDIN ZOTERO_ITEM CSL_CITATION {"citationID":"Zf0HMIhc","properties":{"unsorted":false,"formattedCitation":"(Zhang et al., 2018)","plainCitation":"(Zhang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Microbiol.","language":"English","publisher":"Frontiers","source":"Frontiers","title":"Negative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943C3">
        <w:t>(Zhang et al., 2018)</w:t>
      </w:r>
      <w:r>
        <w:fldChar w:fldCharType="end"/>
      </w:r>
      <w:r>
        <w:t xml:space="preserve"> and used individual family and genera abundances as our outcome variables. </w:t>
      </w:r>
      <w:r w:rsidR="00930EFD">
        <w:t xml:space="preserve">Predictors in the models were the same as </w:t>
      </w:r>
      <w:r w:rsidR="00930EFD">
        <w:t>described in the community service analysis</w:t>
      </w:r>
      <w:r w:rsidR="00930EFD">
        <w:t xml:space="preserve">, but also included an </w:t>
      </w:r>
      <w:r w:rsidR="00930EFD">
        <w:t>offset for the log-transformed number of reads to control for differences in sequencing depth between samples.</w:t>
      </w:r>
      <w:r w:rsidR="00930EFD">
        <w:t xml:space="preserve"> Taxa were the temperature model </w:t>
      </w:r>
      <w:r w:rsidR="00930EFD">
        <w:t xml:space="preserve">held greater than 50% of the model weight were considered temperature sensitive. We then used the </w:t>
      </w:r>
      <w:r w:rsidR="00930EFD">
        <w:t>model</w:t>
      </w:r>
      <w:r w:rsidR="00930EFD">
        <w:t xml:space="preserve"> weights</w:t>
      </w:r>
      <w:r w:rsidR="00930EFD">
        <w:t xml:space="preserve"> from the temperature model</w:t>
      </w:r>
      <w:r w:rsidR="00930EFD">
        <w:t xml:space="preserve"> </w:t>
      </w:r>
      <w:r w:rsidR="00930EFD">
        <w:t>of all</w:t>
      </w:r>
      <w:r w:rsidR="00930EFD">
        <w:t xml:space="preserve"> genera to perform ancestral state reconstruction. Internal node values represent the maximum likelihood estimates of the temperature model weight under a Brownian motion model of trait evolution.</w:t>
      </w:r>
    </w:p>
    <w:p w14:paraId="4C2895EB" w14:textId="77777777" w:rsidR="00930EFD" w:rsidRDefault="00930EFD" w:rsidP="00917817">
      <w:pPr>
        <w:spacing w:after="0"/>
      </w:pPr>
    </w:p>
    <w:p w14:paraId="2CC5E035" w14:textId="77777777" w:rsidR="00917817" w:rsidRDefault="00917817" w:rsidP="00917817">
      <w:pPr>
        <w:spacing w:after="0"/>
      </w:pPr>
    </w:p>
    <w:p w14:paraId="0DFAA8EB" w14:textId="77777777" w:rsidR="00917817" w:rsidRDefault="00917817" w:rsidP="003A2134">
      <w:pPr>
        <w:spacing w:after="0"/>
      </w:pPr>
    </w:p>
    <w:p w14:paraId="761EF7E9" w14:textId="77777777" w:rsidR="00917817" w:rsidRPr="00917817" w:rsidRDefault="00917817" w:rsidP="003A2134">
      <w:pPr>
        <w:spacing w:after="0"/>
      </w:pPr>
    </w:p>
    <w:p w14:paraId="5D15E0AB" w14:textId="77777777" w:rsidR="003A2134" w:rsidRDefault="003A2134" w:rsidP="003A2134">
      <w:pPr>
        <w:spacing w:after="0"/>
        <w:rPr>
          <w:u w:val="single"/>
        </w:rPr>
      </w:pPr>
    </w:p>
    <w:p w14:paraId="0B43FD51" w14:textId="323A2F06" w:rsidR="003A2134" w:rsidRDefault="00C05041" w:rsidP="003A2134">
      <w:pPr>
        <w:spacing w:after="0"/>
        <w:rPr>
          <w:u w:val="single"/>
        </w:rPr>
      </w:pPr>
      <w:r>
        <w:rPr>
          <w:u w:val="single"/>
        </w:rPr>
        <w:t>Functional composition analysis</w:t>
      </w:r>
    </w:p>
    <w:p w14:paraId="5FA09F4D" w14:textId="5D33ABE0" w:rsidR="007C2ED5" w:rsidRPr="00EF21C8" w:rsidRDefault="00930EFD" w:rsidP="007C2ED5">
      <w:r>
        <w:t xml:space="preserve">Similar to the </w:t>
      </w:r>
      <w:r w:rsidR="007C2ED5">
        <w:t xml:space="preserve">taxonomic analysis, we used the abundances of metabolic pathways to evaluate the specific functional changes predicted by temperature. </w:t>
      </w:r>
      <w:r w:rsidR="007C2ED5">
        <w:t>We first removed pathways present in fewer than 30% of samples (i.e., &lt;2</w:t>
      </w:r>
      <w:r w:rsidR="007C2ED5">
        <w:t>7</w:t>
      </w:r>
      <w:r w:rsidR="007C2ED5">
        <w:t xml:space="preserve"> samples) to retain only the most common pathways.</w:t>
      </w:r>
      <w:r w:rsidR="007C2ED5" w:rsidRPr="007C2ED5">
        <w:t xml:space="preserve"> </w:t>
      </w:r>
      <w:r w:rsidR="007C2ED5">
        <w:t>We then calculated relative abundances and excluded pathways with an average relative abundance below 0.2%. After filtering, 27</w:t>
      </w:r>
      <w:r w:rsidR="007C2ED5">
        <w:t>2</w:t>
      </w:r>
      <w:r w:rsidR="007C2ED5">
        <w:t xml:space="preserve"> pathways remained for analysis.</w:t>
      </w:r>
    </w:p>
    <w:p w14:paraId="755104B1" w14:textId="2FB5CCBC" w:rsidR="00930EFD" w:rsidRDefault="00930EFD" w:rsidP="00930EFD">
      <w:pPr>
        <w:spacing w:after="0"/>
        <w:rPr>
          <w:i/>
          <w:iCs/>
        </w:rPr>
      </w:pPr>
      <w:r w:rsidRPr="008503F6">
        <w:rPr>
          <w:i/>
          <w:iCs/>
        </w:rPr>
        <w:t>Log</w:t>
      </w:r>
      <w:r>
        <w:rPr>
          <w:i/>
          <w:iCs/>
        </w:rPr>
        <w:t xml:space="preserve"> </w:t>
      </w:r>
      <w:r w:rsidRPr="008503F6">
        <w:rPr>
          <w:i/>
          <w:iCs/>
        </w:rPr>
        <w:t>ratio analysis</w:t>
      </w:r>
    </w:p>
    <w:p w14:paraId="4277F226" w14:textId="36C14661" w:rsidR="00930EFD" w:rsidRPr="00930EFD" w:rsidRDefault="00930EFD" w:rsidP="00930EFD">
      <w:pPr>
        <w:spacing w:after="0"/>
      </w:pPr>
    </w:p>
    <w:p w14:paraId="7E831F4A" w14:textId="77777777" w:rsidR="00930EFD" w:rsidRDefault="00930EFD" w:rsidP="00930EFD">
      <w:pPr>
        <w:spacing w:after="0"/>
        <w:rPr>
          <w:i/>
          <w:iCs/>
        </w:rPr>
      </w:pPr>
    </w:p>
    <w:p w14:paraId="3D7489AE" w14:textId="77777777" w:rsidR="00930EFD" w:rsidRDefault="00930EFD" w:rsidP="00930EFD">
      <w:pPr>
        <w:spacing w:after="0"/>
        <w:rPr>
          <w:i/>
          <w:iCs/>
        </w:rPr>
      </w:pPr>
      <w:r w:rsidRPr="008503F6">
        <w:rPr>
          <w:i/>
          <w:iCs/>
        </w:rPr>
        <w:t>Differential abundance analysis</w:t>
      </w:r>
    </w:p>
    <w:p w14:paraId="68034E64" w14:textId="77777777" w:rsidR="000D2449" w:rsidRDefault="000D2449"/>
    <w:p w14:paraId="0F268B4A" w14:textId="77777777" w:rsidR="009F7B11" w:rsidRDefault="009F7B11"/>
    <w:p w14:paraId="0B7D2A80" w14:textId="77777777" w:rsidR="009F7B11" w:rsidRDefault="009F7B11"/>
    <w:p w14:paraId="1EF82EE5" w14:textId="77777777" w:rsidR="00DC27D7" w:rsidRDefault="00DC27D7"/>
    <w:p w14:paraId="74BCDC42" w14:textId="19A3C843" w:rsidR="009F7B11" w:rsidRDefault="00DC27D7">
      <w:r>
        <w:t xml:space="preserve">Figures: </w:t>
      </w:r>
    </w:p>
    <w:p w14:paraId="17974AC6" w14:textId="4D63772E" w:rsidR="00FF3D38" w:rsidRDefault="00FF3D38">
      <w:r>
        <w:rPr>
          <w:noProof/>
        </w:rPr>
        <w:lastRenderedPageBreak/>
        <w:drawing>
          <wp:inline distT="0" distB="0" distL="0" distR="0" wp14:anchorId="7BDFF6D9" wp14:editId="10FEFC0F">
            <wp:extent cx="5943600" cy="3962400"/>
            <wp:effectExtent l="0" t="0" r="0" b="0"/>
            <wp:docPr id="205758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597" name="Picture 205758597"/>
                    <pic:cNvPicPr/>
                  </pic:nvPicPr>
                  <pic:blipFill>
                    <a:blip r:embed="rId6"/>
                    <a:stretch>
                      <a:fillRect/>
                    </a:stretch>
                  </pic:blipFill>
                  <pic:spPr>
                    <a:xfrm>
                      <a:off x="0" y="0"/>
                      <a:ext cx="5943600" cy="3962400"/>
                    </a:xfrm>
                    <a:prstGeom prst="rect">
                      <a:avLst/>
                    </a:prstGeom>
                  </pic:spPr>
                </pic:pic>
              </a:graphicData>
            </a:graphic>
          </wp:inline>
        </w:drawing>
      </w:r>
    </w:p>
    <w:p w14:paraId="3A537605" w14:textId="35AD3403" w:rsidR="00DC27D7" w:rsidRDefault="00DC27D7" w:rsidP="00DC27D7">
      <w:r w:rsidRPr="00F86AC3">
        <w:rPr>
          <w:b/>
          <w:bCs/>
        </w:rPr>
        <w:t xml:space="preserve">Figure </w:t>
      </w:r>
      <w:r w:rsidR="00FF3D38">
        <w:rPr>
          <w:b/>
          <w:bCs/>
        </w:rPr>
        <w:t>2</w:t>
      </w:r>
      <w:r w:rsidRPr="00F86AC3">
        <w:rPr>
          <w:b/>
          <w:bCs/>
        </w:rPr>
        <w:t>:</w:t>
      </w:r>
      <w:r>
        <w:rPr>
          <w:b/>
          <w:bCs/>
        </w:rPr>
        <w:t xml:space="preserve"> </w:t>
      </w:r>
      <w:r>
        <w:t xml:space="preserve">Model </w:t>
      </w:r>
      <w:r>
        <w:t>selection</w:t>
      </w:r>
      <w:r>
        <w:t xml:space="preserve"> results assessing whether adding temperature to a base model of known microbiome predictors improves the explanation of community-level taxonomic and </w:t>
      </w:r>
      <w:r w:rsidR="00FF3D38">
        <w:t xml:space="preserve">functional </w:t>
      </w:r>
      <w:r>
        <w:t>diversit</w:t>
      </w:r>
      <w:r w:rsidR="006823A6">
        <w:t>y.</w:t>
      </w:r>
      <w:r w:rsidRPr="006823A6">
        <w:rPr>
          <w:b/>
          <w:bCs/>
        </w:rPr>
        <w:t xml:space="preserve"> Panels A and 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w:t>
      </w:r>
      <w:r w:rsidRPr="006823A6">
        <w:rPr>
          <w:b/>
          <w:bCs/>
        </w:rPr>
        <w:t>Panels B and D</w:t>
      </w:r>
      <w:r>
        <w:t xml:space="preserve"> compare the model weights of the base model (in green) to the temperature model (in yellow). The weights of the base model plus the temperature model equal 100%. The top </w:t>
      </w:r>
      <w:r w:rsidRPr="006823A6">
        <w:rPr>
          <w:b/>
          <w:bCs/>
        </w:rPr>
        <w:t>panels A and B</w:t>
      </w:r>
      <w:r>
        <w:t xml:space="preserve"> show the results for community-level taxonomic diversity, while the bottom </w:t>
      </w:r>
      <w:r w:rsidRPr="006823A6">
        <w:rPr>
          <w:b/>
          <w:bCs/>
        </w:rPr>
        <w:t xml:space="preserve">panels C and D </w:t>
      </w:r>
      <w:r>
        <w:t xml:space="preserve">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E9E223A" w14:textId="5A4BE121" w:rsidR="00FF3D38" w:rsidRDefault="00FF3D38" w:rsidP="00DC27D7"/>
    <w:p w14:paraId="5E3101CA" w14:textId="17EE8634" w:rsidR="00FF3D38" w:rsidRDefault="00FF3D38" w:rsidP="00DC27D7">
      <w:r>
        <w:rPr>
          <w:noProof/>
        </w:rPr>
        <w:lastRenderedPageBreak/>
        <w:drawing>
          <wp:inline distT="0" distB="0" distL="0" distR="0" wp14:anchorId="349F2626" wp14:editId="1FAE889C">
            <wp:extent cx="5943600" cy="2743200"/>
            <wp:effectExtent l="0" t="0" r="0" b="0"/>
            <wp:docPr id="1519142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42196" name="Picture 1519142196"/>
                    <pic:cNvPicPr/>
                  </pic:nvPicPr>
                  <pic:blipFill>
                    <a:blip r:embed="rId7"/>
                    <a:stretch>
                      <a:fillRect/>
                    </a:stretch>
                  </pic:blipFill>
                  <pic:spPr>
                    <a:xfrm>
                      <a:off x="0" y="0"/>
                      <a:ext cx="5943600" cy="2743200"/>
                    </a:xfrm>
                    <a:prstGeom prst="rect">
                      <a:avLst/>
                    </a:prstGeom>
                  </pic:spPr>
                </pic:pic>
              </a:graphicData>
            </a:graphic>
          </wp:inline>
        </w:drawing>
      </w:r>
    </w:p>
    <w:p w14:paraId="4CE0E3EF" w14:textId="53EC1945" w:rsidR="006823A6" w:rsidRDefault="00FF3D38" w:rsidP="009F7B11">
      <w:r w:rsidRPr="006823A6">
        <w:rPr>
          <w:b/>
          <w:bCs/>
        </w:rPr>
        <w:t>Figure 3:</w:t>
      </w:r>
      <w:r>
        <w:t xml:space="preserve"> </w:t>
      </w:r>
      <w:r w:rsidR="006823A6">
        <w:t xml:space="preserve">Model selection results from the taxonomic and functional log-ratio analyses assessing community-level microbiome shifts associated with dysbiosis and potential consequences for host health. </w:t>
      </w:r>
      <w:r w:rsidR="006823A6">
        <w:rPr>
          <w:rStyle w:val="Strong"/>
        </w:rPr>
        <w:t>Panels A and C</w:t>
      </w:r>
      <w:r w:rsidR="006823A6">
        <w:t xml:space="preserve"> show the coefficient estimates for the effect of temperature on each log-ratio. Thick bars represent 50% confidence intervals (CI), while thin bars represent 95% CI. </w:t>
      </w:r>
      <w:r w:rsidR="006823A6">
        <w:rPr>
          <w:rStyle w:val="Strong"/>
        </w:rPr>
        <w:t>Panels B and D</w:t>
      </w:r>
      <w:r w:rsidR="006823A6">
        <w:t xml:space="preserve"> compare the model weights of the base model (green) and the temperature model (yellow), which together sum to 100%. Results were highly congruent between the taxonomic and functional datasets, indicating that rising temperatures predict coordinated shifts away from commensal </w:t>
      </w:r>
      <w:r w:rsidR="006823A6">
        <w:t xml:space="preserve">microbes. </w:t>
      </w:r>
      <w:r w:rsidR="006823A6">
        <w:t>Specifically, elevated temperatures were associated with the relative loss of obligately anaerobic fermentative taxa and</w:t>
      </w:r>
      <w:r w:rsidR="006823A6">
        <w:t xml:space="preserve"> their</w:t>
      </w:r>
      <w:r w:rsidR="006823A6">
        <w:t xml:space="preserve"> health-supporting metabolic functions, alongside the persistence or expansion of opportunistic and potentially pathogenic taxa and pro-inflammatory metabolic functions.</w:t>
      </w:r>
    </w:p>
    <w:p w14:paraId="5C4AEB17" w14:textId="25BEFD4D" w:rsidR="006823A6" w:rsidRDefault="006823A6" w:rsidP="009F7B11"/>
    <w:p w14:paraId="6EAE6F85" w14:textId="2B083E94" w:rsidR="009F7B11" w:rsidRDefault="006823A6" w:rsidP="009F7B11">
      <w:r w:rsidRPr="009F7B11">
        <w:lastRenderedPageBreak/>
        <w:drawing>
          <wp:anchor distT="0" distB="0" distL="114300" distR="114300" simplePos="0" relativeHeight="251658240" behindDoc="0" locked="0" layoutInCell="1" allowOverlap="1" wp14:anchorId="2E36103C" wp14:editId="5EE2D96C">
            <wp:simplePos x="0" y="0"/>
            <wp:positionH relativeFrom="column">
              <wp:posOffset>28575</wp:posOffset>
            </wp:positionH>
            <wp:positionV relativeFrom="paragraph">
              <wp:posOffset>271953</wp:posOffset>
            </wp:positionV>
            <wp:extent cx="5943600" cy="2560955"/>
            <wp:effectExtent l="0" t="0" r="0" b="4445"/>
            <wp:wrapTopAndBottom/>
            <wp:docPr id="19" name="Picture 18">
              <a:extLst xmlns:a="http://schemas.openxmlformats.org/drawingml/2006/main">
                <a:ext uri="{FF2B5EF4-FFF2-40B4-BE49-F238E27FC236}">
                  <a16:creationId xmlns:a16="http://schemas.microsoft.com/office/drawing/2014/main" id="{7BA1CD74-8A8A-5459-4CB5-6695CA8C2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BA1CD74-8A8A-5459-4CB5-6695CA8C25B8}"/>
                        </a:ext>
                      </a:extLst>
                    </pic:cNvPr>
                    <pic:cNvPicPr>
                      <a:picLocks noChangeAspect="1"/>
                    </pic:cNvPicPr>
                  </pic:nvPicPr>
                  <pic:blipFill>
                    <a:blip r:embed="rId8"/>
                    <a:stretch>
                      <a:fillRect/>
                    </a:stretch>
                  </pic:blipFill>
                  <pic:spPr>
                    <a:xfrm>
                      <a:off x="0" y="0"/>
                      <a:ext cx="5943600" cy="2560955"/>
                    </a:xfrm>
                    <a:prstGeom prst="rect">
                      <a:avLst/>
                    </a:prstGeom>
                  </pic:spPr>
                </pic:pic>
              </a:graphicData>
            </a:graphic>
            <wp14:sizeRelH relativeFrom="page">
              <wp14:pctWidth>0</wp14:pctWidth>
            </wp14:sizeRelH>
            <wp14:sizeRelV relativeFrom="page">
              <wp14:pctHeight>0</wp14:pctHeight>
            </wp14:sizeRelV>
          </wp:anchor>
        </w:drawing>
      </w:r>
      <w:r w:rsidR="009F7B11">
        <w:t xml:space="preserve">Supplemental information: </w:t>
      </w:r>
    </w:p>
    <w:p w14:paraId="7FADDC11" w14:textId="576E6702" w:rsidR="009F7B11" w:rsidRDefault="009F7B11">
      <w:r>
        <w:rPr>
          <w:noProof/>
        </w:rPr>
        <w:drawing>
          <wp:anchor distT="0" distB="0" distL="114300" distR="114300" simplePos="0" relativeHeight="251659264" behindDoc="0" locked="0" layoutInCell="1" allowOverlap="1" wp14:anchorId="3A727253" wp14:editId="0F3EA6D5">
            <wp:simplePos x="0" y="0"/>
            <wp:positionH relativeFrom="column">
              <wp:posOffset>-7216</wp:posOffset>
            </wp:positionH>
            <wp:positionV relativeFrom="paragraph">
              <wp:posOffset>3970771</wp:posOffset>
            </wp:positionV>
            <wp:extent cx="5361708" cy="2680854"/>
            <wp:effectExtent l="0" t="0" r="0" b="0"/>
            <wp:wrapTopAndBottom/>
            <wp:docPr id="1849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8800" name="Picture 1849258800"/>
                    <pic:cNvPicPr/>
                  </pic:nvPicPr>
                  <pic:blipFill>
                    <a:blip r:embed="rId9"/>
                    <a:stretch>
                      <a:fillRect/>
                    </a:stretch>
                  </pic:blipFill>
                  <pic:spPr>
                    <a:xfrm>
                      <a:off x="0" y="0"/>
                      <a:ext cx="5361708" cy="2680854"/>
                    </a:xfrm>
                    <a:prstGeom prst="rect">
                      <a:avLst/>
                    </a:prstGeom>
                  </pic:spPr>
                </pic:pic>
              </a:graphicData>
            </a:graphic>
            <wp14:sizeRelH relativeFrom="page">
              <wp14:pctWidth>0</wp14:pctWidth>
            </wp14:sizeRelH>
            <wp14:sizeRelV relativeFrom="page">
              <wp14:pctHeight>0</wp14:pctHeight>
            </wp14:sizeRelV>
          </wp:anchor>
        </w:drawing>
      </w:r>
      <w:r w:rsidRPr="009F7B11">
        <w:rPr>
          <w:b/>
          <w:bCs/>
        </w:rPr>
        <w:t>Figure 1S:</w:t>
      </w:r>
      <w:r w:rsidRPr="009F7B11">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w:t>
      </w:r>
      <w:r>
        <w:t xml:space="preserve"> diversity analysis</w:t>
      </w:r>
      <w:r w:rsidRPr="009F7B11">
        <w:t xml:space="preserve"> modeling approach used the same model structure for both data types, the</w:t>
      </w:r>
      <w:r>
        <w:t xml:space="preserve"> models for the differential abundance analysis differed by data type. </w:t>
      </w:r>
    </w:p>
    <w:p w14:paraId="7AFFF697" w14:textId="673113CD" w:rsidR="009F7B11" w:rsidRDefault="009F7B11" w:rsidP="009F7B11">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DCBD144" w14:textId="77777777" w:rsidR="009F7B11" w:rsidRDefault="009F7B11" w:rsidP="009F7B11"/>
    <w:p w14:paraId="37C9C9C7" w14:textId="423CEE45" w:rsidR="009F7B11" w:rsidRDefault="009F7B11" w:rsidP="009F7B11">
      <w:r>
        <w:rPr>
          <w:noProof/>
        </w:rPr>
        <w:lastRenderedPageBreak/>
        <w:drawing>
          <wp:anchor distT="0" distB="0" distL="114300" distR="114300" simplePos="0" relativeHeight="251660288" behindDoc="0" locked="0" layoutInCell="1" allowOverlap="1" wp14:anchorId="368D97EC" wp14:editId="6988EAA2">
            <wp:simplePos x="0" y="0"/>
            <wp:positionH relativeFrom="column">
              <wp:posOffset>0</wp:posOffset>
            </wp:positionH>
            <wp:positionV relativeFrom="paragraph">
              <wp:posOffset>0</wp:posOffset>
            </wp:positionV>
            <wp:extent cx="4876800" cy="8229600"/>
            <wp:effectExtent l="0" t="0" r="0" b="0"/>
            <wp:wrapTopAndBottom/>
            <wp:docPr id="5325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38" name="Picture 53258538"/>
                    <pic:cNvPicPr/>
                  </pic:nvPicPr>
                  <pic:blipFill>
                    <a:blip r:embed="rId10"/>
                    <a:stretch>
                      <a:fillRect/>
                    </a:stretch>
                  </pic:blipFill>
                  <pic:spPr>
                    <a:xfrm>
                      <a:off x="0" y="0"/>
                      <a:ext cx="4876800" cy="8229600"/>
                    </a:xfrm>
                    <a:prstGeom prst="rect">
                      <a:avLst/>
                    </a:prstGeom>
                  </pic:spPr>
                </pic:pic>
              </a:graphicData>
            </a:graphic>
            <wp14:sizeRelH relativeFrom="page">
              <wp14:pctWidth>0</wp14:pctWidth>
            </wp14:sizeRelH>
            <wp14:sizeRelV relativeFrom="page">
              <wp14:pctHeight>0</wp14:pctHeight>
            </wp14:sizeRelV>
          </wp:anchor>
        </w:drawing>
      </w:r>
    </w:p>
    <w:p w14:paraId="5DF1F7A7" w14:textId="2FEBAC85" w:rsidR="009F7B11" w:rsidRDefault="009F7B11" w:rsidP="009F7B11">
      <w:commentRangeStart w:id="0"/>
      <w:r w:rsidRPr="009F7B11">
        <w:rPr>
          <w:b/>
          <w:bCs/>
        </w:rPr>
        <w:lastRenderedPageBreak/>
        <w:t>Fig 3S.</w:t>
      </w:r>
      <w:r>
        <w:t xml:space="preserve"> </w:t>
      </w:r>
      <w:commentRangeEnd w:id="0"/>
      <w:r>
        <w:rPr>
          <w:rStyle w:val="CommentReference"/>
          <w:sz w:val="24"/>
          <w:szCs w:val="24"/>
        </w:rPr>
        <w:commentReference w:id="0"/>
      </w:r>
      <w:r>
        <w:t>Cladogram showing ancestral state reconstruction of temperature sensitivity for 9</w:t>
      </w:r>
      <w:r w:rsidR="00DF74B0">
        <w:t>1</w:t>
      </w:r>
      <w:r>
        <w:t xml:space="preserve">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Bacteroidota phyla. In contrast, Proteobacteria and Campylobacterota appear less temperature sensitive compared to the other phyla. </w:t>
      </w:r>
    </w:p>
    <w:p w14:paraId="35BDAEE9" w14:textId="435ADC3B" w:rsidR="00940475" w:rsidRPr="00940475" w:rsidRDefault="00940475" w:rsidP="00940475">
      <w:r>
        <w:rPr>
          <w:noProof/>
        </w:rPr>
        <w:drawing>
          <wp:anchor distT="0" distB="0" distL="114300" distR="114300" simplePos="0" relativeHeight="251661312" behindDoc="0" locked="0" layoutInCell="1" allowOverlap="1" wp14:anchorId="0FB26299" wp14:editId="4BD19C02">
            <wp:simplePos x="0" y="0"/>
            <wp:positionH relativeFrom="column">
              <wp:posOffset>-635</wp:posOffset>
            </wp:positionH>
            <wp:positionV relativeFrom="paragraph">
              <wp:posOffset>319405</wp:posOffset>
            </wp:positionV>
            <wp:extent cx="6206490" cy="1939290"/>
            <wp:effectExtent l="0" t="0" r="3810" b="3810"/>
            <wp:wrapTopAndBottom/>
            <wp:docPr id="70440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7042" name="Picture 704407042"/>
                    <pic:cNvPicPr/>
                  </pic:nvPicPr>
                  <pic:blipFill>
                    <a:blip r:embed="rId15"/>
                    <a:stretch>
                      <a:fillRect/>
                    </a:stretch>
                  </pic:blipFill>
                  <pic:spPr>
                    <a:xfrm>
                      <a:off x="0" y="0"/>
                      <a:ext cx="6206490" cy="1939290"/>
                    </a:xfrm>
                    <a:prstGeom prst="rect">
                      <a:avLst/>
                    </a:prstGeom>
                  </pic:spPr>
                </pic:pic>
              </a:graphicData>
            </a:graphic>
            <wp14:sizeRelH relativeFrom="page">
              <wp14:pctWidth>0</wp14:pctWidth>
            </wp14:sizeRelH>
            <wp14:sizeRelV relativeFrom="page">
              <wp14:pctHeight>0</wp14:pctHeight>
            </wp14:sizeRelV>
          </wp:anchor>
        </w:drawing>
      </w:r>
    </w:p>
    <w:p w14:paraId="0B5723CC" w14:textId="7A2EFCF1" w:rsidR="00940475" w:rsidRDefault="00940475" w:rsidP="00940475">
      <w:pPr>
        <w:rPr>
          <w:b/>
          <w:bCs/>
        </w:rPr>
      </w:pPr>
      <w:commentRangeStart w:id="1"/>
      <w:r w:rsidRPr="00940475">
        <w:rPr>
          <w:b/>
          <w:bCs/>
        </w:rPr>
        <w:t>Fig. 4S</w:t>
      </w:r>
      <w:commentRangeEnd w:id="1"/>
      <w:r w:rsidR="00DC27D7" w:rsidRPr="00940475">
        <w:rPr>
          <w:rStyle w:val="CommentReference"/>
          <w:b/>
          <w:bCs/>
          <w:sz w:val="24"/>
          <w:szCs w:val="24"/>
        </w:rPr>
        <w:commentReference w:id="1"/>
      </w:r>
      <w:r w:rsidRPr="00940475">
        <w:rPr>
          <w:b/>
          <w:bCs/>
        </w:rPr>
        <w:t xml:space="preserve">: </w:t>
      </w:r>
      <w:r w:rsidRPr="00940475">
        <w:t xml:space="preserve">Model selection results for lipid metabolism pathways from the differential abundance pathway-level analysis. Panel </w:t>
      </w:r>
      <w:r w:rsidRPr="00940475">
        <w:rPr>
          <w:b/>
          <w:bCs/>
        </w:rPr>
        <w:t>A</w:t>
      </w:r>
      <w:r w:rsidRPr="00940475">
        <w:t xml:space="preserve"> shows the coefficient estimates for the effect of temperature on the relative abundance of each listed metabolic pathway. Thick bars represent 50% confidence intervals (CI), while thin bars represent 95% CI. Red and blue annotations summarize the functional roles of pathways within each group. Panel B compares the model weights of the base model (green) and the temperature model (yellow)</w:t>
      </w:r>
      <w:r>
        <w:t>. T</w:t>
      </w:r>
      <w:r w:rsidRPr="00940475">
        <w:t xml:space="preserve">he two model weights sum to 100%. Overall, rising temperatures predicted coordinated shifts in lipid metabolism, including decreases in pathways involved in lipid catabolism alongside increases in lipid biosynthesis pathways. These patterns </w:t>
      </w:r>
      <w:r>
        <w:t xml:space="preserve">suggest </w:t>
      </w:r>
      <w:r w:rsidRPr="00940475">
        <w:t>microbial investment in membrane remodeling and maintenance in response to the destabilizing effects of heat on membrane integrity and fluidity.</w:t>
      </w:r>
    </w:p>
    <w:p w14:paraId="0520CCA9" w14:textId="1AAC0DD8" w:rsidR="00940475" w:rsidRDefault="00940475"/>
    <w:sectPr w:rsidR="00940475"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6-05-10T13:39:00Z" w:initials="JL">
    <w:p w14:paraId="7E199A8C" w14:textId="77777777" w:rsidR="009F7B11" w:rsidRDefault="009F7B11" w:rsidP="009F7B11">
      <w:r>
        <w:rPr>
          <w:rStyle w:val="CommentReference"/>
        </w:rPr>
        <w:annotationRef/>
      </w:r>
      <w:r>
        <w:rPr>
          <w:sz w:val="20"/>
          <w:szCs w:val="20"/>
        </w:rPr>
        <w:t>I'm considering making this another figure in the paper instead of in the supplement... what do you think</w:t>
      </w:r>
    </w:p>
  </w:comment>
  <w:comment w:id="1" w:author="Lucore, Jordan" w:date="2026-05-10T13:50:00Z" w:initials="JL">
    <w:p w14:paraId="238980A7" w14:textId="77777777" w:rsidR="00DC27D7" w:rsidRDefault="00DC27D7" w:rsidP="00DC27D7">
      <w:r>
        <w:rPr>
          <w:rStyle w:val="CommentReference"/>
        </w:rPr>
        <w:annotationRef/>
      </w:r>
      <w:r>
        <w:rPr>
          <w:sz w:val="20"/>
          <w:szCs w:val="20"/>
        </w:rPr>
        <w:t>If we needed to cut a result it would be this one, but I thought it was important to show another result from the path DAA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199A8C" w15:done="0"/>
  <w15:commentEx w15:paraId="23898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0458B2" w16cex:dateUtc="2026-05-10T17:39:00Z"/>
  <w16cex:commentExtensible w16cex:durableId="5CF1937F" w16cex:dateUtc="2026-05-10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199A8C" w16cid:durableId="620458B2"/>
  <w16cid:commentId w16cid:paraId="238980A7" w16cid:durableId="5CF193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C8"/>
    <w:rsid w:val="00007349"/>
    <w:rsid w:val="000309F3"/>
    <w:rsid w:val="000365B2"/>
    <w:rsid w:val="00050E86"/>
    <w:rsid w:val="00074A66"/>
    <w:rsid w:val="000C4015"/>
    <w:rsid w:val="000D2449"/>
    <w:rsid w:val="001631FB"/>
    <w:rsid w:val="00182A24"/>
    <w:rsid w:val="002248A0"/>
    <w:rsid w:val="002E0F0A"/>
    <w:rsid w:val="00337EBD"/>
    <w:rsid w:val="00340EEA"/>
    <w:rsid w:val="003563E7"/>
    <w:rsid w:val="003A2134"/>
    <w:rsid w:val="003A2343"/>
    <w:rsid w:val="00433B11"/>
    <w:rsid w:val="00454EF0"/>
    <w:rsid w:val="0045536A"/>
    <w:rsid w:val="00465396"/>
    <w:rsid w:val="004943C3"/>
    <w:rsid w:val="004C7D43"/>
    <w:rsid w:val="0054697E"/>
    <w:rsid w:val="00546E51"/>
    <w:rsid w:val="005551F2"/>
    <w:rsid w:val="005B00A1"/>
    <w:rsid w:val="005C6AD6"/>
    <w:rsid w:val="0067594E"/>
    <w:rsid w:val="006823A6"/>
    <w:rsid w:val="006E5658"/>
    <w:rsid w:val="00733445"/>
    <w:rsid w:val="00740108"/>
    <w:rsid w:val="00745907"/>
    <w:rsid w:val="00752B2B"/>
    <w:rsid w:val="0079151E"/>
    <w:rsid w:val="007C12C0"/>
    <w:rsid w:val="007C2ED5"/>
    <w:rsid w:val="00802FD1"/>
    <w:rsid w:val="008503F6"/>
    <w:rsid w:val="008631EB"/>
    <w:rsid w:val="008E25E9"/>
    <w:rsid w:val="00917817"/>
    <w:rsid w:val="00930EFD"/>
    <w:rsid w:val="00940475"/>
    <w:rsid w:val="00952CA2"/>
    <w:rsid w:val="00960E96"/>
    <w:rsid w:val="00977733"/>
    <w:rsid w:val="009B357C"/>
    <w:rsid w:val="009F090F"/>
    <w:rsid w:val="009F2C71"/>
    <w:rsid w:val="009F7B11"/>
    <w:rsid w:val="009F7F07"/>
    <w:rsid w:val="00A47212"/>
    <w:rsid w:val="00A62C03"/>
    <w:rsid w:val="00B9436A"/>
    <w:rsid w:val="00BF0AB1"/>
    <w:rsid w:val="00BF19DA"/>
    <w:rsid w:val="00C05041"/>
    <w:rsid w:val="00CA30C8"/>
    <w:rsid w:val="00D30FD7"/>
    <w:rsid w:val="00D36353"/>
    <w:rsid w:val="00DC27D7"/>
    <w:rsid w:val="00DF74B0"/>
    <w:rsid w:val="00E356F2"/>
    <w:rsid w:val="00E50407"/>
    <w:rsid w:val="00E5130C"/>
    <w:rsid w:val="00E9519A"/>
    <w:rsid w:val="00EA54CE"/>
    <w:rsid w:val="00ED4616"/>
    <w:rsid w:val="00EE6398"/>
    <w:rsid w:val="00F214F3"/>
    <w:rsid w:val="00F33536"/>
    <w:rsid w:val="00F862B9"/>
    <w:rsid w:val="00FF3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17FC"/>
  <w15:chartTrackingRefBased/>
  <w15:docId w15:val="{BB66FE09-2D6A-AC4A-AEFD-5E180F59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D7"/>
  </w:style>
  <w:style w:type="paragraph" w:styleId="Heading1">
    <w:name w:val="heading 1"/>
    <w:basedOn w:val="Normal"/>
    <w:next w:val="Normal"/>
    <w:link w:val="Heading1Char"/>
    <w:uiPriority w:val="9"/>
    <w:qFormat/>
    <w:rsid w:val="00CA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C8"/>
    <w:rPr>
      <w:rFonts w:eastAsiaTheme="majorEastAsia" w:cstheme="majorBidi"/>
      <w:color w:val="272727" w:themeColor="text1" w:themeTint="D8"/>
    </w:rPr>
  </w:style>
  <w:style w:type="paragraph" w:styleId="Title">
    <w:name w:val="Title"/>
    <w:basedOn w:val="Normal"/>
    <w:next w:val="Normal"/>
    <w:link w:val="TitleChar"/>
    <w:uiPriority w:val="10"/>
    <w:qFormat/>
    <w:rsid w:val="00CA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C8"/>
    <w:pPr>
      <w:spacing w:before="160"/>
      <w:jc w:val="center"/>
    </w:pPr>
    <w:rPr>
      <w:i/>
      <w:iCs/>
      <w:color w:val="404040" w:themeColor="text1" w:themeTint="BF"/>
    </w:rPr>
  </w:style>
  <w:style w:type="character" w:customStyle="1" w:styleId="QuoteChar">
    <w:name w:val="Quote Char"/>
    <w:basedOn w:val="DefaultParagraphFont"/>
    <w:link w:val="Quote"/>
    <w:uiPriority w:val="29"/>
    <w:rsid w:val="00CA30C8"/>
    <w:rPr>
      <w:i/>
      <w:iCs/>
      <w:color w:val="404040" w:themeColor="text1" w:themeTint="BF"/>
    </w:rPr>
  </w:style>
  <w:style w:type="paragraph" w:styleId="ListParagraph">
    <w:name w:val="List Paragraph"/>
    <w:basedOn w:val="Normal"/>
    <w:uiPriority w:val="34"/>
    <w:qFormat/>
    <w:rsid w:val="00CA30C8"/>
    <w:pPr>
      <w:ind w:left="720"/>
      <w:contextualSpacing/>
    </w:pPr>
  </w:style>
  <w:style w:type="character" w:styleId="IntenseEmphasis">
    <w:name w:val="Intense Emphasis"/>
    <w:basedOn w:val="DefaultParagraphFont"/>
    <w:uiPriority w:val="21"/>
    <w:qFormat/>
    <w:rsid w:val="00CA30C8"/>
    <w:rPr>
      <w:i/>
      <w:iCs/>
      <w:color w:val="0F4761" w:themeColor="accent1" w:themeShade="BF"/>
    </w:rPr>
  </w:style>
  <w:style w:type="paragraph" w:styleId="IntenseQuote">
    <w:name w:val="Intense Quote"/>
    <w:basedOn w:val="Normal"/>
    <w:next w:val="Normal"/>
    <w:link w:val="IntenseQuoteChar"/>
    <w:uiPriority w:val="30"/>
    <w:qFormat/>
    <w:rsid w:val="00CA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C8"/>
    <w:rPr>
      <w:i/>
      <w:iCs/>
      <w:color w:val="0F4761" w:themeColor="accent1" w:themeShade="BF"/>
    </w:rPr>
  </w:style>
  <w:style w:type="character" w:styleId="IntenseReference">
    <w:name w:val="Intense Reference"/>
    <w:basedOn w:val="DefaultParagraphFont"/>
    <w:uiPriority w:val="32"/>
    <w:qFormat/>
    <w:rsid w:val="00CA30C8"/>
    <w:rPr>
      <w:b/>
      <w:bCs/>
      <w:smallCaps/>
      <w:color w:val="0F4761" w:themeColor="accent1" w:themeShade="BF"/>
      <w:spacing w:val="5"/>
    </w:rPr>
  </w:style>
  <w:style w:type="character" w:styleId="Hyperlink">
    <w:name w:val="Hyperlink"/>
    <w:basedOn w:val="DefaultParagraphFont"/>
    <w:uiPriority w:val="99"/>
    <w:unhideWhenUsed/>
    <w:rsid w:val="006E5658"/>
    <w:rPr>
      <w:color w:val="467886" w:themeColor="hyperlink"/>
      <w:u w:val="single"/>
    </w:rPr>
  </w:style>
  <w:style w:type="character" w:styleId="CommentReference">
    <w:name w:val="annotation reference"/>
    <w:basedOn w:val="DefaultParagraphFont"/>
    <w:uiPriority w:val="99"/>
    <w:semiHidden/>
    <w:unhideWhenUsed/>
    <w:rsid w:val="009F7B11"/>
    <w:rPr>
      <w:sz w:val="16"/>
      <w:szCs w:val="16"/>
    </w:rPr>
  </w:style>
  <w:style w:type="paragraph" w:styleId="CommentText">
    <w:name w:val="annotation text"/>
    <w:basedOn w:val="Normal"/>
    <w:link w:val="CommentTextChar"/>
    <w:uiPriority w:val="99"/>
    <w:semiHidden/>
    <w:unhideWhenUsed/>
    <w:rsid w:val="009F7B11"/>
    <w:pPr>
      <w:spacing w:line="240" w:lineRule="auto"/>
    </w:pPr>
    <w:rPr>
      <w:sz w:val="20"/>
      <w:szCs w:val="20"/>
    </w:rPr>
  </w:style>
  <w:style w:type="character" w:customStyle="1" w:styleId="CommentTextChar">
    <w:name w:val="Comment Text Char"/>
    <w:basedOn w:val="DefaultParagraphFont"/>
    <w:link w:val="CommentText"/>
    <w:uiPriority w:val="99"/>
    <w:semiHidden/>
    <w:rsid w:val="009F7B11"/>
    <w:rPr>
      <w:sz w:val="20"/>
      <w:szCs w:val="20"/>
    </w:rPr>
  </w:style>
  <w:style w:type="paragraph" w:styleId="CommentSubject">
    <w:name w:val="annotation subject"/>
    <w:basedOn w:val="CommentText"/>
    <w:next w:val="CommentText"/>
    <w:link w:val="CommentSubjectChar"/>
    <w:uiPriority w:val="99"/>
    <w:semiHidden/>
    <w:unhideWhenUsed/>
    <w:rsid w:val="009F7B11"/>
    <w:rPr>
      <w:b/>
      <w:bCs/>
    </w:rPr>
  </w:style>
  <w:style w:type="character" w:customStyle="1" w:styleId="CommentSubjectChar">
    <w:name w:val="Comment Subject Char"/>
    <w:basedOn w:val="CommentTextChar"/>
    <w:link w:val="CommentSubject"/>
    <w:uiPriority w:val="99"/>
    <w:semiHidden/>
    <w:rsid w:val="009F7B11"/>
    <w:rPr>
      <w:b/>
      <w:bCs/>
      <w:sz w:val="20"/>
      <w:szCs w:val="20"/>
    </w:rPr>
  </w:style>
  <w:style w:type="character" w:styleId="Strong">
    <w:name w:val="Strong"/>
    <w:basedOn w:val="DefaultParagraphFont"/>
    <w:uiPriority w:val="22"/>
    <w:qFormat/>
    <w:rsid w:val="006823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emf"/><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comments" Target="comments.xml"/><Relationship Id="rId5" Type="http://schemas.openxmlformats.org/officeDocument/2006/relationships/hyperlink" Target="http://www.earthmicrobiome.org" TargetMode="External"/><Relationship Id="rId15" Type="http://schemas.openxmlformats.org/officeDocument/2006/relationships/image" Target="media/image6.emf"/><Relationship Id="rId10" Type="http://schemas.openxmlformats.org/officeDocument/2006/relationships/image" Target="media/image5.emf"/><Relationship Id="rId4" Type="http://schemas.openxmlformats.org/officeDocument/2006/relationships/hyperlink" Target="mailto:jlucore@umich.edu" TargetMode="External"/><Relationship Id="rId9" Type="http://schemas.openxmlformats.org/officeDocument/2006/relationships/image" Target="media/image4.emf"/><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20</Pages>
  <Words>22512</Words>
  <Characters>128323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14</cp:revision>
  <dcterms:created xsi:type="dcterms:W3CDTF">2026-05-11T13:15:00Z</dcterms:created>
  <dcterms:modified xsi:type="dcterms:W3CDTF">2026-05-11T21:14:00Z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id="s32Ktz59"/&gt;&lt;style id="http://www.zotero.org/styles/apa" locale="en-US" hasBibliography="1" bibliographyStyleHasBeenSet="0"/&gt;&lt;prefs&gt;&lt;pref name="fieldType" value="Field"/&gt;&lt;/prefs&gt;&lt;/data&gt;</vt:lpwstr>
  </property>
</Properties>
</file>