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A158F" w14:textId="6D82979C" w:rsidR="00E8255F" w:rsidRPr="00E8255F" w:rsidRDefault="00E8255F" w:rsidP="00E8255F">
      <w:pPr>
        <w:rPr>
          <w:b/>
          <w:bCs/>
          <w:sz w:val="32"/>
          <w:szCs w:val="32"/>
        </w:rPr>
      </w:pPr>
      <w:r>
        <w:rPr>
          <w:b/>
          <w:bCs/>
          <w:sz w:val="32"/>
          <w:szCs w:val="32"/>
        </w:rPr>
        <w:t xml:space="preserve">Pathway ratios: </w:t>
      </w:r>
    </w:p>
    <w:p w14:paraId="16295C17" w14:textId="77777777" w:rsidR="00671264" w:rsidRDefault="00671264" w:rsidP="00671264">
      <w:pPr>
        <w:pStyle w:val="ListParagraph"/>
        <w:numPr>
          <w:ilvl w:val="0"/>
          <w:numId w:val="5"/>
        </w:numPr>
      </w:pPr>
      <w:r>
        <w:t>Ratio 1: Pathobiont v. Commensal</w:t>
      </w:r>
    </w:p>
    <w:p w14:paraId="3CA02397" w14:textId="77777777" w:rsidR="00671264" w:rsidRDefault="00671264" w:rsidP="00671264">
      <w:pPr>
        <w:pStyle w:val="ListParagraph"/>
        <w:numPr>
          <w:ilvl w:val="1"/>
          <w:numId w:val="5"/>
        </w:numPr>
      </w:pPr>
      <w:r>
        <w:t xml:space="preserve">Pathobiont: </w:t>
      </w:r>
    </w:p>
    <w:p w14:paraId="613129A7" w14:textId="15805D4F" w:rsidR="00671264" w:rsidRDefault="00040080" w:rsidP="00671264">
      <w:pPr>
        <w:pStyle w:val="ListParagraph"/>
        <w:numPr>
          <w:ilvl w:val="2"/>
          <w:numId w:val="5"/>
        </w:numPr>
      </w:pPr>
      <w:r>
        <w:t>Cell surface structures</w:t>
      </w:r>
    </w:p>
    <w:p w14:paraId="390158F2" w14:textId="77777777" w:rsidR="00671264" w:rsidRDefault="00040080" w:rsidP="00671264">
      <w:pPr>
        <w:pStyle w:val="ListParagraph"/>
        <w:numPr>
          <w:ilvl w:val="3"/>
          <w:numId w:val="5"/>
        </w:numPr>
      </w:pPr>
      <w:r>
        <w:fldChar w:fldCharType="begin"/>
      </w:r>
      <w:r>
        <w:instrText xml:space="preserve"> ADDIN ZOTERO_ITEM CSL_CITATION {"citationID":"17UgyT8z","properties":{"formattedCitation":"(Farhana &amp; Khan, 2026; Raetz &amp; Whitfield, 2002; Whitfield, 2006)","plainCitation":"(Farhana &amp; Khan, 2026; Raetz &amp; Whitfield, 2002; Whitfield, 2006)","noteIndex":0},"citationItems":[{"id":7834,"uris":["http://zotero.org/users/13901503/items/U5WKHGBG"],"itemData":{"id":7834,"type":"chapter","abstract":"Lipopolysaccharides (LPS) are important outer membrane components of gram-negative bacteria. They are large amphipathic glycoconjugates that typically consist of a lipid domain (hydrophobic) attached to a core oligosaccharide and a distal polysaccharide. These molecules are also known as lipoglycans due to the presence of lipid and sugar molecules. The lipopolysaccharides are composed of: 1. Lipid A: the hydrophobic domain, which is an endotoxin and the main virulence factor. 2. O-antigen, the repeating hydrophilic distal oligosaccharide. 3. The hydrophilic core polysaccharide. The lipid A component varies from one organism to another and is essential in imparting specific pathogenic attributes to the bacteria. Inherent to gram-negative bacteria, LPS provides integrity to the bacterial cell and a mechanism of interaction of the bacteria to other surfaces. Most bacterial LPS molecules are thermostable and generate a robust pro-inflammatory stimulus for the immune system in mammals. Since different types of LPS are present in different genera of gram-negative bacteria, LPS is used for serotyping gram-negative bacteria. More specifically, the O-antigen imparts serological distinction to the bacterial species. Also, the size and composition of LPS are highly dynamic among bacterial species. Due to its unique properties, LPS has gained considerable research focus to understand its complex structure, biogenesis, transport, and assembly. Besides, LPS is also a recognized biomarker due to its central role in host-pathogen interaction that facilitates the infection process.","call-number":"NBK554414","container-title":"StatPearls","language":"eng","license":"Copyright © 2026, StatPearls Publishing LLC.","note":"PMID: 32119301","publisher":"StatPearls Publishing","publisher-place":"Treasure Island (FL)","source":"PubMed","title":"Biochemistry, Lipopolysaccharide","URL":"http://www.ncbi.nlm.nih.gov/books/NBK554414/","author":[{"family":"Farhana","given":"Aisha"},{"family":"Khan","given":"Yusuf S."}],"accessed":{"date-parts":[["2026",4,27]]},"issued":{"date-parts":[["2026"]]}}},{"id":3710,"uris":["http://zotero.org/users/13901503/items/7XBTXUWV"],"itemData":{"id":3710,"type":"article-journal","abstract":"Bacterial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Biochemistry","language":"eng","page":"635","publisher":"Annual Reviews Inc.","source":"EBSCOhost","title":"Lipopolysaccharide endotoxins","volume":"71","author":[{"family":"Raetz","given":"Christian R. H."},{"family":"Whitfield","given":"Chris"}],"issued":{"date-parts":[["2002",7,1]]}}},{"id":4212,"uris":["http://zotero.org/users/13901503/items/W64PTZXA"],"itemData":{"id":4212,"type":"article-journal","abstract":"Capsules are protective structures on the surfaces of many bacteria. The remarkable structural diversity in capsular polysaccharides is illustrated by almost 80 capsular serotypes in Escherichia coli. Despite this variation, the range of strategies used for capsule biosynthesis and assembly is limited, and E. coli isolates provide critical prototypes for other bacterial species. Related pathways are also used for synthesis and export of other bacterial glycoconjugates and some enzymes/processes have counterparts in eukaryotes. In gram-negative bacteria, it is proposed that biosynthesis and translocation of capsular polysaccharides to the cell surface are temporally and spatially coupled by multiprotein complexes that span the cell envelope. These systems have an impact on both a general understanding of membrane trafﬁcking in bacteria and on bacterial pathogenesis.","container-title":"Annual Review of Biochemistry","DOI":"10.1146/annurev.biochem.75.103004.142545","ISSN":"0066-4154, 1545-4509","issue":"1","journalAbbreviation":"Annu. Rev. Biochem.","language":"en","page":"39-68","source":"DOI.org (Crossref)","title":"Biosynthesis and Assembly of Capsular Polysaccharides in &lt;i&gt;Escherichia coli&lt;/i&gt;","volume":"75","author":[{"family":"Whitfield","given":"Chris"}],"issued":{"date-parts":[["2006",6,1]]}}}],"schema":"https://github.com/citation-style-language/schema/raw/master/csl-citation.json"} </w:instrText>
      </w:r>
      <w:r>
        <w:fldChar w:fldCharType="separate"/>
      </w:r>
      <w:r>
        <w:rPr>
          <w:noProof/>
        </w:rPr>
        <w:t>(Farhana &amp; Khan, 2026; Raetz &amp; Whitfield, 2002; Whitfield, 2006)</w:t>
      </w:r>
      <w:r>
        <w:fldChar w:fldCharType="end"/>
      </w:r>
    </w:p>
    <w:p w14:paraId="59BF9777" w14:textId="77777777" w:rsidR="00671264" w:rsidRDefault="00040080" w:rsidP="00671264">
      <w:pPr>
        <w:pStyle w:val="ListParagraph"/>
        <w:numPr>
          <w:ilvl w:val="2"/>
          <w:numId w:val="5"/>
        </w:numPr>
      </w:pPr>
      <w:r>
        <w:t>Host glycan and mucin foraging</w:t>
      </w:r>
    </w:p>
    <w:p w14:paraId="02D9E6E0" w14:textId="77777777" w:rsidR="00671264" w:rsidRDefault="00040080" w:rsidP="00671264">
      <w:pPr>
        <w:pStyle w:val="ListParagraph"/>
        <w:numPr>
          <w:ilvl w:val="3"/>
          <w:numId w:val="5"/>
        </w:numPr>
      </w:pPr>
      <w:r>
        <w:fldChar w:fldCharType="begin"/>
      </w:r>
      <w:r>
        <w:instrText xml:space="preserve"> ADDIN ZOTERO_ITEM CSL_CITATION {"citationID":"ldkaDOGm","properties":{"formattedCitation":"(Paone &amp; Cani, 2020; Severi et al., 2007; Tailford et al., 2015)","plainCitation":"(Paone &amp; Cani, 2020; Severi et al., 2007; Tailford et al., 2015)","noteIndex":0},"citationItems":[{"id":7838,"uris":["http://zotero.org/users/13901503/items/T6UW2CT5"],"itemData":{"id":7838,"type":"article-journal","abstract":"The gastrointestinal tract is often considered as a key organ involved in the digestion of food and providing nutrients to the body for proper maintenance. However, this system is composed of organs that are extremely complex. Among the different parts, the intestine is viewed as an incredible surface of contact with the environment and is colonised by hundreds of trillions of gut microbes. The role of the gut barrier has been studied for decades, but the exact mechanisms involved in the protection of the gut barrier are various and complementary. Among them, the integrity of the mucus barrier is one of the first lines of protection of the gastrointestinal tract. In the past, this ’slimy’ partner was mostly considered a simple lubricant for facilitating the progression of the food bolus and the stools in the gut. Since then, different researchers have made important progress, and currently, the regulation of this mucus barrier is gaining increasing attention from the scientific community. Among the factors influencing the mucus barrier, the microbiome plays a major role in driving mucus changes. Additionally, our dietary habits (ie, high-fat diet, low-fibre/high-fibre diet, food additives, pre- probiotics) influence the mucus at different levels. Given that the mucus layer has been linked with the appearance of diseases, proper knowledge is highly warranted. Here, we debate different aspects of the mucus layer by focusing on its chemical composition, regulation of synthesis and degradation by the microbiota as well as some characteristics of the mucus layer in both physiological and pathological situations.","container-title":"Gut","DOI":"10.1136/gutjnl-2020-322260","ISSN":"0017-5749, 1468-3288","issue":"12","journalAbbreviation":"Gut","language":"en","page":"2232-2243","source":"DOI.org (Crossref)","title":"Mucus barrier, mucins and gut microbiota: the expected slimy partners?","title-short":"Mucus barrier, mucins and gut microbiota","volume":"69","author":[{"family":"Paone","given":"Paola"},{"family":"Cani","given":"Patrice D"}],"issued":{"date-parts":[["2020",12]]}}},{"id":4207,"uris":["http://zotero.org/users/13901503/items/P97XPWPJ"],"itemData":{"id":4207,"type":"article-journal","abstract":"Sialic acid occupies the terminal position within glycan molecules on the surfaces of many vertebrate cells, where it functions in diverse cellular processes such as intercellular adhesion and cell signalling. Pathogenic bacteria have evolved to use this molecule beneficially in at least two different ways: they can coat themselves in sialic acid, providing resistance to components of the host&amp;apos;s innate immune response, or they can use it as a nutrient. Sialic acid itself is either synthesized de novo by these bacteria or scavenged directly from the host. In this mini-review we will summarize recent findings relating to sialic acid transport, modification of sialic acid by O-acetylation, and the mechanisms of sialic acid-mediated complement resistance.","container-title":"Microbiology","DOI":"10.1099/mic.0.2007/009480-0","ISSN":"1465-2080","issue":"9","page":"2817-2822","publisher":"Microbiology Society,","source":"Microbiology Society Journals","title":"Sialic acid utilization by bacterial pathogens","volume":"153","author":[{"family":"Severi","given":"Emmanuele"},{"family":"Hood","given":"Derek W."},{"family":"Thomas","given":"Gavin H."}],"issued":{"date-parts":[["2007"]]}}},{"id":4209,"uris":["http://zotero.org/users/13901503/items/QLY7T8EF"],"itemData":{"id":4209,"type":"article-journal","abstract":"The availability of host and dietary carbohydrates in the gastrointestinal (GI) tract plays a key role in shaping the structure-function of the microbiota. In particular, some gut bacteria have the ability to forage on glycans provided by the mucus layer covering the GI tract. The O-glycan structures present in mucin are diverse and complex, consisting predominantly of core 1-4 mucin-type O-glycans containing α- and β- linked N-acetyl-galactosamine, galactose and N-acetyl-glucosamine. These core structures are further elongated and frequently modified by fucose and sialic acid sugar residues via α1,2/3/4 and α2,3/6 linkages, respectively. The ability to metabolize these mucin O-linked oligosaccharides is likely to be a key factor in determining which bacterial species colonise the mucosal surface. Due to their proximity to the immune system, mucin-degrading bacteria are in a prime location to influence the host response. However, despite the growing number of bacterial genome sequences available from mucin degraders, our knowledge on the structural requirements for mucin degradation by gut bacteria remains fragmented. This is largely due to the limited number of functionally characterized enzymes and the lack of studies correlating the specificity of these enzymes with the ability of the strain to degrade and utilize mucin and mucin glycans. This review focuses on recent findings unravelling the molecular strategies used by mucin-degrading bacteria to utilise host glycans, adapt to the mucosal environment, and influence human health.","container-title":"Frontiers in Genetics","DOI":"10.3389/fgene.2015.00081","ISSN":"1664-8021","journalAbbreviation":"Front. Genet.","language":"English","publisher":"Frontiers","source":"Frontiers","title":"Mucin glycan foraging in the human gut microbiome","URL":"https://www.frontiersin.org/journals/genetics/articles/10.3389/fgene.2015.00081/full","volume":"6","author":[{"family":"Tailford","given":"Louise E."},{"family":"Crost","given":"Emmanuelle H."},{"family":"Kavanaugh","given":"Devon"},{"family":"Juge","given":"Nathalie"}],"accessed":{"date-parts":[["2025",9,4]]},"issued":{"date-parts":[["2015",3,19]]}}}],"schema":"https://github.com/citation-style-language/schema/raw/master/csl-citation.json"} </w:instrText>
      </w:r>
      <w:r>
        <w:fldChar w:fldCharType="separate"/>
      </w:r>
      <w:r>
        <w:rPr>
          <w:noProof/>
        </w:rPr>
        <w:t>(Paone &amp; Cani, 2020; Severi et al., 2007; Tailford et al., 2015)</w:t>
      </w:r>
      <w:r>
        <w:fldChar w:fldCharType="end"/>
      </w:r>
    </w:p>
    <w:p w14:paraId="1EBBE279" w14:textId="77777777" w:rsidR="00671264" w:rsidRDefault="009F3ADE" w:rsidP="00040080">
      <w:pPr>
        <w:pStyle w:val="ListParagraph"/>
        <w:numPr>
          <w:ilvl w:val="3"/>
          <w:numId w:val="5"/>
        </w:numPr>
      </w:pPr>
      <w:r>
        <w:t>Notes: Indicating increased reliance on host-derived glycans rather than complex dietary polysaccharides, a shift that can reflect greater microbial utilization of the mucosal layer and has the potential to compromise barrier integrity and promote inflammatory processes</w:t>
      </w:r>
    </w:p>
    <w:p w14:paraId="7BAF9415" w14:textId="77777777" w:rsidR="00671264" w:rsidRDefault="00040080" w:rsidP="00671264">
      <w:pPr>
        <w:pStyle w:val="ListParagraph"/>
        <w:numPr>
          <w:ilvl w:val="1"/>
          <w:numId w:val="5"/>
        </w:numPr>
      </w:pPr>
      <w:r>
        <w:t>Commensal</w:t>
      </w:r>
    </w:p>
    <w:p w14:paraId="461F0961" w14:textId="77777777" w:rsidR="00671264" w:rsidRDefault="00040080" w:rsidP="00671264">
      <w:pPr>
        <w:pStyle w:val="ListParagraph"/>
        <w:numPr>
          <w:ilvl w:val="2"/>
          <w:numId w:val="5"/>
        </w:numPr>
      </w:pPr>
      <w:r>
        <w:t xml:space="preserve">fermentation </w:t>
      </w:r>
      <w:bookmarkStart w:id="0" w:name="_Hlk228263425"/>
    </w:p>
    <w:p w14:paraId="566F5357" w14:textId="77777777" w:rsidR="00671264" w:rsidRDefault="00BA37F1" w:rsidP="00671264">
      <w:pPr>
        <w:pStyle w:val="ListParagraph"/>
        <w:numPr>
          <w:ilvl w:val="3"/>
          <w:numId w:val="5"/>
        </w:numPr>
      </w:pPr>
      <w:r>
        <w:fldChar w:fldCharType="begin"/>
      </w:r>
      <w:r>
        <w:instrText xml:space="preserve"> ADDIN ZOTERO_ITEM CSL_CITATION {"citationID":"m2cJH9Lf","properties":{"formattedCitation":"(Flint et al., 2012; Hooper et al., 2002; Maier et al., 2014)","plainCitation":"(Flint et al., 2012; Hooper et al., 2002; Maier et al., 2014)","noteIndex":0},"citationItems":[{"id":3409,"uris":["http://zotero.org/users/13901503/items/73VRZX5M"],"itemData":{"id":3409,"type":"article-journal","abstract":"Bacteria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Microbes","DOI":"10.4161/gmic.19897","ISSN":"1949-0976","issue":"4","note":"_eprint: https://doi.org/10.4161/gmic.19897","page":"289-306","PMID":"22572875","publisher":"Taylor &amp; Francis","source":"Taylor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2002","language":"en","page":"283-307","publisher":"Annual Reviews","source":"www-annualreviews-org.proxy.lib.umich.edu","title":"How host-microbial interactions shape the nutrient environment of the mammalian intestine","volume":"22","author":[{"family":"Hooper","given":"Lora V."},{"family":"Midtvedt","given":"Tore"},{"family":"Gordon","given":"Jeffrey I."}],"issued":{"date-parts":[["2002",7,1]]}}},{"id":3537,"uris":["http://zotero.org/users/13901503/items/L2DTM48E"],"itemData":{"id":3537,"type":"article-journal","abstract":"The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diseases.","container-title":"Nutrients","DOI":"10.3390/nu7010045","ISSN":"2072-6643","issue":"1","journalAbbreviation":"Nutrients","page":"45-73","PMID":"25545102","PMCID":"PMC4303826","source":"PubMed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fldChar w:fldCharType="separate"/>
      </w:r>
      <w:r>
        <w:rPr>
          <w:noProof/>
        </w:rPr>
        <w:t>(Flint et al., 2012; Hooper et al., 2002; Maier et al., 2014)</w:t>
      </w:r>
      <w:r>
        <w:fldChar w:fldCharType="end"/>
      </w:r>
      <w:bookmarkEnd w:id="0"/>
    </w:p>
    <w:p w14:paraId="1B636A3F" w14:textId="77777777" w:rsidR="00671264" w:rsidRDefault="00040080" w:rsidP="00671264">
      <w:pPr>
        <w:pStyle w:val="ListParagraph"/>
        <w:numPr>
          <w:ilvl w:val="2"/>
          <w:numId w:val="5"/>
        </w:numPr>
      </w:pPr>
      <w:r>
        <w:t>polyamine biosynthesis</w:t>
      </w:r>
    </w:p>
    <w:p w14:paraId="74C29164" w14:textId="77777777" w:rsidR="00671264" w:rsidRDefault="00531493" w:rsidP="00671264">
      <w:pPr>
        <w:pStyle w:val="ListParagraph"/>
        <w:numPr>
          <w:ilvl w:val="3"/>
          <w:numId w:val="5"/>
        </w:numPr>
      </w:pPr>
      <w:r>
        <w:fldChar w:fldCharType="begin"/>
      </w:r>
      <w:r>
        <w:instrText xml:space="preserve"> ADDIN ZOTERO_ITEM CSL_CITATION {"citationID":"kbCVkoGs","properties":{"formattedCitation":"(Fang et al., 2026; Nakamura &amp; Matsumoto, 2025)","plainCitation":"(Fang et al., 2026; Nakamura &amp; Matsumoto, 2025)","noteIndex":0},"citationItems":[{"id":7839,"uris":["http://zotero.org/users/13901503/items/QH3AAH3H"],"itemData":{"id":7839,"type":"article-journal","abstract":"Polyamines are ancient metabolites that serve critical functions in maintaining epithelial integrity, regulating immune response, and supporting healthy aging. The gut microbiota actively synthesizes and converts polyamines, while host factors such as inflammation, barrier function, and nutritional status dynamically modulate this metabolic network. Disruption of this host–microbiota axis reduces polyamine availability, impairs barrier function, and exacerbates inflammation. In contrast, polyamines exert protective effects by promoting epithelial repair, modulating macrophage and T-cell responses, and enhancing autophagy-mediated tissue renewal and longevity. Recent advances in engineered probiotics, microbial small RNAs, and postbiotics further highlight the therapeutic potential of precisely modulating polyamine metabolism in clinical contexts such as inflammatory bowel disease, metabolic syndrome, and neurodegenerative conditions associated with aging.","container-title":"Research","DOI":"10.34133/research.1184","page":"1184","publisher":"American Association for the Advancement of Science","source":"spj.science.org (Atypon)","title":"Polyamines as a Universal Language of Host–Microbiota Symbiosis","volume":"9","author":[{"family":"Fang","given":"Xiuyu"},{"family":"Guo","given":"Yan"},{"family":"Huang","given":"Jia"},{"family":"Zhang","given":"Meimei"}],"issued":{"date-parts":[["2026",3,6]]}}},{"id":3995,"uris":["http://zotero.org/users/13901503/items/3CHW39VH"],"itemData":{"id":3995,"type":"article-journal","abstract":"The intestinal epithelium is a rapidly self-renewing tissue; the rapid turnover prevents the invasion of pathogens and harmful components from the intestinal lumen, preventing inflammation and infectious diseases. Intestinal epithelial barrier function depends on the epithelial cell proliferation and junctions, as well as the state of the immune system in the lamina propria. Polyamines, particularly putrescine, spermidine, and spermine, are essential for many cell functions and play a crucial role in mammalian cellular homeostasis, such as that of cell growth, proliferation, differentiation, and maintenance, through multiple biological processes, including translation, transcription, and autophagy. Although the vital role of polyamines in normal intestinal epithelial cell growth and barrier function has been known since the 1980s, recent studies have provided new insights into this topic at the molecular level, such as eukaryotic initiation factor-5A hypusination and autophagy, with rapid advances in polyamine biology in normal cells using biological technologies. This review summarizes recent advances in our understanding of the role of polyamines in regulating normal, non-cancerous, intestinal epithelial barrier function, with a particular focus on intestinal epithelial renewal, cell junctions, and immune cell differentiation in the lamina propria.","container-title":"Seminars in Immunopathology","DOI":"10.1007/s00281-024-01035-4","ISSN":"1863-2300","issue":"1","journalAbbreviation":"Semin Immunopathol","language":"en","page":"9","source":"Springer Link","title":"Role of polyamines in intestinal mucosal barrier function","volume":"47","author":[{"family":"Nakamura","given":"Atsuo"},{"family":"Matsumoto","given":"Mitsuharu"}],"issued":{"date-parts":[["2025",1,21]]}}}],"schema":"https://github.com/citation-style-language/schema/raw/master/csl-citation.json"} </w:instrText>
      </w:r>
      <w:r>
        <w:fldChar w:fldCharType="separate"/>
      </w:r>
      <w:r>
        <w:rPr>
          <w:noProof/>
        </w:rPr>
        <w:t>(Fang et al., 2026; Nakamura &amp; Matsumoto, 2025)</w:t>
      </w:r>
      <w:r>
        <w:fldChar w:fldCharType="end"/>
      </w:r>
    </w:p>
    <w:p w14:paraId="4D91BCEE" w14:textId="77777777" w:rsidR="00671264" w:rsidRDefault="00040080" w:rsidP="00671264">
      <w:pPr>
        <w:pStyle w:val="ListParagraph"/>
        <w:numPr>
          <w:ilvl w:val="2"/>
          <w:numId w:val="5"/>
        </w:numPr>
      </w:pPr>
      <w:r>
        <w:t>vitamin and cofactor synthesis</w:t>
      </w:r>
    </w:p>
    <w:p w14:paraId="43598380" w14:textId="77777777" w:rsidR="00671264" w:rsidRDefault="00CA5A19" w:rsidP="009841E2">
      <w:pPr>
        <w:pStyle w:val="ListParagraph"/>
        <w:numPr>
          <w:ilvl w:val="3"/>
          <w:numId w:val="5"/>
        </w:numPr>
      </w:pPr>
      <w:r>
        <w:fldChar w:fldCharType="begin"/>
      </w:r>
      <w:r>
        <w:instrText xml:space="preserve"> ADDIN ZOTERO_ITEM CSL_CITATION {"citationID":"tORj83V8","properties":{"formattedCitation":"(LeBlanc et al., 2011; Rossi et al., 2011)","plainCitation":"(LeBlanc et al., 2011; Rossi et al., 2011)","noteIndex":0},"citationItems":[{"id":3221,"uris":["http://zotero.org/users/13901503/items/FWYVZDDA"],"itemData":{"id":3221,"type":"article-journal","abstract":"Although most vitamins are present in a variety of foods, human vitamin deficiencies still occur in many countries, mainly because of malnutrition not only as a result of insufficient food intake but also because of unbalanced diets. Even though most lactic acid bacteria (LAB) are auxotrophic for several vitamins, it is now known that certain strains have the capability to synthesize water</w:instrText>
      </w:r>
      <w:r w:rsidRPr="00671264">
        <w:rPr>
          <w:rFonts w:ascii="Cambria Math" w:hAnsi="Cambria Math" w:cs="Cambria Math"/>
        </w:rPr>
        <w:instrText>‐</w:instrText>
      </w:r>
      <w:r>
        <w:instrText>soluble vitamins such as those included in the B</w:instrText>
      </w:r>
      <w:r w:rsidRPr="00671264">
        <w:rPr>
          <w:rFonts w:ascii="Cambria Math" w:hAnsi="Cambria Math" w:cs="Cambria Math"/>
        </w:rPr>
        <w:instrText>‐</w:instrText>
      </w:r>
      <w:r>
        <w:instrText>group (folates, riboflavin and vitamin B12 amongst others). This review article will show the current knowledge of vitamin biosynthesis by LAB and show how the proper selection of starter cultures and probiotic strains could be useful in preventing clinical and subclinical vitamin deficiencies. Here, several examples will be presented where vitamin</w:instrText>
      </w:r>
      <w:r w:rsidRPr="00671264">
        <w:rPr>
          <w:rFonts w:ascii="Cambria Math" w:hAnsi="Cambria Math" w:cs="Cambria Math"/>
        </w:rPr>
        <w:instrText>‐</w:instrText>
      </w:r>
      <w:r>
        <w:instrText>producing LAB led to the elaboration of novel fermented foods with increased and bioavailable vitamins. In addition, the use of genetic engineering strategies to increase vitamin production or to create novel vitamin</w:instrText>
      </w:r>
      <w:r w:rsidRPr="00671264">
        <w:rPr>
          <w:rFonts w:ascii="Cambria Math" w:hAnsi="Cambria Math" w:cs="Cambria Math"/>
        </w:rPr>
        <w:instrText>‐</w:instrText>
      </w:r>
      <w:r>
        <w:instrText>producing strains will also be discussed. This review will show that the use of vitamin</w:instrText>
      </w:r>
      <w:r w:rsidRPr="00671264">
        <w:rPr>
          <w:rFonts w:ascii="Cambria Math" w:hAnsi="Cambria Math" w:cs="Cambria Math"/>
        </w:rPr>
        <w:instrText>‐</w:instrText>
      </w:r>
      <w:r>
        <w:instrText>producing LAB could be a cost</w:instrText>
      </w:r>
      <w:r w:rsidRPr="00671264">
        <w:rPr>
          <w:rFonts w:ascii="Cambria Math" w:hAnsi="Cambria Math" w:cs="Cambria Math"/>
        </w:rPr>
        <w:instrText>‐</w:instrText>
      </w:r>
      <w:r>
        <w:instrText>effective alternative to current vitamin fortification programmes and be useful in the elaboration of novel vitamin</w:instrText>
      </w:r>
      <w:r w:rsidRPr="00671264">
        <w:rPr>
          <w:rFonts w:ascii="Cambria Math" w:hAnsi="Cambria Math" w:cs="Cambria Math"/>
        </w:rPr>
        <w:instrText>‐</w:instrText>
      </w:r>
      <w:r>
        <w:instrText>enriched products.","container-title":"Journal of Applied Microbiology","DOI":"10.1111/j.1365-2672.2011.05157.x","ISSN":"1364-5072","issue":"6","journalAbbreviation":"Journal of Applied Microbiology","page":"1297-1309","source":"Silverchair","title":"B</w:instrText>
      </w:r>
      <w:r w:rsidRPr="00671264">
        <w:rPr>
          <w:rFonts w:ascii="Cambria Math" w:hAnsi="Cambria Math" w:cs="Cambria Math"/>
        </w:rPr>
        <w:instrText>‐</w:instrText>
      </w:r>
      <w:r>
        <w:instrText xml:space="preserve">Group vitamin production by lactic acid bacteria – current knowledge and potential applications","volume":"111","author":[{"family":"LeBlanc","given":"J.G."},{"family":"Laiño","given":"J.E."},{"family":"Valle","given":"M. Juarez","non-dropping-particle":"del"},{"family":"Vannini","given":"V."},{"family":"Sinderen","given":"D.","non-dropping-particle":"van"},{"family":"Taranto","given":"M.P."},{"family":"Valdez","given":"G. Font","non-dropping-particle":"de"},{"family":"Giori","given":"G. Savoy","non-dropping-particle":"de"},{"family":"Sesma","given":"F."}],"issued":{"date-parts":[["2011",12,1]]}}},{"id":7843,"uris":["http://zotero.org/users/13901503/items/7E78DNR3"],"itemData":{"id":7843,"type":"article-journal","abstract":"Probiotic bacteria, mostly belonging to the genera Lactobacillus and Bifidobacterium, confer a number of health benefits to the host, including vitamin production. With the aim to produce folate-enriched fermented products and/or develop probiotic supplements that accomplish folate biosynthesis in vivo within the colon, bifidobacteria and lactobacilli have been extensively studied for their capability to produce this vitamin. On the basis of physiological studies and genome analysis, wild-type lactobacilli cannot synthesize folate, generally require it for growth, and provide a negative contribution to folate levels in fermented dairy products. Lactobacillus plantarum constitutes an exception among lactobacilli, since it is capable of folate production in presence of para-aminobenzoic acid (pABA) and deserves to be used in animal trials to validate its ability to produce the vitamin in vivo. On the other hand, several folate-producing strains have been selected within the genus Bifidobacterium, with a great variability in the extent of vitamin released in the medium. Most of them belong to the species B. adolescentis and B. pseudocatenulatum, but few folate producing strains are found in the other species as well. Rats fed a probiotic formulation of folate-producing bifidobacteria exhibited increased plasma folate level, confirming that the vitamin is produced in vivo and absorbed. In a human trial, the same supplement raised folate concentration in feces. The use of folate-producing probiotic strains can be regarded as a new perspective in the specific use of probiotics. They could more efficiently confer protection against inflammation and cancer, both exerting the beneficial effects of probiotics and preventing the folate deficiency that is associated with premalignant changes in the colonic epithelia.","container-title":"Nutrients","DOI":"10.3390/nu3010118","ISSN":"2072-6643","issue":"1","language":"en","license":"http://creativecommons.org/licenses/by/3.0/","page":"118-134","publisher":"Molecular Diversity Preservation International","source":"www.mdpi.com","title":"Folate Production by Probiotic Bacteria","volume":"3","author":[{"family":"Rossi","given":"Maddalena"},{"family":"Amaretti","given":"Alberto"},{"family":"Raimondi","given":"Stefano"}],"issued":{"date-parts":[["2011",1]]}}}],"schema":"https://github.com/citation-style-language/schema/raw/master/csl-citation.json"} </w:instrText>
      </w:r>
      <w:r>
        <w:fldChar w:fldCharType="separate"/>
      </w:r>
      <w:r>
        <w:rPr>
          <w:noProof/>
        </w:rPr>
        <w:t>(LeBlanc et al., 2011; Rossi et al., 2011)</w:t>
      </w:r>
      <w:r>
        <w:fldChar w:fldCharType="end"/>
      </w:r>
    </w:p>
    <w:p w14:paraId="5A221620" w14:textId="77777777" w:rsidR="00671264" w:rsidRDefault="00671264" w:rsidP="00671264">
      <w:pPr>
        <w:pStyle w:val="ListParagraph"/>
        <w:numPr>
          <w:ilvl w:val="0"/>
          <w:numId w:val="5"/>
        </w:numPr>
      </w:pPr>
      <w:r>
        <w:t xml:space="preserve">Opportunistic carbon metabolism v. fermentation </w:t>
      </w:r>
    </w:p>
    <w:p w14:paraId="645B8329" w14:textId="77777777" w:rsidR="00671264" w:rsidRDefault="00671264" w:rsidP="00671264">
      <w:pPr>
        <w:pStyle w:val="ListParagraph"/>
        <w:numPr>
          <w:ilvl w:val="1"/>
          <w:numId w:val="5"/>
        </w:numPr>
      </w:pPr>
      <w:r>
        <w:t>Opportunistic carb metabolism</w:t>
      </w:r>
    </w:p>
    <w:p w14:paraId="27F4B228" w14:textId="5EA82225" w:rsidR="00671264" w:rsidRDefault="00671264" w:rsidP="00671264">
      <w:pPr>
        <w:pStyle w:val="ListParagraph"/>
        <w:numPr>
          <w:ilvl w:val="2"/>
          <w:numId w:val="5"/>
        </w:numPr>
      </w:pPr>
      <w:r w:rsidRPr="00671264">
        <w:t>host-associated carbon metabolism</w:t>
      </w:r>
    </w:p>
    <w:p w14:paraId="12E504AC" w14:textId="1216F7A0" w:rsidR="00671264" w:rsidRDefault="00671264" w:rsidP="00671264">
      <w:pPr>
        <w:pStyle w:val="ListParagraph"/>
        <w:numPr>
          <w:ilvl w:val="3"/>
          <w:numId w:val="5"/>
        </w:numPr>
      </w:pPr>
      <w:r w:rsidRPr="00671264">
        <w:t xml:space="preserve">(Paone &amp; Cani, 2020; Severi et al., 2007; </w:t>
      </w:r>
      <w:proofErr w:type="spellStart"/>
      <w:r w:rsidRPr="00671264">
        <w:t>Tailford</w:t>
      </w:r>
      <w:proofErr w:type="spellEnd"/>
      <w:r w:rsidRPr="00671264">
        <w:t xml:space="preserve"> et al., 2015)</w:t>
      </w:r>
    </w:p>
    <w:p w14:paraId="780E1F28" w14:textId="77777777" w:rsidR="00671264" w:rsidRPr="00671264" w:rsidRDefault="00671264" w:rsidP="00671264">
      <w:pPr>
        <w:pStyle w:val="ListParagraph"/>
        <w:numPr>
          <w:ilvl w:val="3"/>
          <w:numId w:val="5"/>
        </w:numPr>
      </w:pPr>
      <w:r>
        <w:t xml:space="preserve">Notes: </w:t>
      </w:r>
      <w:r w:rsidR="006A0420">
        <w:t xml:space="preserve">“These patterns indicate a shift away from specialized fermentation of complex dietary polysaccharides toward opportunistic utilization of simple and host-derived carbon sources, a metabolic strategy commonly associated with </w:t>
      </w:r>
      <w:r w:rsidR="006A0420" w:rsidRPr="00671264">
        <w:t>disturbance-adapted and facultative microbial taxa</w:t>
      </w:r>
      <w:r w:rsidRPr="00671264">
        <w:t>”</w:t>
      </w:r>
    </w:p>
    <w:p w14:paraId="38720726" w14:textId="49B32137" w:rsidR="00671264" w:rsidRPr="00671264" w:rsidRDefault="00671264" w:rsidP="00671264">
      <w:pPr>
        <w:pStyle w:val="ListParagraph"/>
        <w:numPr>
          <w:ilvl w:val="2"/>
          <w:numId w:val="5"/>
        </w:numPr>
      </w:pPr>
      <w:r w:rsidRPr="00671264">
        <w:rPr>
          <w:rFonts w:eastAsia="Times New Roman" w:cs="Times New Roman"/>
          <w:color w:val="000000"/>
          <w:kern w:val="0"/>
          <w14:ligatures w14:val="none"/>
        </w:rPr>
        <w:t>Simple sugar and alternative carbon metabolism</w:t>
      </w:r>
    </w:p>
    <w:p w14:paraId="597FE50D" w14:textId="730FB9F9" w:rsidR="00671264" w:rsidRDefault="00B54A0C" w:rsidP="00671264">
      <w:pPr>
        <w:pStyle w:val="ListParagraph"/>
        <w:numPr>
          <w:ilvl w:val="3"/>
          <w:numId w:val="5"/>
        </w:numPr>
      </w:pPr>
      <w:r>
        <w:fldChar w:fldCharType="begin"/>
      </w:r>
      <w:r>
        <w:instrText xml:space="preserve"> ADDIN ZOTERO_ITEM CSL_CITATION {"citationID":"Ozdlgx10","properties":{"formattedCitation":"(Lloyd-Price et al., 2019; Pickard et al., 2017; Rizzatti et al., 2017)","plainCitation":"(Lloyd-Price et al., 2019; Pickard et al., 2017; Rizzatti et al., 2017)","noteIndex":0},"citationItems":[{"id":7904,"uris":["http://zotero.org/users/13901503/items/FNGYRT9W"],"itemData":{"id":7904,"type":"article-journal","abstract":"Inflammatory bowel diseases, which include Crohn’s disease and ulcerative colitis, affect several million individuals worldwide. Crohn’s disease and ulcerative colitis are complex diseases that are heterogeneous at the clinical, immunological, molecular, genetic, and microbial levels. Individual contributing factors have been the focus of extensive research. As part of the Integrative Human Microbiome Project (HMP2 or iHMP), we followed 132 subjects for one year each to generate integrated longitudinal molecular profiles of host and microbial activity during disease (up to 24 time points each; in total 2,965 stool, biopsy, and blood specimens). Here we present the results, which provide a comprehensive view of functional dysbiosis in the gut microbiome during inflammatory bowel disease activity. We demonstrate a characteristic increase in facultative anaerobes at the expense of obligate anaerobes, as well as molecular disruptions in microbial transcription (for example, among clostridia), metabolite pools (acylcarnitines, bile acids, and short-chain fatty acids), and levels of antibodies in host serum. Periods of disease activity were also marked by increases in temporal variability, with characteristic taxonomic, functional, and biochemical shifts. Finally, integrative analysis identified microbial, biochemical, and host factors central to this dysregulation. The study’s infrastructure resources, results, and data, which are available through the Inflammatory Bowel Disease Multi’omics Database (http://ibdmdb.org), provide the most comprehensive description to date of host and microbial activities in inflammatory bowel diseases.","container-title":"Nature","DOI":"10.1038/s41586-019-1237-9","ISSN":"1476-4687","issue":"7758","language":"en","license":"2019 The Author(s)","page":"655-662","publisher":"Nature Publishing Group","source":"www.nature.com","title":"Multi-omics of the gut microbial ecosystem in inflammatory bowel diseases","volume":"569","author":[{"family":"Lloyd-Price","given":"Jason"},{"family":"Arze","given":"Cesar"},{"family":"Ananthakrishnan","given":"Ashwin N."},{"family":"Schirmer","given":"Melanie"},{"family":"Avila-Pacheco","given":"Julian"},{"family":"Poon","given":"Tiffany W."},{"family":"Andrews","given":"Elizabeth"},{"family":"Ajami","given":"Nadim J."},{"family":"Bonham","given":"Kevin S."},{"family":"Brislawn","given":"Colin J."},{"family":"Casero","given":"David"},{"family":"Courtney","given":"Holly"},{"family":"Gonzalez","given":"Antonio"},{"family":"Graeber","given":"Thomas G."},{"family":"Hall","given":"A. Brantley"},{"family":"Lake","given":"Kathleen"},{"family":"Landers","given":"Carol J."},{"family":"Mallick","given":"Himel"},{"family":"Plichta","given":"Damian R."},{"family":"Prasad","given":"Mahadev"},{"family":"Rahnavard","given":"Gholamali"},{"family":"Sauk","given":"Jenny"},{"family":"Shungin","given":"Dmitry"},{"family":"Vázquez-Baeza","given":"Yoshiki"},{"family":"White","given":"Richard A."},{"family":"Braun","given":"Jonathan"},{"family":"Denson","given":"Lee A."},{"family":"Jansson","given":"Janet K."},{"family":"Knight","given":"Rob"},{"family":"Kugathasan","given":"Subra"},{"family":"McGovern","given":"Dermot P. B."},{"family":"Petrosino","given":"Joseph F."},{"family":"Stappenbeck","given":"Thaddeus S."},{"family":"Winter","given":"Harland S."},{"family":"Clish","given":"Clary B."},{"family":"Franzosa","given":"Eric A."},{"family":"Vlamakis","given":"Hera"},{"family":"Xavier","given":"Ramnik J."},{"family":"Huttenhower","given":"Curtis"}],"issued":{"date-parts":[["2019",5]]}}},{"id":7862,"uris":["http://zotero.org/users/13901503/items/B54A895I"],"itemData":{"id":7862,"type":"article-journal","abstract":"The intestinal tract of mammals is colonized by a large number of microorganisms including trillions of bacteria that are referred to collectively as the gut microbiota. These indigenous microorganisms have co-evolved with the host in a symbiotic relationship. In addition to metabolic benefits, symbiotic bacteria provide the host with several functions that promote immune homeostasis, immune responses, and protection against pathogen colonization. The ability of symbiotic bacteria to inhibit pathogen colonization is mediated via several mechanisms including direct killing, competition for limited nutrients, and enhancement of immune responses. Pathogens have evolved strategies to promote their replication in the presence of the gut microbiota. Perturbation of the gut microbiota structure by environmental and genetic factors increases the risk of pathogen infection, promotes the overgrowth of harmful pathobionts, and the development of inflammatory disease. Understanding the interaction of the microbiota with pathogens and the immune system will provide critical insight into the pathogenesis of disease and the development of strategies to prevent and treat inflammatory disease.","container-title":"Immunological Reviews","DOI":"10.1111/imr.12567","ISSN":"1600-065X","issue":"1","language":"en","note":"_eprint: https://onlinelibrary.wiley.com/doi/pdf/10.1111/imr.12567","page":"70-89","source":"Wiley Online Library","title":"Gut microbiota: Role in pathogen colonization, immune responses, and inflammatory disease","title-short":"Gut microbiota","volume":"279","author":[{"family":"Pickard","given":"Joseph M."},{"family":"Zeng","given":"Melody Y."},{"family":"Caruso","given":"Roberta"},{"family":"Núñez","given":"Gabriel"}],"issued":{"date-parts":[["2017"]]}}},{"id":3534,"uris":["http://zotero.org/users/13901503/items/K4KEFBEW"],"itemData":{"id":3534,"type":"article-journal","abstract":"Microbiota represents the entire microbial community present in the gut host. It serves several functions establishing a mutualistic relation with the host. Latest years have seen a burst in the number of studies focusing on this topic, in particular on intestinal diseases. In this scenario, Proteobacteria are one of the most abundant phyla, comprising several known human pathogens. This review highlights the latest findings on the role of Proteobacteria not only in intestinal but also in extraintestinal diseases. Indeed, an increasing amount of data identifies Proteobacteria as a possible microbial signature of disease. Several studies demonstrate an increased abundance of members belonging to this phylum in such conditions. Major evidences currently involve metabolic disorders and inflammatory bowel disease. However, more recent studies suggest a role also in lung diseases, such as asthma and chronic obstructive pulmonary disease, but evidences are still scant. Notably, all these conditions are sustained by various degree of inflammation, which thus represents a core aspect of Proteobacteria-related diseases.","container-title":"BioMed Research International","DOI":"10.1155/2017/9351507","ISSN":"2314-6133","journalAbbreviation":"BioMed Res. Int.","page":"9351507","PMID":"29230419","PMCID":"PMC5688358","source":"PubMed Central","title":"Proteobacteria: A Common Factor in Human Diseases","title-short":"Proteobacteria","volume":"2017","author":[{"family":"Rizzatti","given":"G."},{"family":"Lopetuso","given":"L. R."},{"family":"Gibiino","given":"G."},{"family":"Binda","given":"C."},{"family":"Gasbarrini","given":"A."}],"issued":{"date-parts":[["2017"]]}}}],"schema":"https://github.com/citation-style-language/schema/raw/master/csl-citation.json"} </w:instrText>
      </w:r>
      <w:r>
        <w:fldChar w:fldCharType="separate"/>
      </w:r>
      <w:r>
        <w:rPr>
          <w:noProof/>
        </w:rPr>
        <w:t>(Lloyd-Price et al., 2019; Pickard et al., 2017; Rizzatti et al., 2017)</w:t>
      </w:r>
      <w:r>
        <w:fldChar w:fldCharType="end"/>
      </w:r>
    </w:p>
    <w:p w14:paraId="3EC559C2" w14:textId="6C32841B" w:rsidR="00B54A0C" w:rsidRDefault="00B54A0C" w:rsidP="00671264">
      <w:pPr>
        <w:pStyle w:val="ListParagraph"/>
        <w:numPr>
          <w:ilvl w:val="3"/>
          <w:numId w:val="5"/>
        </w:numPr>
      </w:pPr>
      <w:r>
        <w:t xml:space="preserve">Note: this leans more on loss of formative metabolism is associated with blooms of facultative bacteria like proteobacteria </w:t>
      </w:r>
    </w:p>
    <w:p w14:paraId="5CBB6ECD" w14:textId="0356A12C" w:rsidR="00671264" w:rsidRDefault="00671264" w:rsidP="00671264">
      <w:pPr>
        <w:pStyle w:val="ListParagraph"/>
        <w:numPr>
          <w:ilvl w:val="1"/>
          <w:numId w:val="5"/>
        </w:numPr>
      </w:pPr>
      <w:r>
        <w:t>Fermentative metabolism</w:t>
      </w:r>
    </w:p>
    <w:p w14:paraId="003B5305" w14:textId="2458D4B4" w:rsidR="00671264" w:rsidRDefault="00671264" w:rsidP="00671264">
      <w:pPr>
        <w:pStyle w:val="ListParagraph"/>
        <w:numPr>
          <w:ilvl w:val="2"/>
          <w:numId w:val="5"/>
        </w:numPr>
      </w:pPr>
      <w:r>
        <w:fldChar w:fldCharType="begin"/>
      </w:r>
      <w:r w:rsidR="00B54A0C">
        <w:instrText xml:space="preserve"> ADDIN ZOTERO_ITEM CSL_CITATION {"citationID":"pqwim8WC","properties":{"formattedCitation":"(Flint et al., 2012; Hooper et al., 2002; Maier et al., 2014)","plainCitation":"(Flint et al., 2012; Hooper et al., 2002; Maier et al., 2014)","noteIndex":0},"citationItems":[{"id":3409,"uris":["http://zotero.org/users/13901503/items/73VRZX5M"],"itemData":{"id":3409,"type":"article-journal","abstract":"Bacteria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Microbes","DOI":"10.4161/gmic.19897","ISSN":"1949-0976","issue":"4","note":"_eprint: https://doi.org/10.4161/gmic.19897","page":"289-306","PMID":"22572875","publisher":"Taylor &amp; Francis","source":"Taylor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2002","language":"en","page":"283-307","publisher":"Annual Reviews","source":"www-annualreviews-org.proxy.lib.umich.edu","title":"How host-microbial interactions shape the nutrient environment of the mammalian intestine","volume":"22","author":[{"family":"Hooper","given":"Lora V."},{"family":"Midtvedt","given":"Tore"},{"family":"Gordon","given":"Jeffrey I."}],"issued":{"date-parts":[["2002",7,1]]}}},{"id":3537,"uris":["http://zotero.org/users/13901503/items/L2DTM48E"],"itemData":{"id":3537,"type":"article-journal","abstract":"The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diseases.","container-title":"Nutrients","DOI":"10.3390/nu7010045","ISSN":"2072-6643","issue":"1","journalAbbreviation":"Nutrients","page":"45-73","PMID":"25545102","PMCID":"PMC4303826","source":"PubMed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fldChar w:fldCharType="separate"/>
      </w:r>
      <w:r>
        <w:rPr>
          <w:noProof/>
        </w:rPr>
        <w:t>(Flint et al., 2012; Hooper et al., 2002; Maier et al., 2014)</w:t>
      </w:r>
      <w:r>
        <w:fldChar w:fldCharType="end"/>
      </w:r>
    </w:p>
    <w:p w14:paraId="239F41BB" w14:textId="77777777" w:rsidR="00540644" w:rsidRDefault="00540644" w:rsidP="00540644"/>
    <w:p w14:paraId="6E158F11" w14:textId="78B1AFD6" w:rsidR="00540644" w:rsidRPr="00B41062" w:rsidRDefault="00540644" w:rsidP="00540644">
      <w:pPr>
        <w:rPr>
          <w:b/>
          <w:bCs/>
          <w:sz w:val="32"/>
          <w:szCs w:val="32"/>
        </w:rPr>
      </w:pPr>
      <w:r w:rsidRPr="00B41062">
        <w:rPr>
          <w:b/>
          <w:bCs/>
          <w:sz w:val="32"/>
          <w:szCs w:val="32"/>
        </w:rPr>
        <w:t>Mention of individual pathways in the results</w:t>
      </w:r>
    </w:p>
    <w:p w14:paraId="146D2F00" w14:textId="4635BDBB" w:rsidR="00540644" w:rsidRDefault="00AB693C" w:rsidP="00540644">
      <w:pPr>
        <w:pStyle w:val="ListParagraph"/>
        <w:numPr>
          <w:ilvl w:val="0"/>
          <w:numId w:val="7"/>
        </w:numPr>
      </w:pPr>
      <w:r>
        <w:t>Ratio – pathobiont associated: commensal associated</w:t>
      </w:r>
    </w:p>
    <w:p w14:paraId="11241D46" w14:textId="42C4D6B1" w:rsidR="003D494A" w:rsidRPr="00AB693C" w:rsidRDefault="000217B8" w:rsidP="00540644">
      <w:pPr>
        <w:pStyle w:val="ListParagraph"/>
        <w:numPr>
          <w:ilvl w:val="1"/>
          <w:numId w:val="7"/>
        </w:numPr>
        <w:rPr>
          <w:b/>
          <w:bCs/>
        </w:rPr>
      </w:pPr>
      <w:r>
        <w:t>Increase in abundance of genes associated with</w:t>
      </w:r>
      <w:r w:rsidR="003D494A">
        <w:t xml:space="preserve">: </w:t>
      </w:r>
      <w:r w:rsidR="003D494A" w:rsidRPr="00AB693C">
        <w:rPr>
          <w:b/>
          <w:bCs/>
        </w:rPr>
        <w:fldChar w:fldCharType="begin"/>
      </w:r>
      <w:r w:rsidR="003D494A" w:rsidRPr="00AB693C">
        <w:rPr>
          <w:b/>
          <w:bCs/>
        </w:rPr>
        <w:instrText xml:space="preserve"> LINK Excel.SheetBinaryMacroEnabled.12 "/Users/Jordan/Desktop/research_repos/gm_temperature/data/path_model_results_fig.csv" "path_model_results_fig!R19C1" \a \f 5 \h  \* MERGEFORMAT </w:instrText>
      </w:r>
      <w:r w:rsidR="003D494A" w:rsidRPr="00AB693C">
        <w:rPr>
          <w:b/>
          <w:bCs/>
        </w:rPr>
        <w:fldChar w:fldCharType="separate"/>
      </w:r>
      <w:r w:rsidR="003D494A" w:rsidRPr="00AB693C">
        <w:rPr>
          <w:b/>
          <w:bCs/>
        </w:rPr>
        <w:t>PWY-1269: CMP-3-deoxy-D-manno-octulosonate biosynthesis</w:t>
      </w:r>
    </w:p>
    <w:p w14:paraId="5A0CEEF4" w14:textId="160D5C36" w:rsidR="003D494A" w:rsidRDefault="003D494A" w:rsidP="003D494A">
      <w:pPr>
        <w:pStyle w:val="ListParagraph"/>
        <w:numPr>
          <w:ilvl w:val="2"/>
          <w:numId w:val="5"/>
        </w:numPr>
      </w:pPr>
      <w:r w:rsidRPr="00AB693C">
        <w:rPr>
          <w:b/>
          <w:bCs/>
        </w:rPr>
        <w:fldChar w:fldCharType="end"/>
      </w:r>
      <w:r>
        <w:t>Significance</w:t>
      </w:r>
      <w:r w:rsidRPr="003D494A">
        <w:t xml:space="preserve"> </w:t>
      </w:r>
    </w:p>
    <w:p w14:paraId="587838D9" w14:textId="37D18DE0" w:rsidR="003D494A" w:rsidRDefault="003D494A" w:rsidP="003D494A">
      <w:pPr>
        <w:pStyle w:val="ListParagraph"/>
        <w:numPr>
          <w:ilvl w:val="3"/>
          <w:numId w:val="5"/>
        </w:numPr>
      </w:pPr>
      <w:r>
        <w:t xml:space="preserve">Core pathway required for lipopolysaccharide (LPS) biosynthesis in Gram-negative bacteria </w:t>
      </w:r>
      <w:r>
        <w:fldChar w:fldCharType="begin"/>
      </w:r>
      <w:r>
        <w:instrText xml:space="preserve"> ADDIN ZOTERO_ITEM CSL_CITATION {"citationID":"F0RXzJZj","properties":{"formattedCitation":"(Raetz &amp; Whitfield, 2002)","plainCitation":"(Raetz &amp; Whitfield, 2002)","noteIndex":0},"citationItems":[{"id":3710,"uris":["http://zotero.org/users/13901503/items/7XBTXUWV"],"itemData":{"id":3710,"type":"article-journal","abstract":"Bacterial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Biochemistry","language":"eng","page":"635","publisher":"Annual Reviews Inc.","source":"EBSCOhost","title":"Lipopolysaccharide endotoxins","volume":"71","author":[{"family":"Raetz","given":"Christian R. H."},{"family":"Whitfield","given":"Chris"}],"issued":{"date-parts":[["2002",7,1]]}}}],"schema":"https://github.com/citation-style-language/schema/raw/master/csl-citation.json"} </w:instrText>
      </w:r>
      <w:r>
        <w:fldChar w:fldCharType="separate"/>
      </w:r>
      <w:r>
        <w:rPr>
          <w:noProof/>
        </w:rPr>
        <w:t>(Raetz &amp; Whitfield, 2002)</w:t>
      </w:r>
      <w:r>
        <w:fldChar w:fldCharType="end"/>
      </w:r>
    </w:p>
    <w:p w14:paraId="232EDD6C" w14:textId="47C055DB" w:rsidR="003D494A" w:rsidRDefault="003D494A" w:rsidP="003D494A">
      <w:pPr>
        <w:pStyle w:val="ListParagraph"/>
        <w:numPr>
          <w:ilvl w:val="3"/>
          <w:numId w:val="5"/>
        </w:numPr>
      </w:pPr>
      <w:r>
        <w:t xml:space="preserve">LPS is a potent immune stimulus that can activate host inflammatory responses (e.g., via TLR signaling) </w:t>
      </w:r>
      <w:r>
        <w:fldChar w:fldCharType="begin"/>
      </w:r>
      <w:r w:rsidR="009B2395">
        <w:instrText xml:space="preserve"> ADDIN ZOTERO_ITEM CSL_CITATION {"citationID":"RVh7IB20","properties":{"formattedCitation":"(Raetz &amp; Whitfield, 2002)","plainCitation":"(Raetz &amp; Whitfield, 2002)","noteIndex":0},"citationItems":[{"id":3710,"uris":["http://zotero.org/users/13901503/items/7XBTXUWV"],"itemData":{"id":3710,"type":"article-journal","abstract":"Bacterial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Biochemistry","language":"eng","page":"635","publisher":"Annual Reviews Inc.","source":"EBSCOhost","title":"Lipopolysaccharide endotoxins","volume":"71","author":[{"family":"Raetz","given":"Christian R. H."},{"family":"Whitfield","given":"Chris"}],"issued":{"date-parts":[["2002",7,1]]}}}],"schema":"https://github.com/citation-style-language/schema/raw/master/csl-citation.json"} </w:instrText>
      </w:r>
      <w:r>
        <w:fldChar w:fldCharType="separate"/>
      </w:r>
      <w:r>
        <w:rPr>
          <w:noProof/>
        </w:rPr>
        <w:t>(Raetz &amp; Whitfield, 2002)</w:t>
      </w:r>
      <w:r>
        <w:fldChar w:fldCharType="end"/>
      </w:r>
    </w:p>
    <w:p w14:paraId="6D93CADF" w14:textId="77777777" w:rsidR="003D494A" w:rsidRDefault="003D494A" w:rsidP="00040080">
      <w:pPr>
        <w:pStyle w:val="ListParagraph"/>
        <w:numPr>
          <w:ilvl w:val="2"/>
          <w:numId w:val="5"/>
        </w:numPr>
      </w:pPr>
      <w:r w:rsidRPr="003D494A">
        <w:t>Interpretation</w:t>
      </w:r>
    </w:p>
    <w:p w14:paraId="3EBDE869" w14:textId="77777777" w:rsidR="003D494A" w:rsidRDefault="003D494A" w:rsidP="003D494A">
      <w:pPr>
        <w:pStyle w:val="ListParagraph"/>
        <w:numPr>
          <w:ilvl w:val="3"/>
          <w:numId w:val="5"/>
        </w:numPr>
      </w:pPr>
      <w:bookmarkStart w:id="1" w:name="_Hlk228364421"/>
      <w:r w:rsidRPr="003D494A">
        <w:t>Increased abundance is consistent with an expansion of Gram-negative, often facultative taxa (e.g., Proteobacteria)</w:t>
      </w:r>
    </w:p>
    <w:bookmarkEnd w:id="1"/>
    <w:p w14:paraId="2E1A2994" w14:textId="738F92D1" w:rsidR="00040080" w:rsidRDefault="003D494A" w:rsidP="003D494A">
      <w:pPr>
        <w:pStyle w:val="ListParagraph"/>
        <w:numPr>
          <w:ilvl w:val="3"/>
          <w:numId w:val="5"/>
        </w:numPr>
      </w:pPr>
      <w:r>
        <w:t>May indicate increased potential for inflammation</w:t>
      </w:r>
      <w:r w:rsidRPr="003D494A">
        <w:t xml:space="preserve"> </w:t>
      </w:r>
    </w:p>
    <w:p w14:paraId="5C9B05C9" w14:textId="641F0688" w:rsidR="00AB693C" w:rsidRDefault="00AB693C" w:rsidP="00AB693C">
      <w:pPr>
        <w:pStyle w:val="ListParagraph"/>
        <w:numPr>
          <w:ilvl w:val="1"/>
          <w:numId w:val="5"/>
        </w:numPr>
        <w:rPr>
          <w:b/>
          <w:bCs/>
        </w:rPr>
      </w:pPr>
      <w:r>
        <w:t xml:space="preserve">Decrease in abundance of genes associated with: </w:t>
      </w:r>
      <w:r w:rsidRPr="00AB693C">
        <w:rPr>
          <w:b/>
          <w:bCs/>
        </w:rPr>
        <w:t>PWY-5676: acetyl-CoA fermentation to butanoate II</w:t>
      </w:r>
    </w:p>
    <w:p w14:paraId="0B8CD7C1" w14:textId="6F558D59" w:rsidR="00AB693C" w:rsidRDefault="00AB693C" w:rsidP="00AB693C">
      <w:pPr>
        <w:pStyle w:val="ListParagraph"/>
        <w:numPr>
          <w:ilvl w:val="2"/>
          <w:numId w:val="5"/>
        </w:numPr>
      </w:pPr>
      <w:r w:rsidRPr="00AB693C">
        <w:t>Significance</w:t>
      </w:r>
    </w:p>
    <w:p w14:paraId="4D65DB1A" w14:textId="1F80CF29" w:rsidR="00B92CF2" w:rsidRDefault="00B92CF2" w:rsidP="00AB693C">
      <w:pPr>
        <w:pStyle w:val="ListParagraph"/>
        <w:numPr>
          <w:ilvl w:val="3"/>
          <w:numId w:val="5"/>
        </w:numPr>
      </w:pPr>
      <w:r>
        <w:t>Core anaerobic fermentation pathway that produces the short-chain fatty acid (SCFA) butyrate, primarily carried out by obligate anaerobic commensal bacteria</w:t>
      </w:r>
      <w:r w:rsidR="009B2395">
        <w:t xml:space="preserve"> </w:t>
      </w:r>
      <w:r w:rsidR="009B2395">
        <w:fldChar w:fldCharType="begin"/>
      </w:r>
      <w:r w:rsidR="009B2395">
        <w:instrText xml:space="preserve"> ADDIN ZOTERO_ITEM CSL_CITATION {"citationID":"8CgFwKhT","properties":{"formattedCitation":"(Singh et al., 2023)","plainCitation":"(Singh et al., 2023)","noteIndex":0},"citationItems":[{"id":3622,"uris":["http://zotero.org/users/13901503/items/E8YRGQQV"],"itemData":{"id":3622,"type":"article-journal","abstract":"Gut-microbial butyrate is a short-chain fatty acid (SCFA) of significant physiological importance than the other major SCFAs (acetate and propionate). Most butyrate producers belong to the Clostridium cluster of the phylum Firmicutes, such as Faecalibacterium, Roseburia, Eubacterium, Anaerostipes, Coprococcus, Subdoligranulum, and Anaerobutyricum. They metabolize carbohydrates via the butyryl-CoA: acetate CoA-transferase pathway and butyrate kinase terminal enzymes to produce most of butyrate. Although, in minor fractions, amino acids can also be utilized to generate butyrate via glutamate and lysine pathways. Butyrogenic microbes play a vital role in various gut-associated metabolisms. Butyrate is used by colonocytes to generate energy, stabilizes hypoxia-inducible factor to maintain the anaerobic environment in the gut, maintains gut barrier integrity by regulating Claudin-1 and synaptopodin expression, limits pro-inflammatory cytokines (IL-6, IL-12), and inhibits oncogenic pathways (Akt/ERK, Wnt, and TGF-β signaling). Colonic butyrate producers shape the gut microbial community by secreting various anti-microbial substances, such as cathelicidins, reuterin, and β-defensin-1, and maintain gut homeostasis by releasing anti-inflammatory molecules, such as IgA, vitamin B, and microbial anti-inflammatory molecules. Additionally, butyrate producers, such as Roseburia, produce anti-carcinogenic metabolites, such as shikimic acid and a precursor of conjugated linoleic acid. In this review, we summarized the significance of butyrate, critically examined the role and relevance of butyrate producers, and contextualized their importance as microbial therapeutics.","container-title":"Frontiers in Microbiology","DOI":"10.3389/fmicb.2022.1103836","ISSN":"1664-302X","journalAbbreviation":"Front. Microbiol.","language":"English","publisher":"Frontiers","source":"Frontiers","title":"Butyrate producers, “The Sentinel of Gut”: Their intestinal significance with and beyond butyrate, and prospective use as microbial therapeutics","title-short":"Butyrate producers, “The Sentinel of Gut”","URL":"https://www.frontiersin.org/journals/microbiology/articles/10.3389/fmicb.2022.1103836/full","volume":"13","author":[{"family":"Singh","given":"Vineet"},{"family":"Lee","given":"GyuDae"},{"family":"Son","given":"HyunWoo"},{"family":"Koh","given":"Hong"},{"family":"Kim","given":"Eun Soo"},{"family":"Unno","given":"Tatsuya"},{"family":"Shin","given":"Jae-Ho"}],"accessed":{"date-parts":[["2025",5,24]]},"issued":{"date-parts":[["2023",1,12]]}}}],"schema":"https://github.com/citation-style-language/schema/raw/master/csl-citation.json"} </w:instrText>
      </w:r>
      <w:r w:rsidR="009B2395">
        <w:fldChar w:fldCharType="separate"/>
      </w:r>
      <w:r w:rsidR="009B2395">
        <w:rPr>
          <w:noProof/>
        </w:rPr>
        <w:t>(Singh et al., 2023)</w:t>
      </w:r>
      <w:r w:rsidR="009B2395">
        <w:fldChar w:fldCharType="end"/>
      </w:r>
    </w:p>
    <w:p w14:paraId="72219D72" w14:textId="55DF818C" w:rsidR="00B92CF2" w:rsidRDefault="00B92CF2" w:rsidP="00AB693C">
      <w:pPr>
        <w:pStyle w:val="ListParagraph"/>
        <w:numPr>
          <w:ilvl w:val="3"/>
          <w:numId w:val="5"/>
        </w:numPr>
      </w:pPr>
      <w:r>
        <w:t xml:space="preserve">Butyrate is a key microbial metabolite that supports epithelial energy metabolism </w:t>
      </w:r>
      <w:r w:rsidR="009B2395">
        <w:fldChar w:fldCharType="begin"/>
      </w:r>
      <w:r w:rsidR="009B2395">
        <w:instrText xml:space="preserve"> ADDIN ZOTERO_ITEM CSL_CITATION {"citationID":"aDG065jh","properties":{"formattedCitation":"(Hodgkinson et al., 2023)","plainCitation":"(Hodgkinson et al., 2023)","noteIndex":0},"citationItems":[{"id":7956,"uris":["http://zotero.org/users/13901503/items/3TPI4SP8"],"itemData":{"id":7956,"type":"article-journal","abstract":"Butyrate is a key energy source for colonocytes and is produced by the gut microbiota through fermentation of dietary ﬁber. Butyrate is a histone deacetylase inhibitor and also signals through three Gprotein coupled receptors. It is clear that butyrate has an important role in gastrointestinal health and that butyrate levels can impact both host and microbial functions that are intimately coupled with each other. Maintaining optimal butyrate levels improves gastrointestinal health in animal models by supporting colonocyte function, decreasing inﬂammation, maintaining the gut barrier, and promoting a healthy microbiome. Butyrate has also shown protective actions in the context of intestinal diseases such as inﬂammatory bowel disease, graft-versus-host disease of the gastrointestinal tract, and colon cancer, whereas lower levels of butyrate and/or the microbes which are responsible for producing this metabolite are associated with disease and poorer health outcomes. However, clinical efforts to increase butyrate levels in humans and reverse these negative outcomes have generated mixed results. This article discusses our current understanding of the molecular mechanisms of butyrate action with a focus on the gastrointestinal system, the links between host and microbial factors, and the efforts that are currently underway to apply the knowledge gained from the bench to bedside.","container-title":"Clinical Nutrition","DOI":"10.1016/j.clnu.2022.10.024","ISSN":"02615614","issue":"2","journalAbbreviation":"Clinical Nutrition","language":"en","page":"61-75","source":"DOI.org (Crossref)","title":"Butyrate’s role in human health and the current progress towards its clinical application to treat gastrointestinal disease","volume":"42","author":[{"family":"Hodgkinson","given":"Kendra"},{"family":"El Abbar","given":"Faiha"},{"family":"Dobranowski","given":"Peter"},{"family":"Manoogian","given":"Juliana"},{"family":"Butcher","given":"James"},{"family":"Figeys","given":"Daniel"},{"family":"Mack","given":"David"},{"family":"Stintzi","given":"Alain"}],"issued":{"date-parts":[["2023",2]]}}}],"schema":"https://github.com/citation-style-language/schema/raw/master/csl-citation.json"} </w:instrText>
      </w:r>
      <w:r w:rsidR="009B2395">
        <w:fldChar w:fldCharType="separate"/>
      </w:r>
      <w:r w:rsidR="009B2395">
        <w:rPr>
          <w:noProof/>
        </w:rPr>
        <w:t>(Hodgkinson et al., 2023)</w:t>
      </w:r>
      <w:r w:rsidR="009B2395">
        <w:fldChar w:fldCharType="end"/>
      </w:r>
      <w:r w:rsidR="009B2395">
        <w:t xml:space="preserve"> </w:t>
      </w:r>
      <w:r>
        <w:t>and modulates host immunity, with well-established anti-inflammatory effects</w:t>
      </w:r>
      <w:r w:rsidR="009B2395">
        <w:t xml:space="preserve"> </w:t>
      </w:r>
      <w:r w:rsidR="009B2395">
        <w:fldChar w:fldCharType="begin"/>
      </w:r>
      <w:r w:rsidR="009B2395">
        <w:instrText xml:space="preserve"> ADDIN ZOTERO_ITEM CSL_CITATION {"citationID":"ZDXSxKVk","properties":{"formattedCitation":"(Klampfer et al., 2003)","plainCitation":"(Klampfer et al., 2003)","noteIndex":0},"citationItems":[{"id":2208,"uris":["http://zotero.org/users/13901503/items/CGJLGGCV"],"itemData":{"id":2208,"type":"article-journal","abstract":"The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9B2395">
        <w:fldChar w:fldCharType="separate"/>
      </w:r>
      <w:r w:rsidR="009B2395">
        <w:rPr>
          <w:noProof/>
        </w:rPr>
        <w:t>(Klampfer et al., 2003)</w:t>
      </w:r>
      <w:r w:rsidR="009B2395">
        <w:fldChar w:fldCharType="end"/>
      </w:r>
    </w:p>
    <w:p w14:paraId="3DDC8242" w14:textId="7E6AC9EB" w:rsidR="00B92CF2" w:rsidRDefault="00B92CF2" w:rsidP="00B92CF2">
      <w:pPr>
        <w:pStyle w:val="ListParagraph"/>
        <w:numPr>
          <w:ilvl w:val="3"/>
          <w:numId w:val="5"/>
        </w:numPr>
      </w:pPr>
      <w:r>
        <w:t xml:space="preserve">Reductions in butyrate production are commonly associated with loss of obligate anaerobic fermenters (e.g., many Firmicutes) and have been linked to inflammatory bowel disease </w:t>
      </w:r>
      <w:r w:rsidR="009B2395">
        <w:fldChar w:fldCharType="begin"/>
      </w:r>
      <w:r w:rsidR="00C87B62">
        <w:instrText xml:space="preserve"> ADDIN ZOTERO_ITEM CSL_CITATION {"citationID":"dlZq6dJP","properties":{"formattedCitation":"(Hodgkinson et al., 2023)","plainCitation":"(Hodgkinson et al., 2023)","noteIndex":0},"citationItems":[{"id":7956,"uris":["http://zotero.org/users/13901503/items/3TPI4SP8"],"itemData":{"id":7956,"type":"article-journal","abstract":"Butyrate is a key energy source for colonocytes and is produced by the gut microbiota through fermentation of dietary ﬁber. Butyrate is a histone deacetylase inhibitor and also signals through three Gprotein coupled receptors. It is clear that butyrate has an important role in gastrointestinal health and that butyrate levels can impact both host and microbial functions that are intimately coupled with each other. Maintaining optimal butyrate levels improves gastrointestinal health in animal models by supporting colonocyte function, decreasing inﬂammation, maintaining the gut barrier, and promoting a healthy microbiome. Butyrate has also shown protective actions in the context of intestinal diseases such as inﬂammatory bowel disease, graft-versus-host disease of the gastrointestinal tract, and colon cancer, whereas lower levels of butyrate and/or the microbes which are responsible for producing this metabolite are associated with disease and poorer health outcomes. However, clinical efforts to increase butyrate levels in humans and reverse these negative outcomes have generated mixed results. This article discusses our current understanding of the molecular mechanisms of butyrate action with a focus on the gastrointestinal system, the links between host and microbial factors, and the efforts that are currently underway to apply the knowledge gained from the bench to bedside.","container-title":"Clinical Nutrition","DOI":"10.1016/j.clnu.2022.10.024","ISSN":"02615614","issue":"2","journalAbbreviation":"Clinical Nutrition","language":"en","page":"61-75","source":"DOI.org (Crossref)","title":"Butyrate’s role in human health and the current progress towards its clinical application to treat gastrointestinal disease","volume":"42","author":[{"family":"Hodgkinson","given":"Kendra"},{"family":"El Abbar","given":"Faiha"},{"family":"Dobranowski","given":"Peter"},{"family":"Manoogian","given":"Juliana"},{"family":"Butcher","given":"James"},{"family":"Figeys","given":"Daniel"},{"family":"Mack","given":"David"},{"family":"Stintzi","given":"Alain"}],"issued":{"date-parts":[["2023",2]]}}}],"schema":"https://github.com/citation-style-language/schema/raw/master/csl-citation.json"} </w:instrText>
      </w:r>
      <w:r w:rsidR="009B2395">
        <w:fldChar w:fldCharType="separate"/>
      </w:r>
      <w:r w:rsidR="009B2395">
        <w:rPr>
          <w:noProof/>
        </w:rPr>
        <w:t>(Hodgkinson et al., 2023)</w:t>
      </w:r>
      <w:r w:rsidR="009B2395">
        <w:fldChar w:fldCharType="end"/>
      </w:r>
    </w:p>
    <w:p w14:paraId="00CB3980" w14:textId="261CE727" w:rsidR="00AB693C" w:rsidRDefault="00AB693C" w:rsidP="00B92CF2">
      <w:pPr>
        <w:pStyle w:val="ListParagraph"/>
        <w:numPr>
          <w:ilvl w:val="2"/>
          <w:numId w:val="5"/>
        </w:numPr>
      </w:pPr>
      <w:r w:rsidRPr="00AB693C">
        <w:t>Interpretation</w:t>
      </w:r>
    </w:p>
    <w:p w14:paraId="7A3ABEDD" w14:textId="77777777" w:rsidR="00B92CF2" w:rsidRDefault="00B92CF2" w:rsidP="00040080">
      <w:pPr>
        <w:pStyle w:val="ListParagraph"/>
        <w:numPr>
          <w:ilvl w:val="3"/>
          <w:numId w:val="5"/>
        </w:numPr>
      </w:pPr>
      <w:r>
        <w:t>Decreases in this pathway at higher temperatures are consistent with a loss of obligate anaerobic, fermentative taxa relative to facultative microbes</w:t>
      </w:r>
    </w:p>
    <w:p w14:paraId="07141C28" w14:textId="57809AF4" w:rsidR="00397FE3" w:rsidRDefault="00B92CF2" w:rsidP="00040080">
      <w:pPr>
        <w:pStyle w:val="ListParagraph"/>
        <w:numPr>
          <w:ilvl w:val="3"/>
          <w:numId w:val="5"/>
        </w:numPr>
      </w:pPr>
      <w:r>
        <w:t>This shift may indicate reduced capacity for butyrate production, with potential implications for epithelial integrity and immune regulation</w:t>
      </w:r>
      <w:r w:rsidR="009B2395">
        <w:t xml:space="preserve"> </w:t>
      </w:r>
      <w:r w:rsidR="009B2395">
        <w:fldChar w:fldCharType="begin"/>
      </w:r>
      <w:r w:rsidR="009B2395">
        <w:instrText xml:space="preserve"> ADDIN ZOTERO_ITEM CSL_CITATION {"citationID":"NQKhSwtA","properties":{"formattedCitation":"(Singh et al., 2023)","plainCitation":"(Singh et al., 2023)","noteIndex":0},"citationItems":[{"id":3622,"uris":["http://zotero.org/users/13901503/items/E8YRGQQV"],"itemData":{"id":3622,"type":"article-journal","abstract":"Gut-microbial butyrate is a short-chain fatty acid (SCFA) of significant physiological importance than the other major SCFAs (acetate and propionate). Most butyrate producers belong to the Clostridium cluster of the phylum Firmicutes, such as Faecalibacterium, Roseburia, Eubacterium, Anaerostipes, Coprococcus, Subdoligranulum, and Anaerobutyricum. They metabolize carbohydrates via the butyryl-CoA: acetate CoA-transferase pathway and butyrate kinase terminal enzymes to produce most of butyrate. Although, in minor fractions, amino acids can also be utilized to generate butyrate via glutamate and lysine pathways. Butyrogenic microbes play a vital role in various gut-associated metabolisms. Butyrate is used by colonocytes to generate energy, stabilizes hypoxia-inducible factor to maintain the anaerobic environment in the gut, maintains gut barrier integrity by regulating Claudin-1 and synaptopodin expression, limits pro-inflammatory cytokines (IL-6, IL-12), and inhibits oncogenic pathways (Akt/ERK, Wnt, and TGF-β signaling). Colonic butyrate producers shape the gut microbial community by secreting various anti-microbial substances, such as cathelicidins, reuterin, and β-defensin-1, and maintain gut homeostasis by releasing anti-inflammatory molecules, such as IgA, vitamin B, and microbial anti-inflammatory molecules. Additionally, butyrate producers, such as Roseburia, produce anti-carcinogenic metabolites, such as shikimic acid and a precursor of conjugated linoleic acid. In this review, we summarized the significance of butyrate, critically examined the role and relevance of butyrate producers, and contextualized their importance as microbial therapeutics.","container-title":"Frontiers in Microbiology","DOI":"10.3389/fmicb.2022.1103836","ISSN":"1664-302X","journalAbbreviation":"Front. Microbiol.","language":"English","publisher":"Frontiers","source":"Frontiers","title":"Butyrate producers, “The Sentinel of Gut”: Their intestinal significance with and beyond butyrate, and prospective use as microbial therapeutics","title-short":"Butyrate producers, “The Sentinel of Gut”","URL":"https://www.frontiersin.org/journals/microbiology/articles/10.3389/fmicb.2022.1103836/full","volume":"13","author":[{"family":"Singh","given":"Vineet"},{"family":"Lee","given":"GyuDae"},{"family":"Son","given":"HyunWoo"},{"family":"Koh","given":"Hong"},{"family":"Kim","given":"Eun Soo"},{"family":"Unno","given":"Tatsuya"},{"family":"Shin","given":"Jae-Ho"}],"accessed":{"date-parts":[["2025",5,24]]},"issued":{"date-parts":[["2023",1,12]]}}}],"schema":"https://github.com/citation-style-language/schema/raw/master/csl-citation.json"} </w:instrText>
      </w:r>
      <w:r w:rsidR="009B2395">
        <w:fldChar w:fldCharType="separate"/>
      </w:r>
      <w:r w:rsidR="009B2395">
        <w:rPr>
          <w:noProof/>
        </w:rPr>
        <w:t>(Singh et al., 2023)</w:t>
      </w:r>
      <w:r w:rsidR="009B2395">
        <w:fldChar w:fldCharType="end"/>
      </w:r>
    </w:p>
    <w:p w14:paraId="65CCC5D1" w14:textId="2804847E" w:rsidR="00B5574C" w:rsidRDefault="00B5574C" w:rsidP="00B5574C">
      <w:pPr>
        <w:pStyle w:val="ListParagraph"/>
        <w:numPr>
          <w:ilvl w:val="0"/>
          <w:numId w:val="5"/>
        </w:numPr>
      </w:pPr>
      <w:r>
        <w:lastRenderedPageBreak/>
        <w:t>Big picture conclusions</w:t>
      </w:r>
    </w:p>
    <w:p w14:paraId="763AE9A7" w14:textId="77777777" w:rsidR="00B41062" w:rsidRDefault="00B41062" w:rsidP="00B5574C">
      <w:pPr>
        <w:pStyle w:val="ListParagraph"/>
        <w:numPr>
          <w:ilvl w:val="1"/>
          <w:numId w:val="5"/>
        </w:numPr>
      </w:pPr>
      <w:r>
        <w:t>Congruent with taxonomic shifts, these results indicate a loss of functions associated with obligate anaerobic commensal taxa and an increase in functions associated with Gram-negative, facultative microbes.</w:t>
      </w:r>
    </w:p>
    <w:p w14:paraId="5AE71ADB" w14:textId="77777777" w:rsidR="00B41062" w:rsidRDefault="00B41062" w:rsidP="00040080">
      <w:pPr>
        <w:pStyle w:val="ListParagraph"/>
        <w:numPr>
          <w:ilvl w:val="1"/>
          <w:numId w:val="5"/>
        </w:numPr>
      </w:pPr>
      <w:r>
        <w:t>Although microbial communities can exhibit functional redundancy, these results demonstrate that the observed taxonomic shifts are accompanied by corresponding changes in functional potential.</w:t>
      </w:r>
    </w:p>
    <w:p w14:paraId="0271E7A3" w14:textId="059C5EA2" w:rsidR="00397FE3" w:rsidRDefault="00B41062" w:rsidP="00040080">
      <w:pPr>
        <w:pStyle w:val="ListParagraph"/>
        <w:numPr>
          <w:ilvl w:val="1"/>
          <w:numId w:val="5"/>
        </w:numPr>
      </w:pPr>
      <w:r>
        <w:t>These functional shifts have the potential to influence host health by increasing the relative abundance of pathways associated with immune activation (e.g., LPS biosynthesis) while reducing pathways linked to anti-inflammatory functions (e.g., butyrate production).</w:t>
      </w:r>
    </w:p>
    <w:p w14:paraId="547D4C92" w14:textId="77777777" w:rsidR="00397FE3" w:rsidRDefault="00397FE3" w:rsidP="00040080"/>
    <w:p w14:paraId="0EA1802E" w14:textId="041EA3EF" w:rsidR="00E8255F" w:rsidRDefault="00E8255F" w:rsidP="00E8255F">
      <w:pPr>
        <w:rPr>
          <w:b/>
          <w:bCs/>
          <w:sz w:val="32"/>
          <w:szCs w:val="32"/>
        </w:rPr>
      </w:pPr>
      <w:r>
        <w:rPr>
          <w:b/>
          <w:bCs/>
          <w:sz w:val="32"/>
          <w:szCs w:val="32"/>
        </w:rPr>
        <w:t>Genera Ratios</w:t>
      </w:r>
    </w:p>
    <w:p w14:paraId="25E653F5" w14:textId="7163637D" w:rsidR="00E8255F" w:rsidRDefault="00E8255F" w:rsidP="00E8255F">
      <w:pPr>
        <w:pStyle w:val="ListParagraph"/>
        <w:numPr>
          <w:ilvl w:val="0"/>
          <w:numId w:val="10"/>
        </w:numPr>
      </w:pPr>
      <w:r>
        <w:t>Aerotolerant: Obligate anaerobes</w:t>
      </w:r>
    </w:p>
    <w:p w14:paraId="6D95F956" w14:textId="3FF1E7FF" w:rsidR="00E8255F" w:rsidRDefault="00E8255F" w:rsidP="00E8255F">
      <w:pPr>
        <w:pStyle w:val="ListParagraph"/>
        <w:numPr>
          <w:ilvl w:val="1"/>
          <w:numId w:val="10"/>
        </w:numPr>
      </w:pPr>
      <w:r>
        <w:t>Aerotolerant</w:t>
      </w:r>
    </w:p>
    <w:p w14:paraId="1A2CD0B2" w14:textId="6D424905" w:rsidR="009F5659" w:rsidRDefault="009F5659" w:rsidP="009F5659">
      <w:pPr>
        <w:pStyle w:val="ListParagraph"/>
        <w:numPr>
          <w:ilvl w:val="2"/>
          <w:numId w:val="10"/>
        </w:numPr>
      </w:pPr>
      <w:r>
        <w:t>Lactic acid fermenters</w:t>
      </w:r>
    </w:p>
    <w:p w14:paraId="052D8C84" w14:textId="67C4B86A" w:rsidR="009F5659" w:rsidRDefault="009F5659" w:rsidP="009F5659">
      <w:pPr>
        <w:pStyle w:val="ListParagraph"/>
        <w:numPr>
          <w:ilvl w:val="3"/>
          <w:numId w:val="10"/>
        </w:numPr>
      </w:pPr>
      <w:r>
        <w:t xml:space="preserve">Lactic acid bacteria are aerotolerant </w:t>
      </w:r>
      <w:r>
        <w:fldChar w:fldCharType="begin"/>
      </w:r>
      <w:r>
        <w:instrText xml:space="preserve"> ADDIN ZOTERO_ITEM CSL_CITATION {"citationID":"CgOvS5v3","properties":{"formattedCitation":"(Brioukhanov &amp; Netrusov, 2007)","plainCitation":"(Brioukhanov &amp; Netrusov, 2007)","noteIndex":0},"citationItems":[{"id":7969,"uris":["http://zotero.org/users/13901503/items/8MLLADDH"],"itemData":{"id":7969,"type":"article-journal","abstract":"Effects of aerobic conditions on strictly anaerobic microorganisms belonging to diverse taxa (clostridia, acetogenic bacteria, lactic acid bacteria, bacteroids, sulfate-reducing bacteria, and methanogenic archaea) and differing considerably in their oxygen resistance have been reviewed, with emphasis on the role of aerotolerance in the ecology of anaerobes. Consideration is given to components of nutritive media for anaerobe culturing, which decrease the toxic effects of oxygen and there by contribute signiﬁcantly to maintenance and storage of industrial cultures of strictly anaerobic microorganisms. Physiological and biochemical factors are described, accounting for the relative resistance of many strict anaerobes to oxygen and products of incomplete reduction thereof. Speciﬁc attention is given to regulation of enzymes of antioxidative defense, operating in the cells of strict anaerobes under the conditions of oxidative stress caused by oxygen, superoxide anion, or hydrogen peroxide.","container-title":"Applied Biochemistry and Microbiology","DOI":"10.1134/S0003683807060014","ISSN":"0003-6838, 1608-3024","issue":"6","journalAbbreviation":"Appl Biochem Microbiol","language":"en","license":"https://www.springernature.com/gp/researchers/text-and-data-mining","page":"567-582","source":"DOI.org (Crossref)","title":"Aerotolerance of strictly anaerobic microorganisms and factors of defense against oxidative stress: A review","title-short":"Aerotolerance of strictly anaerobic microorganisms and factors of defense against oxidative stress","volume":"43","author":[{"family":"Brioukhanov","given":"A. L."},{"family":"Netrusov","given":"A. I."}],"issued":{"date-parts":[["2007",11]]}}}],"schema":"https://github.com/citation-style-language/schema/raw/master/csl-citation.json"} </w:instrText>
      </w:r>
      <w:r>
        <w:fldChar w:fldCharType="separate"/>
      </w:r>
      <w:r>
        <w:rPr>
          <w:noProof/>
        </w:rPr>
        <w:t>(Brioukhanov &amp; Netrusov, 2007)</w:t>
      </w:r>
      <w:r>
        <w:fldChar w:fldCharType="end"/>
      </w:r>
    </w:p>
    <w:p w14:paraId="3B030F5A" w14:textId="0D9A454A" w:rsidR="009F5659" w:rsidRDefault="009F5659" w:rsidP="009F5659">
      <w:pPr>
        <w:pStyle w:val="ListParagraph"/>
        <w:numPr>
          <w:ilvl w:val="3"/>
          <w:numId w:val="10"/>
        </w:numPr>
      </w:pPr>
      <w:r>
        <w:t xml:space="preserve">Make many beneficial contributes but are facultative and can bloom in oxidative conditions </w:t>
      </w:r>
      <w:r>
        <w:fldChar w:fldCharType="begin"/>
      </w:r>
      <w:r>
        <w:instrText xml:space="preserve"> ADDIN ZOTERO_ITEM CSL_CITATION {"citationID":"AgWro5O0","properties":{"formattedCitation":"(Pessione, 2012)","plainCitation":"(Pessione, 2012)","noteIndex":0},"citationItems":[{"id":7966,"uris":["http://zotero.org/users/13901503/items/CRNAMB9R"],"itemData":{"id":7966,"type":"article-journal","abstract":"Lactic Acid Bacteria (LAB) are ancient organisms that cannot biosynthesize functional cytochromes, and cannot get ATP from respiration. Besides sugar fermentation, they evolved electrogenic decarboxylations and ATP-forming deiminations. The right balance between sugar fermentation and decarboxylation/deimination ensures buffered environments thus enabling LAB to survive in human gastric trait and colonize gut. A complex molecular cross-talk between LAB and host exists. LAB moonlight proteins are made in response to gut stimuli and promote bacterial adhesion to mucosa and stimulate immune cells. Similarly, when LAB are present, human enterocytes activate expression of specific genes only. Furthermore, LAB antagonistic relationships with other microorganisms constitutes the basis for their antiinfective role. Histamine and tyramine are LAB bioactive catabolites that act on the CNS, causing hypertension and allergies. Nevertheless, some LAB biosynthesize both GABA, that has relaxing effect on gut smooth muscles, and beta-phenylethylamine, that controls satiety and mood. Since LAB have reduced amino acid biosynthetic abilities, they developed a sophisticated proteolytic system, that is also involved in antihypertensive and opiod peptide generation from milk proteins.Short-chain fatty acids are glycolytic and phosphoketolase end-products, regulating epithelial cellproliferation and differentiation. Nevertheless, they constitute a supplementary energy source for the host, causing weight gain. Human metabolism can also be affected by anabolic LAB products such as conjugated linoleic acids (CLA). Some CLA isomers reduce cancer cell viability and ameliorate insulin resistance, while others lower the HDL/LDL ratio and modify eicosanoid production, with detrimental health effects.A further appreciated LAB feature is the ability to fix selenium into seleno-cysteine Thus opening interesting perspectives for their utilization as antioxidant nutraceutical vectors.","container-title":"Frontiers in Cellular and Infection Microbiology","DOI":"10.3389/fcimb.2012.00086","ISSN":"2235-2988","journalAbbreviation":"Front. Cell. Infect. Microbiol.","language":"English","publisher":"Frontiers","source":"Frontiers","title":"Lactic acid bacteria contribution to gut microbiota complexity: lights and shadows","title-short":"Lactic acid bacteria contribution to gut microbiota complexity","URL":"https://www.frontiersin.org/journals/cellular-and-infection-microbiology/articles/10.3389/fcimb.2012.00086/full","volume":"2","author":[{"family":"Pessione","given":"Enrica"}],"accessed":{"date-parts":[["2026",5,5]]},"issued":{"date-parts":[["2012",6,22]]}}}],"schema":"https://github.com/citation-style-language/schema/raw/master/csl-citation.json"} </w:instrText>
      </w:r>
      <w:r>
        <w:fldChar w:fldCharType="separate"/>
      </w:r>
      <w:r>
        <w:rPr>
          <w:noProof/>
        </w:rPr>
        <w:t>(Pessione, 2012)</w:t>
      </w:r>
      <w:r>
        <w:fldChar w:fldCharType="end"/>
      </w:r>
    </w:p>
    <w:p w14:paraId="60583BCA" w14:textId="2BBD6CEA" w:rsidR="00B23C1F" w:rsidRDefault="00B23C1F" w:rsidP="00B23C1F">
      <w:pPr>
        <w:pStyle w:val="ListParagraph"/>
        <w:numPr>
          <w:ilvl w:val="3"/>
          <w:numId w:val="10"/>
        </w:numPr>
      </w:pPr>
      <w:r>
        <w:t xml:space="preserve">Lactic acid bacteria produce lactate as a primary fermentation product and normally participate in cross-feeding interactions in which lactate is further metabolized by other gut microbes. When these interactions are disrupted—such as during the loss of obligate anaerobic fermenters—lactate can accumulate, a pattern often associated with microbiome disturbance </w:t>
      </w:r>
      <w:r>
        <w:fldChar w:fldCharType="begin"/>
      </w:r>
      <w:r>
        <w:instrText xml:space="preserve"> ADDIN ZOTERO_ITEM CSL_CITATION {"citationID":"2hUKnhCL","properties":{"formattedCitation":"(Kumar et al., 2025)","plainCitation":"(Kumar et al., 2025)","noteIndex":0},"citationItems":[{"id":7973,"uris":["http://zotero.org/users/13901503/items/WMDLD3R2"],"itemData":{"id":7973,"type":"article-journal","abstract":"Lactate, traditionally seen as a byproduct of anaerobic metabolism, has gained attention for its dual role in human health. While it is associated with muscle fatigue, lactate also plays a crucial role in various physiological and pathological processes. This review explores lactate’s dual nature as both beneficial and detrimental. Under normal physiological conditions, lactate is an essential energy substrate, involved in the Cori cycle, where it is converted back to glucose in the liver. However, excessive lactate accumulation is linked to health issues, including cancer, metabolic disorders, and neurological diseases. The Warburg effect in cancer, characterized by increased lactate production even in oxygen-rich environments, promotes tumor progression and therapy resistance. In diseases like malaria and ischemic stroke, high lactate levels contribute to tissue damage and metabolic disturbances. Recent research also highlights lactate’s beneficial roles, including regulation of immune responses, enhanced exercise performance, and neuronal signaling. Furthermore, gut microbiota significantly impacts lactate metabolism, where beneficial bacteria use lactate to maintain gut health, while some pathogenic bacteria exacerbate disease through excess lactate production. Emerging therapeutic potential of lactate, including lactate dehydrogenase inhibitors, offers promising treatment avenues. This review provides a comprehensive overview of lactate’s complex role in health and disease, emphasizing the need for targeted strategies to harness its benefits while mitigating its harmful effects.","container-title":"Frontiers in Physiology","DOI":"10.3389/fphys.2025.1621358","ISSN":"1664-042X","journalAbbreviation":"Front. Physiol.","language":"English","publisher":"Frontiers","source":"Frontiers","title":"Dual role of lactate in human health and disease","URL":"https://www.frontiersin.org/journals/physiology/articles/10.3389/fphys.2025.1621358/full","volume":"16","author":[{"family":"Kumar","given":"Sudhir"},{"family":"Sahu","given":"Neha"},{"family":"Jawaid","given":"Talha"},{"family":"Jayasingh Chellammal","given":"Hanish Singh"},{"family":"Upadhyay","given":"Prabhat"}],"accessed":{"date-parts":[["2026",5,5]]},"issued":{"date-parts":[["2025",8,1]]}}}],"schema":"https://github.com/citation-style-language/schema/raw/master/csl-citation.json"} </w:instrText>
      </w:r>
      <w:r>
        <w:fldChar w:fldCharType="separate"/>
      </w:r>
      <w:r>
        <w:rPr>
          <w:noProof/>
        </w:rPr>
        <w:t>(Kumar et al., 2025)</w:t>
      </w:r>
      <w:r>
        <w:fldChar w:fldCharType="end"/>
      </w:r>
    </w:p>
    <w:p w14:paraId="5826D9C9" w14:textId="6A522E87" w:rsidR="00B23C1F" w:rsidRDefault="00B23C1F" w:rsidP="00B23C1F">
      <w:pPr>
        <w:pStyle w:val="ListParagraph"/>
        <w:numPr>
          <w:ilvl w:val="2"/>
          <w:numId w:val="10"/>
        </w:numPr>
      </w:pPr>
      <w:r>
        <w:t>Pathobionts</w:t>
      </w:r>
      <w:r w:rsidR="000C7C25">
        <w:t>/facultative anaerobes</w:t>
      </w:r>
    </w:p>
    <w:p w14:paraId="5833EB6F" w14:textId="006CBA10" w:rsidR="000C7C25" w:rsidRDefault="000C7C25" w:rsidP="000C7C25">
      <w:pPr>
        <w:pStyle w:val="ListParagraph"/>
        <w:numPr>
          <w:ilvl w:val="3"/>
          <w:numId w:val="10"/>
        </w:numPr>
      </w:pPr>
      <w:r>
        <w:t xml:space="preserve">Increased oxygenation of the gut linked to dysbiosis, i.e. expansion of facultative bacteria like proteobacteria that is linked to gastrointestinal disease </w:t>
      </w:r>
      <w:r>
        <w:fldChar w:fldCharType="begin"/>
      </w:r>
      <w:r>
        <w:instrText xml:space="preserve"> ADDIN ZOTERO_ITEM CSL_CITATION {"citationID":"zGo3WhHp","properties":{"formattedCitation":"(Shang et al., 2025)","plainCitation":"(Shang et al., 2025)","noteIndex":0},"citationItems":[{"id":7979,"uris":["http://zotero.org/users/13901503/items/SX9LGHDA"],"itemData":{"id":7979,"type":"article-journal","abstract":"The gut microbiota and its hypoxic host environment play a critical role in human health. Despite its importance, the mechanisms maintaining homeostasis and the characteristics defining dysbiosis remain largely undefined. In particular, the regulation of intestinal oxygen (IO) levels emerges as a critical factor in maintaining microbial balance. Host-driven factors, including epithelial oxygen consumption, mucosal perfusion, and luminal gas diffusion, establish a hypoxic gradient essential for the stable colonization by obligate anaerobes. Disruptions to this gradient, leading to pathological hyperoxia, are associated with overgrowth of facultative anaerobic bacteria and contribute to gastrointestinal diseases like ulcerative colitis, colorectal cancer, and irritable bowel syndrome. Emerging therapeutic approaches focus on modulating IO homeostasis to address dysbiosis. Compounds like sodium tungstate inhibit microbial respiratory pathways, while PPAR-γ agonists enhance mitochondrial efficiency in colonic epithelial cells, thereby restoring proper hypoxia. Dietary interventions and probiotic therapies also hold promise by promoting local anaerobic conditions and enhancing barrier functions, thus supporting the restoration of a healthy microbial community. This review highlights the role of IO in shaping host-microbe interactions, focusing on how host IO levels influence microbial homeostasis. We evaluate the potential for IO modulation to improve gut microbiota structure and explore its impact on microbial metabolism and disease pathogenesis. Additionally, we discuss the promise of dietary, probiotic, and pharmacological interventions in restoring the host’s control over the IO microenvironment and microbiota, aiming to prevent and treat related diseases.","container-title":"Gut Pathogens","DOI":"10.1186/s13099-025-00783-4","ISSN":"1757-4749","issue":"1","journalAbbreviation":"Gut Pathog","language":"en","page":"100","source":"Springer Link","title":"Intestinal oxygen and microbiota crosstalk: implications for pathogenesis of gastrointestinal diseases and emerging therapeutic strategies","title-short":"Intestinal oxygen and microbiota crosstalk","volume":"17","author":[{"family":"Shang","given":"Tianze"},{"family":"Zhang","given":"Rui"},{"family":"Liu","given":"Yani"},{"family":"Shi","given":"Shaojun"}],"issued":{"date-parts":[["2025",12,8]]}}}],"schema":"https://github.com/citation-style-language/schema/raw/master/csl-citation.json"} </w:instrText>
      </w:r>
      <w:r>
        <w:fldChar w:fldCharType="separate"/>
      </w:r>
      <w:r>
        <w:rPr>
          <w:noProof/>
        </w:rPr>
        <w:t>(Shang et al., 2025)</w:t>
      </w:r>
      <w:r>
        <w:fldChar w:fldCharType="end"/>
      </w:r>
    </w:p>
    <w:p w14:paraId="75030027" w14:textId="1884AC89" w:rsidR="00230560" w:rsidRDefault="00230560" w:rsidP="000C7C25">
      <w:pPr>
        <w:pStyle w:val="ListParagraph"/>
        <w:numPr>
          <w:ilvl w:val="3"/>
          <w:numId w:val="10"/>
        </w:numPr>
      </w:pPr>
      <w:proofErr w:type="spellStart"/>
      <w:r>
        <w:t>Exapansion</w:t>
      </w:r>
      <w:proofErr w:type="spellEnd"/>
      <w:r>
        <w:t xml:space="preserve"> of proteobacteria and other facultative bacteria is a hallmark sign of </w:t>
      </w:r>
      <w:proofErr w:type="spellStart"/>
      <w:r>
        <w:t>dybiosis</w:t>
      </w:r>
      <w:proofErr w:type="spellEnd"/>
    </w:p>
    <w:p w14:paraId="69B954A0" w14:textId="7688274A" w:rsidR="0051798C" w:rsidRDefault="00E8255F" w:rsidP="00B23C1F">
      <w:pPr>
        <w:pStyle w:val="ListParagraph"/>
        <w:numPr>
          <w:ilvl w:val="1"/>
          <w:numId w:val="10"/>
        </w:numPr>
      </w:pPr>
      <w:r>
        <w:t>Obligate anaerobe</w:t>
      </w:r>
    </w:p>
    <w:p w14:paraId="2B6DF631" w14:textId="7A4A6FB7" w:rsidR="00E8255F" w:rsidRDefault="00E8255F" w:rsidP="00E8255F">
      <w:pPr>
        <w:pStyle w:val="ListParagraph"/>
        <w:numPr>
          <w:ilvl w:val="2"/>
          <w:numId w:val="10"/>
        </w:numPr>
      </w:pPr>
      <w:r>
        <w:t>SCFA fermenters, e.g., Clostridia (Firmicutes)</w:t>
      </w:r>
    </w:p>
    <w:p w14:paraId="3EE9D4DC" w14:textId="3B75BCF7" w:rsidR="00E8255F" w:rsidRDefault="00E8255F" w:rsidP="00E8255F">
      <w:pPr>
        <w:pStyle w:val="ListParagraph"/>
        <w:numPr>
          <w:ilvl w:val="3"/>
          <w:numId w:val="10"/>
        </w:numPr>
      </w:pPr>
      <w:r>
        <w:t xml:space="preserve">Families: </w:t>
      </w:r>
      <w:proofErr w:type="spellStart"/>
      <w:r w:rsidRPr="00E8255F">
        <w:t>Lachnospiraceae</w:t>
      </w:r>
      <w:proofErr w:type="spellEnd"/>
    </w:p>
    <w:p w14:paraId="09AA02F0" w14:textId="45351150" w:rsidR="00E8255F" w:rsidRDefault="00E8255F" w:rsidP="00E8255F">
      <w:pPr>
        <w:pStyle w:val="ListParagraph"/>
        <w:numPr>
          <w:ilvl w:val="2"/>
          <w:numId w:val="10"/>
        </w:numPr>
      </w:pPr>
      <w:r>
        <w:lastRenderedPageBreak/>
        <w:t>Polysaccharide/glycan degraders (Bacteroidetes)</w:t>
      </w:r>
      <w:r w:rsidR="00C87B62">
        <w:t xml:space="preserve"> </w:t>
      </w:r>
      <w:r w:rsidR="00C87B62">
        <w:fldChar w:fldCharType="begin"/>
      </w:r>
      <w:r w:rsidR="00C87B62">
        <w:instrText xml:space="preserve"> ADDIN ZOTERO_ITEM CSL_CITATION {"citationID":"u68wlrBm","properties":{"formattedCitation":"(Zhang et al., 2024)","plainCitation":"(Zhang et al., 2024)","noteIndex":0},"citationItems":[{"id":7957,"uris":["http://zotero.org/users/13901503/items/GLPYC63R"],"itemData":{"id":7957,"type":"article-journal","abstract":"Species of the Bacteroidales order are among the most abundant and stable bacterial members of the human gut microbiome, with diverse impacts on human health. We cultured and sequenced the genomes of 408 Bacteroidales isolates from healthy human donors representing nine genera and 35 species and performed comparative genomic, gene-specific, metabolomic, and horizontal gene transfer analyses. Families, genera, and species could be grouped based on many distinctive features. We also observed extensive DNA transfer between diverse families, allowing for shared traits and strain evolution. Inter- and intra-species diversity is also apparent in the metabolomic profiling studies. This highly characterized and diverse Bacteroidales culture collection with strain-resolved genomic and metabolomic analyses represents a valuable resource to facilitate informed selection of strains for microbiome reconstitution.","container-title":"Cell Host &amp; Microbe","DOI":"10.1016/j.chom.2024.08.016","ISSN":"1931-3128","issue":"10","journalAbbreviation":"Cell Host &amp; Microbe","page":"1853-1867.e5","source":"ScienceDirect","title":"Comprehensive analyses of a large human gut Bacteroidales culture collection reveal species- and strain-level diversity and evolution","volume":"32","author":[{"family":"Zhang","given":"Zhenrun J."},{"family":"Cole","given":"Cody G."},{"family":"Coyne","given":"Michael J."},{"family":"Lin","given":"Huaiying"},{"family":"Dylla","given":"Nicholas"},{"family":"Smith","given":"Rita C."},{"family":"Pappas","given":"Téa E."},{"family":"Townson","given":"Shannon A."},{"family":"Laliwala","given":"Nina"},{"family":"Waligurski","given":"Emily"},{"family":"Ramaswamy","given":"Ramanujam"},{"family":"Woodson","given":"Che"},{"family":"Burgo","given":"Victoria"},{"family":"Little","given":"Jessica C."},{"family":"Moran","given":"David"},{"family":"Rose","given":"Amber"},{"family":"McMillin","given":"Mary"},{"family":"McSpadden","given":"Emma"},{"family":"Sundararajan","given":"Anitha"},{"family":"Sidebottom","given":"Ashley M."},{"family":"Pamer","given":"Eric G."},{"family":"Comstock","given":"Laurie E."}],"issued":{"date-parts":[["2024",10,9]]}}}],"schema":"https://github.com/citation-style-language/schema/raw/master/csl-citation.json"} </w:instrText>
      </w:r>
      <w:r w:rsidR="00C87B62">
        <w:fldChar w:fldCharType="separate"/>
      </w:r>
      <w:r w:rsidR="00C87B62">
        <w:rPr>
          <w:noProof/>
        </w:rPr>
        <w:t>(Zhang et al., 2024)</w:t>
      </w:r>
      <w:r w:rsidR="00C87B62">
        <w:fldChar w:fldCharType="end"/>
      </w:r>
    </w:p>
    <w:p w14:paraId="621383EC" w14:textId="7EEF7F51" w:rsidR="00C87B62" w:rsidRDefault="00C87B62" w:rsidP="00C87B62">
      <w:pPr>
        <w:pStyle w:val="ListParagraph"/>
        <w:numPr>
          <w:ilvl w:val="3"/>
          <w:numId w:val="10"/>
        </w:numPr>
      </w:pPr>
      <w:r>
        <w:t xml:space="preserve">Major Families: </w:t>
      </w:r>
      <w:proofErr w:type="spellStart"/>
      <w:r w:rsidRPr="00C87B62">
        <w:t>Bacteroidaceae</w:t>
      </w:r>
      <w:proofErr w:type="spellEnd"/>
      <w:r>
        <w:t xml:space="preserve">, </w:t>
      </w:r>
      <w:proofErr w:type="spellStart"/>
      <w:r w:rsidRPr="00C87B62">
        <w:t>Rikenellaceae</w:t>
      </w:r>
      <w:proofErr w:type="spellEnd"/>
      <w:r>
        <w:t xml:space="preserve">, </w:t>
      </w:r>
      <w:proofErr w:type="spellStart"/>
      <w:r w:rsidRPr="00C87B62">
        <w:t>Tannerellaceae</w:t>
      </w:r>
      <w:proofErr w:type="spellEnd"/>
      <w:r>
        <w:t xml:space="preserve"> </w:t>
      </w:r>
      <w:r>
        <w:fldChar w:fldCharType="begin"/>
      </w:r>
      <w:r>
        <w:instrText xml:space="preserve"> ADDIN ZOTERO_ITEM CSL_CITATION {"citationID":"ln6AKv0S","properties":{"formattedCitation":"(Zhang et al., 2024)","plainCitation":"(Zhang et al., 2024)","noteIndex":0},"citationItems":[{"id":7957,"uris":["http://zotero.org/users/13901503/items/GLPYC63R"],"itemData":{"id":7957,"type":"article-journal","abstract":"Species of the Bacteroidales order are among the most abundant and stable bacterial members of the human gut microbiome, with diverse impacts on human health. We cultured and sequenced the genomes of 408 Bacteroidales isolates from healthy human donors representing nine genera and 35 species and performed comparative genomic, gene-specific, metabolomic, and horizontal gene transfer analyses. Families, genera, and species could be grouped based on many distinctive features. We also observed extensive DNA transfer between diverse families, allowing for shared traits and strain evolution. Inter- and intra-species diversity is also apparent in the metabolomic profiling studies. This highly characterized and diverse Bacteroidales culture collection with strain-resolved genomic and metabolomic analyses represents a valuable resource to facilitate informed selection of strains for microbiome reconstitution.","container-title":"Cell Host &amp; Microbe","DOI":"10.1016/j.chom.2024.08.016","ISSN":"1931-3128","issue":"10","journalAbbreviation":"Cell Host &amp; Microbe","page":"1853-1867.e5","source":"ScienceDirect","title":"Comprehensive analyses of a large human gut Bacteroidales culture collection reveal species- and strain-level diversity and evolution","volume":"32","author":[{"family":"Zhang","given":"Zhenrun J."},{"family":"Cole","given":"Cody G."},{"family":"Coyne","given":"Michael J."},{"family":"Lin","given":"Huaiying"},{"family":"Dylla","given":"Nicholas"},{"family":"Smith","given":"Rita C."},{"family":"Pappas","given":"Téa E."},{"family":"Townson","given":"Shannon A."},{"family":"Laliwala","given":"Nina"},{"family":"Waligurski","given":"Emily"},{"family":"Ramaswamy","given":"Ramanujam"},{"family":"Woodson","given":"Che"},{"family":"Burgo","given":"Victoria"},{"family":"Little","given":"Jessica C."},{"family":"Moran","given":"David"},{"family":"Rose","given":"Amber"},{"family":"McMillin","given":"Mary"},{"family":"McSpadden","given":"Emma"},{"family":"Sundararajan","given":"Anitha"},{"family":"Sidebottom","given":"Ashley M."},{"family":"Pamer","given":"Eric G."},{"family":"Comstock","given":"Laurie E."}],"issued":{"date-parts":[["2024",10,9]]}}}],"schema":"https://github.com/citation-style-language/schema/raw/master/csl-citation.json"} </w:instrText>
      </w:r>
      <w:r>
        <w:fldChar w:fldCharType="separate"/>
      </w:r>
      <w:r>
        <w:rPr>
          <w:noProof/>
        </w:rPr>
        <w:t>(Zhang et al., 2024)</w:t>
      </w:r>
      <w:r>
        <w:fldChar w:fldCharType="end"/>
      </w:r>
    </w:p>
    <w:p w14:paraId="4A93A562" w14:textId="2E3BF240" w:rsidR="005F7FA3" w:rsidRPr="00E8255F" w:rsidRDefault="005F7FA3" w:rsidP="005F7FA3">
      <w:r>
        <w:t xml:space="preserve">This we are going to change this to be more health-relevant and consider anaerobic commensals vs facultative anaerobes and opportunistic taxa </w:t>
      </w:r>
    </w:p>
    <w:p w14:paraId="2EA85382" w14:textId="77777777" w:rsidR="00E8255F" w:rsidRDefault="00E8255F" w:rsidP="00040080"/>
    <w:p w14:paraId="16CB41A1" w14:textId="77777777" w:rsidR="00E8255F" w:rsidRDefault="00E8255F" w:rsidP="00040080"/>
    <w:p w14:paraId="3B7BE3D9" w14:textId="0AE39CEC" w:rsidR="00AA5E30" w:rsidRDefault="00AA5E30" w:rsidP="00AA5E30">
      <w:pPr>
        <w:rPr>
          <w:b/>
          <w:bCs/>
          <w:sz w:val="32"/>
          <w:szCs w:val="32"/>
        </w:rPr>
      </w:pPr>
      <w:r w:rsidRPr="00B41062">
        <w:rPr>
          <w:b/>
          <w:bCs/>
          <w:sz w:val="32"/>
          <w:szCs w:val="32"/>
        </w:rPr>
        <w:t xml:space="preserve">Mention of individual </w:t>
      </w:r>
      <w:r>
        <w:rPr>
          <w:b/>
          <w:bCs/>
          <w:sz w:val="32"/>
          <w:szCs w:val="32"/>
        </w:rPr>
        <w:t>genera</w:t>
      </w:r>
      <w:r w:rsidRPr="00B41062">
        <w:rPr>
          <w:b/>
          <w:bCs/>
          <w:sz w:val="32"/>
          <w:szCs w:val="32"/>
        </w:rPr>
        <w:t xml:space="preserve"> in the results</w:t>
      </w:r>
    </w:p>
    <w:p w14:paraId="637CB483" w14:textId="529FE867" w:rsidR="004C7E2D" w:rsidRDefault="002F66E6" w:rsidP="00AA5E30">
      <w:pPr>
        <w:pStyle w:val="ListParagraph"/>
        <w:numPr>
          <w:ilvl w:val="0"/>
          <w:numId w:val="9"/>
        </w:numPr>
        <w:rPr>
          <w:b/>
          <w:bCs/>
        </w:rPr>
      </w:pPr>
      <w:r>
        <w:rPr>
          <w:b/>
          <w:bCs/>
        </w:rPr>
        <w:t>O</w:t>
      </w:r>
      <w:r w:rsidR="00AB4B5B">
        <w:rPr>
          <w:b/>
          <w:bCs/>
        </w:rPr>
        <w:t>bligate anaerobes</w:t>
      </w:r>
      <w:r>
        <w:rPr>
          <w:b/>
          <w:bCs/>
        </w:rPr>
        <w:t xml:space="preserve"> (Families and genera)</w:t>
      </w:r>
      <w:r w:rsidR="004C7E2D">
        <w:rPr>
          <w:b/>
          <w:bCs/>
        </w:rPr>
        <w:t xml:space="preserve">: </w:t>
      </w:r>
    </w:p>
    <w:p w14:paraId="5572EA90" w14:textId="77777777" w:rsidR="002F66E6" w:rsidRDefault="002F66E6" w:rsidP="002F66E6">
      <w:pPr>
        <w:pStyle w:val="ListParagraph"/>
        <w:numPr>
          <w:ilvl w:val="1"/>
          <w:numId w:val="9"/>
        </w:numPr>
      </w:pPr>
      <w:r>
        <w:t xml:space="preserve">Decrease in </w:t>
      </w:r>
      <w:r>
        <w:t xml:space="preserve">the relative abundance </w:t>
      </w:r>
      <w:proofErr w:type="spellStart"/>
      <w:r>
        <w:rPr>
          <w:rStyle w:val="whitespace-normal"/>
        </w:rPr>
        <w:t>Oscillospiraceae</w:t>
      </w:r>
      <w:proofErr w:type="spellEnd"/>
      <w:r>
        <w:t xml:space="preserve">, </w:t>
      </w:r>
      <w:proofErr w:type="spellStart"/>
      <w:r>
        <w:rPr>
          <w:rStyle w:val="whitespace-normal"/>
        </w:rPr>
        <w:t>Ruminococcaceae</w:t>
      </w:r>
      <w:proofErr w:type="spellEnd"/>
      <w:r>
        <w:t xml:space="preserve">, and </w:t>
      </w:r>
      <w:proofErr w:type="spellStart"/>
      <w:r>
        <w:rPr>
          <w:rStyle w:val="whitespace-normal"/>
        </w:rPr>
        <w:t>Butyricicoccaceae</w:t>
      </w:r>
      <w:proofErr w:type="spellEnd"/>
      <w:r>
        <w:t xml:space="preserve"> families, which include many important obligate anaerobic SCFA producers, particularly butyrate-producing taxa.</w:t>
      </w:r>
    </w:p>
    <w:p w14:paraId="26E685D5" w14:textId="38C1A75D" w:rsidR="00740E83" w:rsidRDefault="00740E83" w:rsidP="00740E83">
      <w:pPr>
        <w:pStyle w:val="ListParagraph"/>
        <w:numPr>
          <w:ilvl w:val="2"/>
          <w:numId w:val="9"/>
        </w:numPr>
      </w:pPr>
      <w:r>
        <w:t xml:space="preserve">Note – not mentioning </w:t>
      </w:r>
      <w:proofErr w:type="spellStart"/>
      <w:r>
        <w:t>Lachnospiraceae</w:t>
      </w:r>
      <w:proofErr w:type="spellEnd"/>
      <w:r>
        <w:t xml:space="preserve"> </w:t>
      </w:r>
      <w:proofErr w:type="spellStart"/>
      <w:r>
        <w:t>familiy</w:t>
      </w:r>
      <w:proofErr w:type="spellEnd"/>
      <w:r>
        <w:t xml:space="preserve"> because it increases with temp but we would expect it to decrease with the other obligates</w:t>
      </w:r>
    </w:p>
    <w:p w14:paraId="7660B65E" w14:textId="3733B351" w:rsidR="002F66E6" w:rsidRPr="009F3472" w:rsidRDefault="002F66E6" w:rsidP="002F66E6">
      <w:pPr>
        <w:pStyle w:val="ListParagraph"/>
        <w:numPr>
          <w:ilvl w:val="1"/>
          <w:numId w:val="9"/>
        </w:numPr>
      </w:pPr>
      <w:r w:rsidRPr="002F66E6">
        <w:rPr>
          <w:rFonts w:eastAsia="Times New Roman" w:cs="Times New Roman"/>
          <w:kern w:val="0"/>
          <w14:ligatures w14:val="none"/>
        </w:rPr>
        <w:t xml:space="preserve">Also includes decreases in several genera associated with butyrate production and anaerobic fermentative metabolism, including </w:t>
      </w:r>
      <w:proofErr w:type="spellStart"/>
      <w:r w:rsidRPr="002F66E6">
        <w:rPr>
          <w:rFonts w:eastAsia="Times New Roman" w:cs="Times New Roman"/>
          <w:kern w:val="0"/>
          <w14:ligatures w14:val="none"/>
        </w:rPr>
        <w:t>Anaerostipes</w:t>
      </w:r>
      <w:proofErr w:type="spellEnd"/>
      <w:r w:rsidRPr="002F66E6">
        <w:rPr>
          <w:rFonts w:eastAsia="Times New Roman" w:cs="Times New Roman"/>
          <w:kern w:val="0"/>
          <w14:ligatures w14:val="none"/>
        </w:rPr>
        <w:t xml:space="preserve">, </w:t>
      </w:r>
      <w:bookmarkStart w:id="2" w:name="_Hlk228980812"/>
      <w:proofErr w:type="spellStart"/>
      <w:r w:rsidRPr="002F66E6">
        <w:rPr>
          <w:rFonts w:eastAsia="Times New Roman" w:cs="Times New Roman"/>
          <w:kern w:val="0"/>
          <w14:ligatures w14:val="none"/>
        </w:rPr>
        <w:t>Blautia</w:t>
      </w:r>
      <w:bookmarkEnd w:id="2"/>
      <w:proofErr w:type="spellEnd"/>
      <w:r w:rsidRPr="002F66E6">
        <w:rPr>
          <w:rFonts w:eastAsia="Times New Roman" w:cs="Times New Roman"/>
          <w:kern w:val="0"/>
          <w14:ligatures w14:val="none"/>
        </w:rPr>
        <w:t xml:space="preserve">, and some members of Clostridium. </w:t>
      </w:r>
    </w:p>
    <w:p w14:paraId="1611DA52" w14:textId="29A5E3C3" w:rsidR="009F3472" w:rsidRPr="009F3472" w:rsidRDefault="009F3472" w:rsidP="002F66E6">
      <w:pPr>
        <w:pStyle w:val="ListParagraph"/>
        <w:numPr>
          <w:ilvl w:val="1"/>
          <w:numId w:val="9"/>
        </w:numPr>
      </w:pPr>
      <w:r>
        <w:rPr>
          <w:rFonts w:eastAsia="Times New Roman" w:cs="Times New Roman"/>
          <w:kern w:val="0"/>
          <w14:ligatures w14:val="none"/>
        </w:rPr>
        <w:t>Citations</w:t>
      </w:r>
    </w:p>
    <w:p w14:paraId="18C41236" w14:textId="1CBBF6D1" w:rsidR="009F3472" w:rsidRPr="00740E83" w:rsidRDefault="009F3472" w:rsidP="009F3472">
      <w:pPr>
        <w:pStyle w:val="ListParagraph"/>
        <w:numPr>
          <w:ilvl w:val="2"/>
          <w:numId w:val="9"/>
        </w:numPr>
      </w:pPr>
      <w:r>
        <w:fldChar w:fldCharType="begin"/>
      </w:r>
      <w:r w:rsidR="00EB0A95">
        <w:instrText xml:space="preserve"> ADDIN ZOTERO_ITEM CSL_CITATION {"citationID":"Ax5pLqSk","properties":{"formattedCitation":"(Fusco et al., 2023; Mukhopadhya &amp; Louis, 2025)","plainCitation":"(Fusco et al., 2023; Mukhopadhya &amp; Louis, 2025)","noteIndex":0},"citationItems":[{"id":7963,"uris":["http://zotero.org/users/13901503/items/BQ2J4FL6"],"itemData":{"id":7963,"type":"article-journal","abstract":"Short-chain fatty acids (SCFAs) play a key role in health and disease, as they regulate gut homeostasis and their deficiency is involved in the pathogenesis of several disorders, including inflammatory bowel diseases, colorectal cancer, and cardiometabolic disorders. SCFAs are metabolites of specific bacterial taxa of the human gut microbiota, and their production is influenced by specific foods or food supplements, mainly prebiotics, by the direct fostering of these taxa. This Review provides an overview of SCFAs’ roles and functions, and of SCFA-producing bacteria, from their microbiological characteristics and taxonomy to the biochemical process that lead to the release of SCFAs. Moreover, we will describe the potential therapeutic approaches to boost the levels of SCFAs in the human gut and treat different related diseases.","container-title":"Nutrients","DOI":"10.3390/nu15092211","ISSN":"2072-6643","issue":"9","language":"en","license":"http://creativecommons.org/licenses/by/3.0/","page":"2211","publisher":"Multidisciplinary Digital Publishing Institute","source":"www.mdpi.com","title":"Short-Chain Fatty-Acid-Producing Bacteria: Key Components of the Human Gut Microbiota","title-short":"Short-Chain Fatty-Acid-Producing Bacteria","volume":"15","author":[{"family":"Fusco","given":"William"},{"family":"Lorenzo","given":"Manuel Bernabeu"},{"family":"Cintoni","given":"Marco"},{"family":"Porcari","given":"Serena"},{"family":"Rinninella","given":"Emanuele"},{"family":"Kaitsas","given":"Francesco"},{"family":"Lener","given":"Elena"},{"family":"Mele","given":"Maria Cristina"},{"family":"Gasbarrini","given":"Antonio"},{"family":"Collado","given":"Maria Carmen"},{"family":"Cammarota","given":"Giovanni"},{"family":"Ianiro","given":"Gianluca"}],"issued":{"date-parts":[["2023",1]]}}},{"id":7961,"uris":["http://zotero.org/users/13901503/items/T7HP56CF"],"itemData":{"id":7961,"type":"article-journal","abstract":"Short-chain fatty acids (SCFAs) are a group of organic compounds produced by the fermentation of dietary fibre by the human gut microbiota. They play diverse roles in different physiological processes of the host with implications for human health and disease. This Review provides an overview of the complex microbial metabolism underlying SCFA formation, considering microbial interactions and modulating factors of the gut environment. We explore the multifaceted mechanistic interactions between SCFAs and the host, with a particular focus on the local actions of SCFAs in the gut and their complex interactions with the immune system. We also discuss how these actions influence intestinal and extraintestinal diseases and emerging therapeutic strategies using SCFAs.","container-title":"Nature Reviews Microbiology","DOI":"10.1038/s41579-025-01183-w","ISSN":"1740-1534","issue":"10","journalAbbreviation":"Nat Rev Microbiol","language":"en","license":"2025 Springer Nature Limited","page":"635-651","publisher":"Nature Publishing Group","source":"www-nature-com.proxy.lib.umich.edu","title":"Gut microbiota-derived short-chain fatty acids and their role in human health and disease","volume":"23","author":[{"family":"Mukhopadhya","given":"Indrani"},{"family":"Louis","given":"Petra"}],"issued":{"date-parts":[["2025",10]]}}}],"schema":"https://github.com/citation-style-language/schema/raw/master/csl-citation.json"} </w:instrText>
      </w:r>
      <w:r>
        <w:fldChar w:fldCharType="separate"/>
      </w:r>
      <w:r w:rsidR="00EB0A95">
        <w:rPr>
          <w:noProof/>
        </w:rPr>
        <w:t>(Fusco et al., 2023; Mukhopadhya &amp; Louis, 2025)</w:t>
      </w:r>
      <w:r>
        <w:fldChar w:fldCharType="end"/>
      </w:r>
    </w:p>
    <w:p w14:paraId="11D492C3" w14:textId="52C0E85B" w:rsidR="00740E83" w:rsidRPr="0008665A" w:rsidRDefault="00740E83" w:rsidP="00740E83">
      <w:pPr>
        <w:pStyle w:val="ListParagraph"/>
        <w:numPr>
          <w:ilvl w:val="0"/>
          <w:numId w:val="9"/>
        </w:numPr>
        <w:rPr>
          <w:b/>
          <w:bCs/>
        </w:rPr>
      </w:pPr>
      <w:r w:rsidRPr="0008665A">
        <w:rPr>
          <w:rFonts w:eastAsia="Times New Roman" w:cs="Times New Roman"/>
          <w:b/>
          <w:bCs/>
          <w:kern w:val="0"/>
          <w14:ligatures w14:val="none"/>
        </w:rPr>
        <w:t xml:space="preserve">Pathobionts (Families and genera) </w:t>
      </w:r>
    </w:p>
    <w:p w14:paraId="3A2C06CD" w14:textId="598678F3" w:rsidR="0008665A" w:rsidRDefault="0008665A" w:rsidP="0008665A">
      <w:pPr>
        <w:pStyle w:val="ListParagraph"/>
        <w:numPr>
          <w:ilvl w:val="1"/>
          <w:numId w:val="9"/>
        </w:numPr>
      </w:pPr>
      <w:r>
        <w:t xml:space="preserve">Increase in the relative abundance of </w:t>
      </w:r>
      <w:proofErr w:type="spellStart"/>
      <w:r>
        <w:rPr>
          <w:rStyle w:val="whitespace-normal"/>
        </w:rPr>
        <w:t>Helicobacteraceae</w:t>
      </w:r>
      <w:proofErr w:type="spellEnd"/>
      <w:r>
        <w:t>, a family containing mucosa-associated pathobionts commonly associated with gastrointestinal inflammation</w:t>
      </w:r>
      <w:r w:rsidR="00001A62">
        <w:t xml:space="preserve"> </w:t>
      </w:r>
      <w:r w:rsidR="00001A62">
        <w:fldChar w:fldCharType="begin"/>
      </w:r>
      <w:r w:rsidR="00001A62">
        <w:instrText xml:space="preserve"> ADDIN ZOTERO_ITEM CSL_CITATION {"citationID":"122NBkMM","properties":{"formattedCitation":"(Chu et al., 2003)","plainCitation":"(Chu et al., 2003)","noteIndex":0},"citationItems":[{"id":3644,"uris":["http://zotero.org/users/13901503/items/GZ2VQ6TK"],"itemData":{"id":3644,"type":"article-journal","abstract":"Abstract: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rsidR="00001A62">
        <w:fldChar w:fldCharType="separate"/>
      </w:r>
      <w:r w:rsidR="00001A62">
        <w:rPr>
          <w:noProof/>
        </w:rPr>
        <w:t>(Chu et al., 2003)</w:t>
      </w:r>
      <w:r w:rsidR="00001A62">
        <w:fldChar w:fldCharType="end"/>
      </w:r>
      <w:r>
        <w:t>.</w:t>
      </w:r>
    </w:p>
    <w:p w14:paraId="267FA3DE" w14:textId="545774E3" w:rsidR="00740E83" w:rsidRDefault="00740E83" w:rsidP="0008665A">
      <w:pPr>
        <w:pStyle w:val="ListParagraph"/>
        <w:numPr>
          <w:ilvl w:val="2"/>
          <w:numId w:val="9"/>
        </w:numPr>
      </w:pPr>
      <w:r>
        <w:t>Note- not mentioning Enterobacteriaceae because it decreases</w:t>
      </w:r>
      <w:r w:rsidR="0008665A">
        <w:t>,</w:t>
      </w:r>
      <w:r>
        <w:t xml:space="preserve"> but we would expect it to increase </w:t>
      </w:r>
    </w:p>
    <w:p w14:paraId="15FA8A8B" w14:textId="77777777" w:rsidR="00142E50" w:rsidRDefault="0008665A" w:rsidP="00142E50">
      <w:pPr>
        <w:pStyle w:val="ListParagraph"/>
        <w:numPr>
          <w:ilvl w:val="0"/>
          <w:numId w:val="9"/>
        </w:numPr>
        <w:rPr>
          <w:b/>
          <w:bCs/>
        </w:rPr>
      </w:pPr>
      <w:r w:rsidRPr="0008665A">
        <w:rPr>
          <w:b/>
          <w:bCs/>
        </w:rPr>
        <w:t>Overall ancestral state reconstruction findings</w:t>
      </w:r>
    </w:p>
    <w:p w14:paraId="76E4FD01" w14:textId="77777777" w:rsidR="00142E50" w:rsidRPr="00142E50" w:rsidRDefault="00142E50" w:rsidP="00142E50">
      <w:pPr>
        <w:pStyle w:val="ListParagraph"/>
        <w:numPr>
          <w:ilvl w:val="1"/>
          <w:numId w:val="9"/>
        </w:numPr>
        <w:rPr>
          <w:b/>
          <w:bCs/>
        </w:rPr>
      </w:pPr>
      <w:r w:rsidRPr="00142E50">
        <w:rPr>
          <w:rFonts w:eastAsia="Times New Roman" w:cs="Times New Roman"/>
          <w:kern w:val="0"/>
          <w14:ligatures w14:val="none"/>
        </w:rPr>
        <w:t xml:space="preserve">Overall, we observe decreases in genera from the Firmicutes and </w:t>
      </w:r>
      <w:proofErr w:type="spellStart"/>
      <w:r w:rsidRPr="00142E50">
        <w:rPr>
          <w:rFonts w:eastAsia="Times New Roman" w:cs="Times New Roman"/>
          <w:kern w:val="0"/>
          <w14:ligatures w14:val="none"/>
        </w:rPr>
        <w:t>Bacteroidota</w:t>
      </w:r>
      <w:proofErr w:type="spellEnd"/>
      <w:r w:rsidRPr="00142E50">
        <w:rPr>
          <w:rFonts w:eastAsia="Times New Roman" w:cs="Times New Roman"/>
          <w:kern w:val="0"/>
          <w14:ligatures w14:val="none"/>
        </w:rPr>
        <w:t xml:space="preserve"> phyla that are commonly associated with obligate anaerobic commensal communities, including taxa involved in fermentation and maintenance of a balanced gut environment. </w:t>
      </w:r>
    </w:p>
    <w:p w14:paraId="6B58CEE7" w14:textId="77777777" w:rsidR="00142E50" w:rsidRPr="00142E50" w:rsidRDefault="00142E50" w:rsidP="00142E50">
      <w:pPr>
        <w:pStyle w:val="ListParagraph"/>
        <w:numPr>
          <w:ilvl w:val="1"/>
          <w:numId w:val="9"/>
        </w:numPr>
        <w:rPr>
          <w:b/>
          <w:bCs/>
        </w:rPr>
      </w:pPr>
      <w:r w:rsidRPr="00142E50">
        <w:rPr>
          <w:rFonts w:eastAsia="Times New Roman" w:cs="Times New Roman"/>
          <w:kern w:val="0"/>
          <w14:ligatures w14:val="none"/>
        </w:rPr>
        <w:t xml:space="preserve">In contrast, many taxa within the Proteobacteria and </w:t>
      </w:r>
      <w:proofErr w:type="spellStart"/>
      <w:r w:rsidRPr="00142E50">
        <w:rPr>
          <w:rFonts w:eastAsia="Times New Roman" w:cs="Times New Roman"/>
          <w:kern w:val="0"/>
          <w14:ligatures w14:val="none"/>
        </w:rPr>
        <w:t>Actinobacteriota</w:t>
      </w:r>
      <w:proofErr w:type="spellEnd"/>
      <w:r w:rsidRPr="00142E50">
        <w:rPr>
          <w:rFonts w:eastAsia="Times New Roman" w:cs="Times New Roman"/>
          <w:kern w:val="0"/>
          <w14:ligatures w14:val="none"/>
        </w:rPr>
        <w:t xml:space="preserve"> phyla appear comparatively resilient to temperature-associated declines, remaining relatively stable across the temperature gradient. </w:t>
      </w:r>
    </w:p>
    <w:p w14:paraId="10BA12CE" w14:textId="484071C1" w:rsidR="00740E83" w:rsidRPr="00142E50" w:rsidRDefault="00142E50" w:rsidP="00142E50">
      <w:pPr>
        <w:pStyle w:val="ListParagraph"/>
        <w:numPr>
          <w:ilvl w:val="1"/>
          <w:numId w:val="9"/>
        </w:numPr>
        <w:rPr>
          <w:b/>
          <w:bCs/>
        </w:rPr>
      </w:pPr>
      <w:r w:rsidRPr="00142E50">
        <w:rPr>
          <w:rFonts w:eastAsia="Times New Roman" w:cs="Times New Roman"/>
          <w:kern w:val="0"/>
          <w14:ligatures w14:val="none"/>
        </w:rPr>
        <w:t xml:space="preserve">These temperature-resilient taxa include several genera commonly associated with opportunistic or inflammation-associated gut environments, </w:t>
      </w:r>
      <w:r w:rsidRPr="00142E50">
        <w:rPr>
          <w:rFonts w:eastAsia="Times New Roman" w:cs="Times New Roman"/>
          <w:kern w:val="0"/>
          <w14:ligatures w14:val="none"/>
        </w:rPr>
        <w:lastRenderedPageBreak/>
        <w:t>including Klebsiella and Campylobacter, suggesting that heat-associated microbiome shifts may disproportionately reduce obligate anaerobic commensals while allowing more oxygen-tolerant taxa to persist.</w:t>
      </w:r>
    </w:p>
    <w:p w14:paraId="381A8D51" w14:textId="77777777" w:rsidR="002F66E6" w:rsidRPr="002F66E6" w:rsidRDefault="002F66E6" w:rsidP="002F66E6"/>
    <w:p w14:paraId="1C6A37D3" w14:textId="77777777" w:rsidR="002F66E6" w:rsidRDefault="002F66E6" w:rsidP="002F66E6">
      <w:pPr>
        <w:rPr>
          <w:b/>
          <w:bCs/>
        </w:rPr>
      </w:pPr>
    </w:p>
    <w:p w14:paraId="4A139FC6" w14:textId="77777777" w:rsidR="002F66E6" w:rsidRDefault="002F66E6" w:rsidP="002F66E6">
      <w:pPr>
        <w:rPr>
          <w:b/>
          <w:bCs/>
        </w:rPr>
      </w:pPr>
    </w:p>
    <w:p w14:paraId="65A92C90" w14:textId="55BA2523" w:rsidR="00AB4B5B" w:rsidRDefault="00AB4B5B" w:rsidP="004C7E2D">
      <w:pPr>
        <w:pStyle w:val="ListParagraph"/>
        <w:numPr>
          <w:ilvl w:val="1"/>
          <w:numId w:val="9"/>
        </w:numPr>
        <w:rPr>
          <w:b/>
          <w:bCs/>
        </w:rPr>
      </w:pPr>
      <w:proofErr w:type="spellStart"/>
      <w:r>
        <w:rPr>
          <w:b/>
          <w:bCs/>
        </w:rPr>
        <w:t>Bacteriodota</w:t>
      </w:r>
      <w:proofErr w:type="spellEnd"/>
      <w:r>
        <w:rPr>
          <w:b/>
          <w:bCs/>
        </w:rPr>
        <w:t xml:space="preserve"> </w:t>
      </w:r>
    </w:p>
    <w:p w14:paraId="70BC7AF2" w14:textId="77777777" w:rsidR="00161462" w:rsidRDefault="00AB4B5B" w:rsidP="00AB4B5B">
      <w:pPr>
        <w:pStyle w:val="ListParagraph"/>
        <w:numPr>
          <w:ilvl w:val="0"/>
          <w:numId w:val="9"/>
        </w:numPr>
      </w:pPr>
      <w:r w:rsidRPr="00AB4B5B">
        <w:t xml:space="preserve">Could mention decrease in </w:t>
      </w:r>
      <w:proofErr w:type="spellStart"/>
      <w:r w:rsidRPr="00AB4B5B">
        <w:t>Bacteroidaceae</w:t>
      </w:r>
      <w:proofErr w:type="spellEnd"/>
      <w:r w:rsidRPr="00AB4B5B">
        <w:t xml:space="preserve"> family</w:t>
      </w:r>
      <w:r>
        <w:t xml:space="preserve">, general gut anaerobes </w:t>
      </w:r>
      <w:proofErr w:type="spellStart"/>
      <w:r w:rsidRPr="00AB4B5B">
        <w:t>Rikenellaceae</w:t>
      </w:r>
      <w:proofErr w:type="spellEnd"/>
      <w:r w:rsidRPr="00AB4B5B">
        <w:t xml:space="preserve"> </w:t>
      </w:r>
      <w:r>
        <w:t xml:space="preserve">family but need to check if both of these </w:t>
      </w:r>
      <w:proofErr w:type="spellStart"/>
      <w:r>
        <w:t>familys</w:t>
      </w:r>
      <w:proofErr w:type="spellEnd"/>
      <w:r>
        <w:t xml:space="preserve"> show important ties to health/inflammatory conditions </w:t>
      </w:r>
    </w:p>
    <w:p w14:paraId="680F093A" w14:textId="77777777" w:rsidR="00161462" w:rsidRDefault="00161462" w:rsidP="00161462">
      <w:pPr>
        <w:ind w:left="360"/>
      </w:pPr>
    </w:p>
    <w:p w14:paraId="439B3965" w14:textId="77777777" w:rsidR="00161462" w:rsidRDefault="00161462" w:rsidP="00161462">
      <w:pPr>
        <w:ind w:left="360"/>
      </w:pPr>
    </w:p>
    <w:p w14:paraId="2CECE47E" w14:textId="77777777" w:rsidR="00397FE3" w:rsidRDefault="00397FE3" w:rsidP="00040080"/>
    <w:p w14:paraId="71A94CBD" w14:textId="77777777" w:rsidR="00397FE3" w:rsidRDefault="00397FE3" w:rsidP="00040080"/>
    <w:p w14:paraId="0985301F" w14:textId="77777777" w:rsidR="00397FE3" w:rsidRDefault="00397FE3" w:rsidP="00040080"/>
    <w:p w14:paraId="24B087FE" w14:textId="77777777" w:rsidR="00397FE3" w:rsidRDefault="00397FE3" w:rsidP="00040080"/>
    <w:p w14:paraId="656ED844" w14:textId="77777777" w:rsidR="00397FE3" w:rsidRDefault="00397FE3" w:rsidP="00040080"/>
    <w:p w14:paraId="044D08B1" w14:textId="77777777" w:rsidR="00397FE3" w:rsidRDefault="00397FE3" w:rsidP="00040080"/>
    <w:p w14:paraId="01B6C74E" w14:textId="77777777" w:rsidR="00397FE3" w:rsidRDefault="00397FE3" w:rsidP="00040080"/>
    <w:p w14:paraId="559A028D" w14:textId="4379F042" w:rsidR="00397FE3" w:rsidRDefault="00397FE3" w:rsidP="00040080">
      <w:r>
        <w:t xml:space="preserve">Other citations for important points: </w:t>
      </w:r>
    </w:p>
    <w:p w14:paraId="4C3C3CA9" w14:textId="1E069A6A" w:rsidR="00862369" w:rsidRDefault="00862369" w:rsidP="00862369">
      <w:pPr>
        <w:pStyle w:val="ListParagraph"/>
        <w:numPr>
          <w:ilvl w:val="0"/>
          <w:numId w:val="4"/>
        </w:numPr>
      </w:pPr>
      <w:r>
        <w:t>Important to note that on top of understanding proximate health effects of high temperatures, it contributes to our knowledge of environment conditions that may contribute to inflammatory disorders</w:t>
      </w:r>
    </w:p>
    <w:p w14:paraId="6D42081D" w14:textId="7CB39D24" w:rsidR="00397FE3" w:rsidRDefault="00862369" w:rsidP="00862369">
      <w:pPr>
        <w:pStyle w:val="ListParagraph"/>
        <w:numPr>
          <w:ilvl w:val="0"/>
          <w:numId w:val="4"/>
        </w:numPr>
      </w:pPr>
      <w:r>
        <w:t xml:space="preserve">Less firmicutes and Bacteroidetes and more Proteobacteria are associated with inflammatory bowel disease </w:t>
      </w:r>
    </w:p>
    <w:p w14:paraId="13FE3934" w14:textId="7EFFF9E5" w:rsidR="00862369" w:rsidRDefault="00862369" w:rsidP="00862369">
      <w:pPr>
        <w:pStyle w:val="ListParagraph"/>
        <w:numPr>
          <w:ilvl w:val="1"/>
          <w:numId w:val="4"/>
        </w:numPr>
      </w:pPr>
      <w:r>
        <w:fldChar w:fldCharType="begin"/>
      </w:r>
      <w:r>
        <w:instrText xml:space="preserve"> ADDIN ZOTERO_ITEM CSL_CITATION {"citationID":"2fSW5zM3","properties":{"formattedCitation":"(Pickard et al., 2017)","plainCitation":"(Pickard et al., 2017)","noteIndex":0},"citationItems":[{"id":7862,"uris":["http://zotero.org/users/13901503/items/B54A895I"],"itemData":{"id":7862,"type":"article-journal","abstract":"The intestinal tract of mammals is colonized by a large number of microorganisms including trillions of bacteria that are referred to collectively as the gut microbiota. These indigenous microorganisms have co-evolved with the host in a symbiotic relationship. In addition to metabolic benefits, symbiotic bacteria provide the host with several functions that promote immune homeostasis, immune responses, and protection against pathogen colonization. The ability of symbiotic bacteria to inhibit pathogen colonization is mediated via several mechanisms including direct killing, competition for limited nutrients, and enhancement of immune responses. Pathogens have evolved strategies to promote their replication in the presence of the gut microbiota. Perturbation of the gut microbiota structure by environmental and genetic factors increases the risk of pathogen infection, promotes the overgrowth of harmful pathobionts, and the development of inflammatory disease. Understanding the interaction of the microbiota with pathogens and the immune system will provide critical insight into the pathogenesis of disease and the development of strategies to prevent and treat inflammatory disease.","container-title":"Immunological Reviews","DOI":"10.1111/imr.12567","ISSN":"1600-065X","issue":"1","language":"en","note":"_eprint: https://onlinelibrary.wiley.com/doi/pdf/10.1111/imr.12567","page":"70-89","source":"Wiley Online Library","title":"Gut microbiota: Role in pathogen colonization, immune responses, and inflammatory disease","title-short":"Gut microbiota","volume":"279","author":[{"family":"Pickard","given":"Joseph M."},{"family":"Zeng","given":"Melody Y."},{"family":"Caruso","given":"Roberta"},{"family":"Núñez","given":"Gabriel"}],"issued":{"date-parts":[["2017"]]}}}],"schema":"https://github.com/citation-style-language/schema/raw/master/csl-citation.json"} </w:instrText>
      </w:r>
      <w:r>
        <w:fldChar w:fldCharType="separate"/>
      </w:r>
      <w:r>
        <w:rPr>
          <w:noProof/>
        </w:rPr>
        <w:t>(Pickard et al., 2017)</w:t>
      </w:r>
      <w:r>
        <w:fldChar w:fldCharType="end"/>
      </w:r>
    </w:p>
    <w:p w14:paraId="03A52993" w14:textId="70355152" w:rsidR="00AC3659" w:rsidRDefault="00AC3659" w:rsidP="00862369">
      <w:pPr>
        <w:pStyle w:val="ListParagraph"/>
        <w:numPr>
          <w:ilvl w:val="1"/>
          <w:numId w:val="4"/>
        </w:numPr>
      </w:pPr>
      <w:r>
        <w:fldChar w:fldCharType="begin"/>
      </w:r>
      <w:r>
        <w:instrText xml:space="preserve"> ADDIN ZOTERO_ITEM CSL_CITATION {"citationID":"DjkS3Izv","properties":{"formattedCitation":"(Frank et al., 2007)","plainCitation":"(Frank et al., 2007)","noteIndex":0},"citationItems":[{"id":7901,"uris":["http://zotero.org/users/13901503/items/45J772AM"],"itemData":{"id":7901,"type":"article-journal","abstract":"The two primary human inflammatory bowel diseases, Crohn's disease (CD) and ulcerative colitis (UC), are idiopathic relapsing disorders characterized by chronic inflammation of the intestinal tract. Although several lines of reasoning suggest that gastrointestinal (GI) microbes influence inflammatory bowel disease (IBD) pathogenesis, the types of microbes involved have not been adequately described. Here we report the results of a culture-independent rRNA sequence analysis of GI tissue samples obtained from CD and UC patients, as well as non-IBD controls. Specimens were obtained through surgery from a variety of intestinal sites and included both pathologically normal and abnormal states. Our results provide comprehensive molecular-based analysis of the microbiota of the human small intestine. Comparison of clone libraries reveals statistically significant differences between the microbiotas of CD and UC patients and those of non-IBD controls. Significantly, our results indicate that a subset of CD and UC samples contained abnormal GI microbiotas, characterized by depletion of commensal bacteria, notably members of the phyla\n              Firmicutes\n              and\n              Bacteroidetes\n              . Patient stratification by GI microbiota provides further evidence that CD represents a spectrum of disease states and suggests that treatment of some forms of IBD may be facilitated by redress of the detected microbiological imbalances.","container-title":"Proceedings of the National Academy of Sciences","DOI":"10.1073/pnas.0706625104","ISSN":"0027-8424, 1091-6490","issue":"34","journalAbbreviation":"Proc. Natl. Acad. Sci. U.S.A.","language":"en","page":"13780-13785","source":"DOI.org (Crossref)","title":"Molecular-phylogenetic characterization of microbial community imbalances in human inflammatory bowel diseases","volume":"104","author":[{"family":"Frank","given":"Daniel N."},{"family":"St. Amand","given":"Allison L."},{"family":"Feldman","given":"Robert A."},{"family":"Boedeker","given":"Edgar C."},{"family":"Harpaz","given":"Noam"},{"family":"Pace","given":"Norman R."}],"issued":{"date-parts":[["2007",8,21]]}}}],"schema":"https://github.com/citation-style-language/schema/raw/master/csl-citation.json"} </w:instrText>
      </w:r>
      <w:r>
        <w:fldChar w:fldCharType="separate"/>
      </w:r>
      <w:r>
        <w:rPr>
          <w:noProof/>
        </w:rPr>
        <w:t>(Frank et al., 2007)</w:t>
      </w:r>
      <w:r>
        <w:fldChar w:fldCharType="end"/>
      </w:r>
    </w:p>
    <w:p w14:paraId="65CF2260" w14:textId="77777777" w:rsidR="00B471B2" w:rsidRDefault="00862369" w:rsidP="00862369">
      <w:pPr>
        <w:pStyle w:val="ListParagraph"/>
        <w:numPr>
          <w:ilvl w:val="2"/>
          <w:numId w:val="4"/>
        </w:numPr>
      </w:pPr>
      <w:r>
        <w:t xml:space="preserve">Might want to run family DAA to check if enter </w:t>
      </w:r>
      <w:r w:rsidRPr="00862369">
        <w:t>Enterobacteriaceae</w:t>
      </w:r>
      <w:r>
        <w:t xml:space="preserve"> and </w:t>
      </w:r>
      <w:proofErr w:type="spellStart"/>
      <w:r>
        <w:t>heliobacter</w:t>
      </w:r>
      <w:proofErr w:type="spellEnd"/>
      <w:r>
        <w:t xml:space="preserve"> expand at high temps, would be a good argument</w:t>
      </w:r>
    </w:p>
    <w:p w14:paraId="0D1D9C85" w14:textId="77777777" w:rsidR="00B471B2" w:rsidRDefault="00B471B2" w:rsidP="00B471B2">
      <w:pPr>
        <w:pStyle w:val="ListParagraph"/>
        <w:numPr>
          <w:ilvl w:val="1"/>
          <w:numId w:val="4"/>
        </w:numPr>
      </w:pPr>
      <w:r>
        <w:t>This paper frames this more generally as dysbiosis</w:t>
      </w:r>
    </w:p>
    <w:p w14:paraId="77E2FC4D" w14:textId="2FDCDF75" w:rsidR="00862369" w:rsidRDefault="00B471B2" w:rsidP="00B471B2">
      <w:pPr>
        <w:pStyle w:val="ListParagraph"/>
        <w:numPr>
          <w:ilvl w:val="2"/>
          <w:numId w:val="4"/>
        </w:numPr>
      </w:pPr>
      <w:r>
        <w:lastRenderedPageBreak/>
        <w:t xml:space="preserve">There components of dysbiosis: reduced diversity, loss of beneficial microbes, pathobiont expansion </w:t>
      </w:r>
      <w:r>
        <w:fldChar w:fldCharType="begin"/>
      </w:r>
      <w:r>
        <w:instrText xml:space="preserve"> ADDIN ZOTERO_ITEM CSL_CITATION {"citationID":"yNDmEVrB","properties":{"formattedCitation":"(Petersen &amp; Round, 2014)","plainCitation":"(Petersen &amp; Round, 2014)","noteIndex":0},"citationItems":[{"id":7911,"uris":["http://zotero.org/users/13901503/items/WC9YJSQX"],"itemData":{"id":7911,"type":"article-journal","abstract":"Mammalian immune system development depends on instruction from resident commensal microorganisms. Diseases associated with abnormal immune responses towards environmental and self antigens have been rapidly increasing over the last 50 years. These diseases include inflammatory bowel disease (IBD), multiple sclerosis (MS), type I diabetes (T1D), allergies and asthma. The observation that people with immune mediated diseases house a different microbial community when compared to healthy individuals suggests that pathogenesis arises from improper training of the immune system by the microbiota. However, with hundreds of different microorganisms on our bodies it is hard to know which of these contribute to health and more importantly how? Microbiologists studying pathogenic organisms have long adhered to Koch's postulates to directly relate a certain disease to a specific microbe, raising the question of whether this might be true of commensal–host relationships as well. Emerging evidence supports that rather than one or two dominant organisms inducing host health, the composition of the entire community of microbial residents influences a balanced immune response. Thus, perturbations to the structure of complex commensal communities (referred to as dysbiosis) can lead to deficient education of the host immune system and subsequent development of immune mediated diseases. Here we will overview the literature that describes the causes of dysbiosis and the mechanisms evolved by the host to prevent these changes to community structure. Building off these studies, we will categorize the different types of dysbiosis and define how collections of microorganisms can influence the host response. This research has broad implications for future therapies that go beyond the introduction of a single organism to induce health. We propose that identifying mechanisms to re-establish a healthy complex microbiota after dysbiosis has occurred, a process we will refer to as rebiosis, will be fundamental to treating complex immune diseases.","container-title":"Cellular Microbiology","DOI":"10.1111/cmi.12308","ISSN":"1462-5822","issue":"7","language":"en","note":"_eprint: https://onlinelibrary.wiley.com/doi/pdf/10.1111/cmi.12308","page":"1024-1033","source":"Wiley Online Library","title":"Defining dysbiosis and its influence on host immunity and disease","volume":"16","author":[{"family":"Petersen","given":"Charisse"},{"family":"Round","given":"June L."}],"issued":{"date-parts":[["2014"]]}}}],"schema":"https://github.com/citation-style-language/schema/raw/master/csl-citation.json"} </w:instrText>
      </w:r>
      <w:r>
        <w:fldChar w:fldCharType="separate"/>
      </w:r>
      <w:r>
        <w:rPr>
          <w:noProof/>
        </w:rPr>
        <w:t>(Petersen &amp; Round, 2014)</w:t>
      </w:r>
      <w:r>
        <w:fldChar w:fldCharType="end"/>
      </w:r>
      <w:r w:rsidR="00862369">
        <w:t xml:space="preserve"> </w:t>
      </w:r>
    </w:p>
    <w:p w14:paraId="399A83DD" w14:textId="51CE43DB" w:rsidR="00862369" w:rsidRDefault="00862369" w:rsidP="00862369">
      <w:pPr>
        <w:pStyle w:val="ListParagraph"/>
        <w:numPr>
          <w:ilvl w:val="0"/>
          <w:numId w:val="4"/>
        </w:numPr>
      </w:pPr>
      <w:r>
        <w:t xml:space="preserve">In human microbiome, health microbiome primary composed of </w:t>
      </w:r>
      <w:proofErr w:type="spellStart"/>
      <w:r>
        <w:t>frimicutes</w:t>
      </w:r>
      <w:proofErr w:type="spellEnd"/>
      <w:r>
        <w:t xml:space="preserve"> and </w:t>
      </w:r>
      <w:proofErr w:type="spellStart"/>
      <w:r>
        <w:t>bacteroided</w:t>
      </w:r>
      <w:proofErr w:type="spellEnd"/>
      <w:r>
        <w:t xml:space="preserve"> with much les</w:t>
      </w:r>
      <w:r w:rsidR="00044C11">
        <w:t>s</w:t>
      </w:r>
      <w:r>
        <w:t xml:space="preserve"> </w:t>
      </w:r>
      <w:r w:rsidR="00044C11">
        <w:t>actinobacteria</w:t>
      </w:r>
      <w:r>
        <w:t xml:space="preserve"> and proteobacteria</w:t>
      </w:r>
    </w:p>
    <w:p w14:paraId="22BC5858" w14:textId="1820094B" w:rsidR="00862369" w:rsidRDefault="00862369" w:rsidP="00862369">
      <w:pPr>
        <w:pStyle w:val="ListParagraph"/>
        <w:numPr>
          <w:ilvl w:val="1"/>
          <w:numId w:val="4"/>
        </w:numPr>
      </w:pPr>
      <w:r>
        <w:fldChar w:fldCharType="begin"/>
      </w:r>
      <w:r w:rsidR="005C6829">
        <w:instrText xml:space="preserve"> ADDIN ZOTERO_ITEM CSL_CITATION {"citationID":"4D46J4m2","properties":{"formattedCitation":"(Eckburg et al., 2005)","plainCitation":"(Eckburg et al., 2005)","noteIndex":0},"citationItems":[{"id":7881,"uris":["http://zotero.org/users/13901503/items/H2DH7RQF"],"itemData":{"id":7881,"type":"article-journal","abstract":"The human endogenous intestinal microflora is an essential “organ” in providing nourishment, regulating epithelial development, and instructing innate immunity; yet, surprisingly, basic features remain poorly described. We examined 13,355 prokaryotic ribosomal RNA gene sequences from multiple colonic mucosal sites and feces of healthy subjects to improve our understanding of gut microbial diversity. A majority of the bacterial sequences corresponded to uncultivated species and novel microorganisms. We discovered significant intersubject variability and differences between stool and mucosa community composition. Characterization of this immensely diverse ecosystem is the first step in elucidating its role in health and disease.","container-title":"Science","DOI":"10.1126/science.1110591","ISSN":"0036-8075, 1095-9203","issue":"5728","journalAbbreviation":"Science","language":"en","page":"1635-1638","source":"DOI.org (Crossref)","title":"Diversity of the Human Intestinal Microbial Flora","volume":"308","author":[{"family":"Eckburg","given":"Paul B."},{"family":"Bik","given":"Elisabeth M."},{"family":"Bernstein","given":"Charles N."},{"family":"Purdom","given":"Elizabeth"},{"family":"Dethlefsen","given":"Les"},{"family":"Sargent","given":"Michael"},{"family":"Gill","given":"Steven R."},{"family":"Nelson","given":"Karen E."},{"family":"Relman","given":"David A."}],"issued":{"date-parts":[["2005",6,10]]}}}],"schema":"https://github.com/citation-style-language/schema/raw/master/csl-citation.json"} </w:instrText>
      </w:r>
      <w:r>
        <w:fldChar w:fldCharType="separate"/>
      </w:r>
      <w:r w:rsidR="005C6829">
        <w:rPr>
          <w:noProof/>
        </w:rPr>
        <w:t>(Eckburg et al., 2005)</w:t>
      </w:r>
      <w:r>
        <w:fldChar w:fldCharType="end"/>
      </w:r>
    </w:p>
    <w:p w14:paraId="42A9C747" w14:textId="0EBFB403" w:rsidR="00044C11" w:rsidRDefault="00044C11" w:rsidP="00044C11">
      <w:pPr>
        <w:pStyle w:val="ListParagraph"/>
        <w:numPr>
          <w:ilvl w:val="0"/>
          <w:numId w:val="4"/>
        </w:numPr>
      </w:pPr>
      <w:r>
        <w:t xml:space="preserve">Less dietary fiber causes more mucus degradation and greater susceptibility to pathogens </w:t>
      </w:r>
      <w:r>
        <w:fldChar w:fldCharType="begin"/>
      </w:r>
      <w:r>
        <w:instrText xml:space="preserve"> ADDIN ZOTERO_ITEM CSL_CITATION {"citationID":"GILSWMSY","properties":{"formattedCitation":"(Desai et al., 2016)","plainCitation":"(Desai et al., 2016)","noteIndex":0},"citationItems":[{"id":7927,"uris":["http://zotero.org/users/13901503/items/L93DUF63"],"itemData":{"id":7927,"type":"article-journal","abstract":"Despite the accepted health beneﬁts of consuming dietary ﬁber, little is known about the mechanisms by which ﬁber deprivation impacts the gut microbiota and alters disease risk. Using a gnotobiotic mouse model, in which animals were colonized with a synthetic human gut microbiota composed of fully sequenced commensal bacteria, we elucidated the functional interactions between dietary ﬁber, the gut microbiota, and the colonic mucus barrier, which serves as a primary defense against enteric pathogens. We show that during chronic or intermittent dietary ﬁber deﬁciency, the gut microbiota resorts to host-secreted mucus glycoproteins as a nutrient source, leading to erosion of the colonic mucus barrier. Dietary ﬁber deprivation, together with a ﬁber-deprived, mucus-eroding microbiota, promotes greater epithelial access and lethal colitis by the mucosal pathogen, Citrobacter rodentium. Our work reveals intricate pathways linking diet, the gut microbiome, and intestinal barrier dysfunction, which could be exploited to improve health using dietary therapeutics.","container-title":"Cell","DOI":"10.1016/j.cell.2016.10.043","ISSN":"00928674","issue":"5","journalAbbreviation":"Cell","language":"en","page":"1339-1353.e21","source":"DOI.org (Crossref)","title":"A Dietary Fiber-Deprived Gut Microbiota Degrades the Colonic Mucus Barrier and Enhances Pathogen Susceptibility","volume":"167","author":[{"family":"Desai","given":"Mahesh S."},{"family":"Seekatz","given":"Anna M."},{"family":"Koropatkin","given":"Nicole M."},{"family":"Kamada","given":"Nobuhiko"},{"family":"Hickey","given":"Christina A."},{"family":"Wolter","given":"Mathis"},{"family":"Pudlo","given":"Nicholas A."},{"family":"Kitamoto","given":"Sho"},{"family":"Terrapon","given":"Nicolas"},{"family":"Muller","given":"Arnaud"},{"family":"Young","given":"Vincent B."},{"family":"Henrissat","given":"Bernard"},{"family":"Wilmes","given":"Paul"},{"family":"Stappenbeck","given":"Thaddeus S."},{"family":"Núñez","given":"Gabriel"},{"family":"Martens","given":"Eric C."}],"issued":{"date-parts":[["2016",11]]}}}],"schema":"https://github.com/citation-style-language/schema/raw/master/csl-citation.json"} </w:instrText>
      </w:r>
      <w:r>
        <w:fldChar w:fldCharType="separate"/>
      </w:r>
      <w:r>
        <w:rPr>
          <w:noProof/>
        </w:rPr>
        <w:t>(Desai et al., 2016)</w:t>
      </w:r>
      <w:r>
        <w:fldChar w:fldCharType="end"/>
      </w:r>
    </w:p>
    <w:p w14:paraId="033270D4" w14:textId="77777777" w:rsidR="00397FE3" w:rsidRDefault="00397FE3" w:rsidP="00040080"/>
    <w:p w14:paraId="3EC04125" w14:textId="3F3AB74B" w:rsidR="00040080" w:rsidRDefault="00040080" w:rsidP="00040080">
      <w:r>
        <w:t>Supplementary citations</w:t>
      </w:r>
    </w:p>
    <w:p w14:paraId="74404C76" w14:textId="77777777" w:rsidR="00001A62" w:rsidRPr="00001A62" w:rsidRDefault="00040080" w:rsidP="00001A62">
      <w:pPr>
        <w:pStyle w:val="Bibliography"/>
      </w:pPr>
      <w:r>
        <w:fldChar w:fldCharType="begin"/>
      </w:r>
      <w:r>
        <w:instrText xml:space="preserve"> ADDIN ZOTERO_BIBL {"uncited":[],"omitted":[],"custom":[]} CSL_BIBLIOGRAPHY </w:instrText>
      </w:r>
      <w:r>
        <w:fldChar w:fldCharType="separate"/>
      </w:r>
      <w:r w:rsidR="00001A62" w:rsidRPr="00001A62">
        <w:t xml:space="preserve">Brioukhanov, A. L., &amp; Netrusov, A. I. (2007). Aerotolerance of strictly anaerobic microorganisms and factors of defense against oxidative stress: A review. </w:t>
      </w:r>
      <w:r w:rsidR="00001A62" w:rsidRPr="00001A62">
        <w:rPr>
          <w:i/>
          <w:iCs/>
        </w:rPr>
        <w:t>Applied Biochemistry and Microbiology</w:t>
      </w:r>
      <w:r w:rsidR="00001A62" w:rsidRPr="00001A62">
        <w:t xml:space="preserve">, </w:t>
      </w:r>
      <w:r w:rsidR="00001A62" w:rsidRPr="00001A62">
        <w:rPr>
          <w:i/>
          <w:iCs/>
        </w:rPr>
        <w:t>43</w:t>
      </w:r>
      <w:r w:rsidR="00001A62" w:rsidRPr="00001A62">
        <w:t>(6), 567–582. https://doi.org/10.1134/S0003683807060014</w:t>
      </w:r>
    </w:p>
    <w:p w14:paraId="61C242E7" w14:textId="77777777" w:rsidR="00001A62" w:rsidRPr="00001A62" w:rsidRDefault="00001A62" w:rsidP="00001A62">
      <w:pPr>
        <w:pStyle w:val="Bibliography"/>
      </w:pPr>
      <w:r w:rsidRPr="00001A62">
        <w:t>Chu, S. H., Lim, J. W., Kim, K. H., &amp; Kim, H. (2003). NF-</w:t>
      </w:r>
      <w:proofErr w:type="spellStart"/>
      <w:r w:rsidRPr="00001A62">
        <w:t>κB</w:t>
      </w:r>
      <w:proofErr w:type="spellEnd"/>
      <w:r w:rsidRPr="00001A62">
        <w:t xml:space="preserve"> and Bcl-2 in Helicobacter pylori-Induced Apoptosis in Gastric Epithelial Cells. </w:t>
      </w:r>
      <w:r w:rsidRPr="00001A62">
        <w:rPr>
          <w:i/>
          <w:iCs/>
        </w:rPr>
        <w:t>Annals of the New York Academy of Sciences</w:t>
      </w:r>
      <w:r w:rsidRPr="00001A62">
        <w:t xml:space="preserve">, </w:t>
      </w:r>
      <w:r w:rsidRPr="00001A62">
        <w:rPr>
          <w:i/>
          <w:iCs/>
        </w:rPr>
        <w:t>1010</w:t>
      </w:r>
      <w:r w:rsidRPr="00001A62">
        <w:t>(1), 568–572. https://doi.org/10.1196/annals.1299.106</w:t>
      </w:r>
    </w:p>
    <w:p w14:paraId="748D714E" w14:textId="77777777" w:rsidR="00001A62" w:rsidRPr="00001A62" w:rsidRDefault="00001A62" w:rsidP="00001A62">
      <w:pPr>
        <w:pStyle w:val="Bibliography"/>
      </w:pPr>
      <w:r w:rsidRPr="00001A62">
        <w:t xml:space="preserve">Desai, M. S., Seekatz, A. M., </w:t>
      </w:r>
      <w:proofErr w:type="spellStart"/>
      <w:r w:rsidRPr="00001A62">
        <w:t>Koropatkin</w:t>
      </w:r>
      <w:proofErr w:type="spellEnd"/>
      <w:r w:rsidRPr="00001A62">
        <w:t xml:space="preserve">, N. M., Kamada, N., Hickey, C. A., Wolter, M., Pudlo, N. A., </w:t>
      </w:r>
      <w:proofErr w:type="spellStart"/>
      <w:r w:rsidRPr="00001A62">
        <w:t>Kitamoto</w:t>
      </w:r>
      <w:proofErr w:type="spellEnd"/>
      <w:r w:rsidRPr="00001A62">
        <w:t xml:space="preserve">, S., </w:t>
      </w:r>
      <w:proofErr w:type="spellStart"/>
      <w:r w:rsidRPr="00001A62">
        <w:t>Terrapon</w:t>
      </w:r>
      <w:proofErr w:type="spellEnd"/>
      <w:r w:rsidRPr="00001A62">
        <w:t xml:space="preserve">, N., Muller, A., Young, V. B., </w:t>
      </w:r>
      <w:proofErr w:type="spellStart"/>
      <w:r w:rsidRPr="00001A62">
        <w:t>Henrissat</w:t>
      </w:r>
      <w:proofErr w:type="spellEnd"/>
      <w:r w:rsidRPr="00001A62">
        <w:t xml:space="preserve">, B., Wilmes, P., Stappenbeck, T. S., Núñez, G., &amp; Martens, E. C. (2016). A Dietary Fiber-Deprived Gut Microbiota Degrades the Colonic Mucus Barrier and Enhances Pathogen Susceptibility. </w:t>
      </w:r>
      <w:r w:rsidRPr="00001A62">
        <w:rPr>
          <w:i/>
          <w:iCs/>
        </w:rPr>
        <w:t>Cell</w:t>
      </w:r>
      <w:r w:rsidRPr="00001A62">
        <w:t xml:space="preserve">, </w:t>
      </w:r>
      <w:r w:rsidRPr="00001A62">
        <w:rPr>
          <w:i/>
          <w:iCs/>
        </w:rPr>
        <w:t>167</w:t>
      </w:r>
      <w:r w:rsidRPr="00001A62">
        <w:t>(5), 1339-1353.e21. https://doi.org/10.1016/j.cell.2016.10.043</w:t>
      </w:r>
    </w:p>
    <w:p w14:paraId="7140B1EC" w14:textId="77777777" w:rsidR="00001A62" w:rsidRPr="00001A62" w:rsidRDefault="00001A62" w:rsidP="00001A62">
      <w:pPr>
        <w:pStyle w:val="Bibliography"/>
      </w:pPr>
      <w:r w:rsidRPr="00001A62">
        <w:lastRenderedPageBreak/>
        <w:t xml:space="preserve">Eckburg, P. B., Bik, E. M., Bernstein, C. N., Purdom, E., Dethlefsen, L., Sargent, M., Gill, S. R., Nelson, K. E., &amp; Relman, D. A. (2005). Diversity of the Human Intestinal Microbial Flora. </w:t>
      </w:r>
      <w:r w:rsidRPr="00001A62">
        <w:rPr>
          <w:i/>
          <w:iCs/>
        </w:rPr>
        <w:t>Science</w:t>
      </w:r>
      <w:r w:rsidRPr="00001A62">
        <w:t xml:space="preserve">, </w:t>
      </w:r>
      <w:r w:rsidRPr="00001A62">
        <w:rPr>
          <w:i/>
          <w:iCs/>
        </w:rPr>
        <w:t>308</w:t>
      </w:r>
      <w:r w:rsidRPr="00001A62">
        <w:t>(5728), 1635–1638. https://doi.org/10.1126/science.1110591</w:t>
      </w:r>
    </w:p>
    <w:p w14:paraId="59F69CD9" w14:textId="77777777" w:rsidR="00001A62" w:rsidRPr="00001A62" w:rsidRDefault="00001A62" w:rsidP="00001A62">
      <w:pPr>
        <w:pStyle w:val="Bibliography"/>
      </w:pPr>
      <w:r w:rsidRPr="00001A62">
        <w:t xml:space="preserve">Fang, X., Guo, Y., Huang, J., &amp; Zhang, M. (2026). Polyamines as a Universal Language of Host–Microbiota Symbiosis. </w:t>
      </w:r>
      <w:r w:rsidRPr="00001A62">
        <w:rPr>
          <w:i/>
          <w:iCs/>
        </w:rPr>
        <w:t>Research</w:t>
      </w:r>
      <w:r w:rsidRPr="00001A62">
        <w:t xml:space="preserve">, </w:t>
      </w:r>
      <w:r w:rsidRPr="00001A62">
        <w:rPr>
          <w:i/>
          <w:iCs/>
        </w:rPr>
        <w:t>9</w:t>
      </w:r>
      <w:r w:rsidRPr="00001A62">
        <w:t>, 1184. https://doi.org/10.34133/research.1184</w:t>
      </w:r>
    </w:p>
    <w:p w14:paraId="64EC233F" w14:textId="77777777" w:rsidR="00001A62" w:rsidRPr="00001A62" w:rsidRDefault="00001A62" w:rsidP="00001A62">
      <w:pPr>
        <w:pStyle w:val="Bibliography"/>
      </w:pPr>
      <w:r w:rsidRPr="00001A62">
        <w:t xml:space="preserve">Farhana, A., &amp; Khan, Y. S. (2026). Biochemistry, Lipopolysaccharide. In </w:t>
      </w:r>
      <w:proofErr w:type="spellStart"/>
      <w:r w:rsidRPr="00001A62">
        <w:rPr>
          <w:i/>
          <w:iCs/>
        </w:rPr>
        <w:t>StatPearls</w:t>
      </w:r>
      <w:proofErr w:type="spellEnd"/>
      <w:r w:rsidRPr="00001A62">
        <w:t xml:space="preserve">. </w:t>
      </w:r>
      <w:proofErr w:type="spellStart"/>
      <w:r w:rsidRPr="00001A62">
        <w:t>StatPearls</w:t>
      </w:r>
      <w:proofErr w:type="spellEnd"/>
      <w:r w:rsidRPr="00001A62">
        <w:t xml:space="preserve"> Publishing. http://www.ncbi.nlm.nih.gov/books/NBK554414/</w:t>
      </w:r>
    </w:p>
    <w:p w14:paraId="52110FBD" w14:textId="77777777" w:rsidR="00001A62" w:rsidRPr="00001A62" w:rsidRDefault="00001A62" w:rsidP="00001A62">
      <w:pPr>
        <w:pStyle w:val="Bibliography"/>
      </w:pPr>
      <w:r w:rsidRPr="00001A62">
        <w:t xml:space="preserve">Flint, H. J., Scott ,Karen P., Duncan ,Sylvia H., Louis ,Petra, &amp; and </w:t>
      </w:r>
      <w:proofErr w:type="spellStart"/>
      <w:r w:rsidRPr="00001A62">
        <w:t>Forano</w:t>
      </w:r>
      <w:proofErr w:type="spellEnd"/>
      <w:r w:rsidRPr="00001A62">
        <w:t xml:space="preserve">, E. (2012). Microbial degradation of complex carbohydrates in the gut. </w:t>
      </w:r>
      <w:r w:rsidRPr="00001A62">
        <w:rPr>
          <w:i/>
          <w:iCs/>
        </w:rPr>
        <w:t>Gut Microbes</w:t>
      </w:r>
      <w:r w:rsidRPr="00001A62">
        <w:t xml:space="preserve">, </w:t>
      </w:r>
      <w:r w:rsidRPr="00001A62">
        <w:rPr>
          <w:i/>
          <w:iCs/>
        </w:rPr>
        <w:t>3</w:t>
      </w:r>
      <w:r w:rsidRPr="00001A62">
        <w:t>(4), 289–306. https://doi.org/10.4161/gmic.19897</w:t>
      </w:r>
    </w:p>
    <w:p w14:paraId="7395960E" w14:textId="77777777" w:rsidR="00001A62" w:rsidRPr="00001A62" w:rsidRDefault="00001A62" w:rsidP="00001A62">
      <w:pPr>
        <w:pStyle w:val="Bibliography"/>
      </w:pPr>
      <w:r w:rsidRPr="00001A62">
        <w:t xml:space="preserve">Frank, D. N., St. Amand, A. L., Feldman, R. A., Boedeker, E. C., Harpaz, N., &amp; Pace, N. R. (2007). Molecular-phylogenetic characterization of microbial community imbalances in human inflammatory bowel diseases. </w:t>
      </w:r>
      <w:r w:rsidRPr="00001A62">
        <w:rPr>
          <w:i/>
          <w:iCs/>
        </w:rPr>
        <w:t>Proceedings of the National Academy of Sciences</w:t>
      </w:r>
      <w:r w:rsidRPr="00001A62">
        <w:t xml:space="preserve">, </w:t>
      </w:r>
      <w:r w:rsidRPr="00001A62">
        <w:rPr>
          <w:i/>
          <w:iCs/>
        </w:rPr>
        <w:t>104</w:t>
      </w:r>
      <w:r w:rsidRPr="00001A62">
        <w:t>(34), 13780–13785. https://doi.org/10.1073/pnas.0706625104</w:t>
      </w:r>
    </w:p>
    <w:p w14:paraId="4CAA9377" w14:textId="77777777" w:rsidR="00001A62" w:rsidRPr="00001A62" w:rsidRDefault="00001A62" w:rsidP="00001A62">
      <w:pPr>
        <w:pStyle w:val="Bibliography"/>
      </w:pPr>
      <w:r w:rsidRPr="00001A62">
        <w:t xml:space="preserve">Fusco, W., Lorenzo, M. B., </w:t>
      </w:r>
      <w:proofErr w:type="spellStart"/>
      <w:r w:rsidRPr="00001A62">
        <w:t>Cintoni</w:t>
      </w:r>
      <w:proofErr w:type="spellEnd"/>
      <w:r w:rsidRPr="00001A62">
        <w:t xml:space="preserve">, M., Porcari, S., </w:t>
      </w:r>
      <w:proofErr w:type="spellStart"/>
      <w:r w:rsidRPr="00001A62">
        <w:t>Rinninella</w:t>
      </w:r>
      <w:proofErr w:type="spellEnd"/>
      <w:r w:rsidRPr="00001A62">
        <w:t xml:space="preserve">, E., </w:t>
      </w:r>
      <w:proofErr w:type="spellStart"/>
      <w:r w:rsidRPr="00001A62">
        <w:t>Kaitsas</w:t>
      </w:r>
      <w:proofErr w:type="spellEnd"/>
      <w:r w:rsidRPr="00001A62">
        <w:t xml:space="preserve">, F., Lener, E., Mele, M. C., Gasbarrini, A., Collado, M. C., Cammarota, G., &amp; Ianiro, G. (2023). Short-Chain Fatty-Acid-Producing Bacteria: Key Components of the Human Gut Microbiota. </w:t>
      </w:r>
      <w:r w:rsidRPr="00001A62">
        <w:rPr>
          <w:i/>
          <w:iCs/>
        </w:rPr>
        <w:t>Nutrients</w:t>
      </w:r>
      <w:r w:rsidRPr="00001A62">
        <w:t xml:space="preserve">, </w:t>
      </w:r>
      <w:r w:rsidRPr="00001A62">
        <w:rPr>
          <w:i/>
          <w:iCs/>
        </w:rPr>
        <w:t>15</w:t>
      </w:r>
      <w:r w:rsidRPr="00001A62">
        <w:t>(9), 2211. https://doi.org/10.3390/nu15092211</w:t>
      </w:r>
    </w:p>
    <w:p w14:paraId="46E82A26" w14:textId="77777777" w:rsidR="00001A62" w:rsidRPr="00001A62" w:rsidRDefault="00001A62" w:rsidP="00001A62">
      <w:pPr>
        <w:pStyle w:val="Bibliography"/>
      </w:pPr>
      <w:r w:rsidRPr="00001A62">
        <w:t xml:space="preserve">Hodgkinson, K., El Abbar, F., Dobranowski, P., Manoogian, J., Butcher, J., </w:t>
      </w:r>
      <w:proofErr w:type="spellStart"/>
      <w:r w:rsidRPr="00001A62">
        <w:t>Figeys</w:t>
      </w:r>
      <w:proofErr w:type="spellEnd"/>
      <w:r w:rsidRPr="00001A62">
        <w:t xml:space="preserve">, D., Mack, D., &amp; </w:t>
      </w:r>
      <w:proofErr w:type="spellStart"/>
      <w:r w:rsidRPr="00001A62">
        <w:t>Stintzi</w:t>
      </w:r>
      <w:proofErr w:type="spellEnd"/>
      <w:r w:rsidRPr="00001A62">
        <w:t xml:space="preserve">, A. (2023). Butyrate’s role in human health and the current progress </w:t>
      </w:r>
      <w:r w:rsidRPr="00001A62">
        <w:lastRenderedPageBreak/>
        <w:t xml:space="preserve">towards its clinical application to treat gastrointestinal disease. </w:t>
      </w:r>
      <w:r w:rsidRPr="00001A62">
        <w:rPr>
          <w:i/>
          <w:iCs/>
        </w:rPr>
        <w:t>Clinical Nutrition</w:t>
      </w:r>
      <w:r w:rsidRPr="00001A62">
        <w:t xml:space="preserve">, </w:t>
      </w:r>
      <w:r w:rsidRPr="00001A62">
        <w:rPr>
          <w:i/>
          <w:iCs/>
        </w:rPr>
        <w:t>42</w:t>
      </w:r>
      <w:r w:rsidRPr="00001A62">
        <w:t>(2), 61–75. https://doi.org/10.1016/j.clnu.2022.10.024</w:t>
      </w:r>
    </w:p>
    <w:p w14:paraId="53A5DF8D" w14:textId="77777777" w:rsidR="00001A62" w:rsidRPr="00001A62" w:rsidRDefault="00001A62" w:rsidP="00001A62">
      <w:pPr>
        <w:pStyle w:val="Bibliography"/>
      </w:pPr>
      <w:r w:rsidRPr="00001A62">
        <w:t xml:space="preserve">Hooper, L. V., Midtvedt, T., &amp; Gordon, J. I. (2002). How host-microbial interactions shape the nutrient environment of the mammalian intestine. </w:t>
      </w:r>
      <w:r w:rsidRPr="00001A62">
        <w:rPr>
          <w:i/>
          <w:iCs/>
        </w:rPr>
        <w:t>Annual Review of Nutrition</w:t>
      </w:r>
      <w:r w:rsidRPr="00001A62">
        <w:t xml:space="preserve">, </w:t>
      </w:r>
      <w:r w:rsidRPr="00001A62">
        <w:rPr>
          <w:i/>
          <w:iCs/>
        </w:rPr>
        <w:t>22</w:t>
      </w:r>
      <w:r w:rsidRPr="00001A62">
        <w:t>(Volume 22, 2002), 283–307. https://doi.org/10.1146/annurev.nutr.22.011602.092259</w:t>
      </w:r>
    </w:p>
    <w:p w14:paraId="1D7E05B5" w14:textId="77777777" w:rsidR="00001A62" w:rsidRPr="00001A62" w:rsidRDefault="00001A62" w:rsidP="00001A62">
      <w:pPr>
        <w:pStyle w:val="Bibliography"/>
      </w:pPr>
      <w:r w:rsidRPr="00001A62">
        <w:t xml:space="preserve">Klampfer, L., Huang, J., </w:t>
      </w:r>
      <w:proofErr w:type="spellStart"/>
      <w:r w:rsidRPr="00001A62">
        <w:t>Sasazuki</w:t>
      </w:r>
      <w:proofErr w:type="spellEnd"/>
      <w:r w:rsidRPr="00001A62">
        <w:t xml:space="preserve">, T., </w:t>
      </w:r>
      <w:proofErr w:type="spellStart"/>
      <w:r w:rsidRPr="00001A62">
        <w:t>Shirasawa</w:t>
      </w:r>
      <w:proofErr w:type="spellEnd"/>
      <w:r w:rsidRPr="00001A62">
        <w:t xml:space="preserve">, S., &amp; </w:t>
      </w:r>
      <w:proofErr w:type="spellStart"/>
      <w:r w:rsidRPr="00001A62">
        <w:t>Augenlicht</w:t>
      </w:r>
      <w:proofErr w:type="spellEnd"/>
      <w:r w:rsidRPr="00001A62">
        <w:t xml:space="preserve">, L. (2003). Inhibition of Interferon γ Signaling by the Short Chain Fatty Acid Butyrate1. </w:t>
      </w:r>
      <w:r w:rsidRPr="00001A62">
        <w:rPr>
          <w:i/>
          <w:iCs/>
        </w:rPr>
        <w:t>Molecular Cancer Research</w:t>
      </w:r>
      <w:r w:rsidRPr="00001A62">
        <w:t xml:space="preserve">, </w:t>
      </w:r>
      <w:r w:rsidRPr="00001A62">
        <w:rPr>
          <w:i/>
          <w:iCs/>
        </w:rPr>
        <w:t>1</w:t>
      </w:r>
      <w:r w:rsidRPr="00001A62">
        <w:t>(11), 855–862.</w:t>
      </w:r>
    </w:p>
    <w:p w14:paraId="06ADB04C" w14:textId="77777777" w:rsidR="00001A62" w:rsidRPr="00001A62" w:rsidRDefault="00001A62" w:rsidP="00001A62">
      <w:pPr>
        <w:pStyle w:val="Bibliography"/>
      </w:pPr>
      <w:r w:rsidRPr="00001A62">
        <w:t xml:space="preserve">Kumar, S., Sahu, N., Jawaid, T., </w:t>
      </w:r>
      <w:proofErr w:type="spellStart"/>
      <w:r w:rsidRPr="00001A62">
        <w:t>Jayasingh</w:t>
      </w:r>
      <w:proofErr w:type="spellEnd"/>
      <w:r w:rsidRPr="00001A62">
        <w:t xml:space="preserve"> Chellammal, H. S., &amp; Upadhyay, P. (2025). Dual role of lactate in human health and disease. </w:t>
      </w:r>
      <w:r w:rsidRPr="00001A62">
        <w:rPr>
          <w:i/>
          <w:iCs/>
        </w:rPr>
        <w:t>Frontiers in Physiology</w:t>
      </w:r>
      <w:r w:rsidRPr="00001A62">
        <w:t xml:space="preserve">, </w:t>
      </w:r>
      <w:r w:rsidRPr="00001A62">
        <w:rPr>
          <w:i/>
          <w:iCs/>
        </w:rPr>
        <w:t>16</w:t>
      </w:r>
      <w:r w:rsidRPr="00001A62">
        <w:t>. https://doi.org/10.3389/fphys.2025.1621358</w:t>
      </w:r>
    </w:p>
    <w:p w14:paraId="50510849" w14:textId="77777777" w:rsidR="00001A62" w:rsidRPr="00001A62" w:rsidRDefault="00001A62" w:rsidP="00001A62">
      <w:pPr>
        <w:pStyle w:val="Bibliography"/>
      </w:pPr>
      <w:r w:rsidRPr="00001A62">
        <w:t xml:space="preserve">LeBlanc, J. G., </w:t>
      </w:r>
      <w:proofErr w:type="spellStart"/>
      <w:r w:rsidRPr="00001A62">
        <w:t>Laiño</w:t>
      </w:r>
      <w:proofErr w:type="spellEnd"/>
      <w:r w:rsidRPr="00001A62">
        <w:t xml:space="preserve">, J. E., del Valle, M. J., Vannini, V., van </w:t>
      </w:r>
      <w:proofErr w:type="spellStart"/>
      <w:r w:rsidRPr="00001A62">
        <w:t>Sinderen</w:t>
      </w:r>
      <w:proofErr w:type="spellEnd"/>
      <w:r w:rsidRPr="00001A62">
        <w:t>, D., Taranto, M. P., de Valdez, G. F., de Giori, G. S., &amp; Sesma, F. (2011). B</w:t>
      </w:r>
      <w:r w:rsidRPr="00001A62">
        <w:rPr>
          <w:rFonts w:ascii="Cambria Math" w:hAnsi="Cambria Math" w:cs="Cambria Math"/>
        </w:rPr>
        <w:t>‐</w:t>
      </w:r>
      <w:r w:rsidRPr="00001A62">
        <w:t xml:space="preserve">Group vitamin production by lactic acid bacteria – current knowledge and potential applications. </w:t>
      </w:r>
      <w:r w:rsidRPr="00001A62">
        <w:rPr>
          <w:i/>
          <w:iCs/>
        </w:rPr>
        <w:t>Journal of Applied Microbiology</w:t>
      </w:r>
      <w:r w:rsidRPr="00001A62">
        <w:t xml:space="preserve">, </w:t>
      </w:r>
      <w:r w:rsidRPr="00001A62">
        <w:rPr>
          <w:i/>
          <w:iCs/>
        </w:rPr>
        <w:t>111</w:t>
      </w:r>
      <w:r w:rsidRPr="00001A62">
        <w:t>(6), 1297–1309. https://doi.org/10.1111/j.1365-2672.2011.05157.x</w:t>
      </w:r>
    </w:p>
    <w:p w14:paraId="4FB7A698" w14:textId="77777777" w:rsidR="00001A62" w:rsidRPr="00001A62" w:rsidRDefault="00001A62" w:rsidP="00001A62">
      <w:pPr>
        <w:pStyle w:val="Bibliography"/>
      </w:pPr>
      <w:r w:rsidRPr="00001A62">
        <w:t xml:space="preserve">Lloyd-Price, J., Arze, C., Ananthakrishnan, A. N., Schirmer, M., Avila-Pacheco, J., Poon, T. W., Andrews, E., Ajami, N. J., Bonham, K. S., Brislawn, C. J., Casero, D., Courtney, H., Gonzalez, A., Graeber, T. G., Hall, A. B., Lake, K., Landers, C. J., Mallick, H., Plichta, D. R., … </w:t>
      </w:r>
      <w:proofErr w:type="spellStart"/>
      <w:r w:rsidRPr="00001A62">
        <w:t>Huttenhower</w:t>
      </w:r>
      <w:proofErr w:type="spellEnd"/>
      <w:r w:rsidRPr="00001A62">
        <w:t xml:space="preserve">, C. (2019). Multi-omics of the gut microbial ecosystem in </w:t>
      </w:r>
      <w:r w:rsidRPr="00001A62">
        <w:lastRenderedPageBreak/>
        <w:t xml:space="preserve">inflammatory bowel diseases. </w:t>
      </w:r>
      <w:r w:rsidRPr="00001A62">
        <w:rPr>
          <w:i/>
          <w:iCs/>
        </w:rPr>
        <w:t>Nature</w:t>
      </w:r>
      <w:r w:rsidRPr="00001A62">
        <w:t xml:space="preserve">, </w:t>
      </w:r>
      <w:r w:rsidRPr="00001A62">
        <w:rPr>
          <w:i/>
          <w:iCs/>
        </w:rPr>
        <w:t>569</w:t>
      </w:r>
      <w:r w:rsidRPr="00001A62">
        <w:t>(7758), 655–662. https://doi.org/10.1038/s41586-019-1237-9</w:t>
      </w:r>
    </w:p>
    <w:p w14:paraId="537EF966" w14:textId="77777777" w:rsidR="00001A62" w:rsidRPr="00001A62" w:rsidRDefault="00001A62" w:rsidP="00001A62">
      <w:pPr>
        <w:pStyle w:val="Bibliography"/>
      </w:pPr>
      <w:r w:rsidRPr="00001A62">
        <w:t xml:space="preserve">Maier, E., Anderson, R. C., &amp; Roy, N. C. (2014). Understanding How Commensal Obligate Anaerobic Bacteria Regulate Immune Functions in the Large Intestine. </w:t>
      </w:r>
      <w:r w:rsidRPr="00001A62">
        <w:rPr>
          <w:i/>
          <w:iCs/>
        </w:rPr>
        <w:t>Nutrients</w:t>
      </w:r>
      <w:r w:rsidRPr="00001A62">
        <w:t xml:space="preserve">, </w:t>
      </w:r>
      <w:r w:rsidRPr="00001A62">
        <w:rPr>
          <w:i/>
          <w:iCs/>
        </w:rPr>
        <w:t>7</w:t>
      </w:r>
      <w:r w:rsidRPr="00001A62">
        <w:t>(1), 45–73. https://doi.org/10.3390/nu7010045</w:t>
      </w:r>
    </w:p>
    <w:p w14:paraId="49329246" w14:textId="77777777" w:rsidR="00001A62" w:rsidRPr="00001A62" w:rsidRDefault="00001A62" w:rsidP="00001A62">
      <w:pPr>
        <w:pStyle w:val="Bibliography"/>
      </w:pPr>
      <w:proofErr w:type="spellStart"/>
      <w:r w:rsidRPr="00001A62">
        <w:t>Mukhopadhya</w:t>
      </w:r>
      <w:proofErr w:type="spellEnd"/>
      <w:r w:rsidRPr="00001A62">
        <w:t xml:space="preserve">, I., &amp; Louis, P. (2025). Gut microbiota-derived short-chain fatty acids and their role in human health and disease. </w:t>
      </w:r>
      <w:r w:rsidRPr="00001A62">
        <w:rPr>
          <w:i/>
          <w:iCs/>
        </w:rPr>
        <w:t>Nature Reviews Microbiology</w:t>
      </w:r>
      <w:r w:rsidRPr="00001A62">
        <w:t xml:space="preserve">, </w:t>
      </w:r>
      <w:r w:rsidRPr="00001A62">
        <w:rPr>
          <w:i/>
          <w:iCs/>
        </w:rPr>
        <w:t>23</w:t>
      </w:r>
      <w:r w:rsidRPr="00001A62">
        <w:t>(10), 635–651. https://doi.org/10.1038/s41579-025-01183-w</w:t>
      </w:r>
    </w:p>
    <w:p w14:paraId="34226790" w14:textId="77777777" w:rsidR="00001A62" w:rsidRPr="00001A62" w:rsidRDefault="00001A62" w:rsidP="00001A62">
      <w:pPr>
        <w:pStyle w:val="Bibliography"/>
      </w:pPr>
      <w:r w:rsidRPr="00001A62">
        <w:t xml:space="preserve">Nakamura, A., &amp; Matsumoto, M. (2025). Role of polyamines in intestinal mucosal barrier function. </w:t>
      </w:r>
      <w:r w:rsidRPr="00001A62">
        <w:rPr>
          <w:i/>
          <w:iCs/>
        </w:rPr>
        <w:t>Seminars in Immunopathology</w:t>
      </w:r>
      <w:r w:rsidRPr="00001A62">
        <w:t xml:space="preserve">, </w:t>
      </w:r>
      <w:r w:rsidRPr="00001A62">
        <w:rPr>
          <w:i/>
          <w:iCs/>
        </w:rPr>
        <w:t>47</w:t>
      </w:r>
      <w:r w:rsidRPr="00001A62">
        <w:t>(1), 9. https://doi.org/10.1007/s00281-024-01035-4</w:t>
      </w:r>
    </w:p>
    <w:p w14:paraId="26EBDAE0" w14:textId="77777777" w:rsidR="00001A62" w:rsidRPr="00001A62" w:rsidRDefault="00001A62" w:rsidP="00001A62">
      <w:pPr>
        <w:pStyle w:val="Bibliography"/>
      </w:pPr>
      <w:r w:rsidRPr="00001A62">
        <w:t xml:space="preserve">Paone, P., &amp; Cani, P. D. (2020). Mucus barrier, mucins and gut microbiota: The expected slimy partners? </w:t>
      </w:r>
      <w:r w:rsidRPr="00001A62">
        <w:rPr>
          <w:i/>
          <w:iCs/>
        </w:rPr>
        <w:t>Gut</w:t>
      </w:r>
      <w:r w:rsidRPr="00001A62">
        <w:t xml:space="preserve">, </w:t>
      </w:r>
      <w:r w:rsidRPr="00001A62">
        <w:rPr>
          <w:i/>
          <w:iCs/>
        </w:rPr>
        <w:t>69</w:t>
      </w:r>
      <w:r w:rsidRPr="00001A62">
        <w:t>(12), 2232–2243. https://doi.org/10.1136/gutjnl-2020-322260</w:t>
      </w:r>
    </w:p>
    <w:p w14:paraId="41389BDE" w14:textId="77777777" w:rsidR="00001A62" w:rsidRPr="00001A62" w:rsidRDefault="00001A62" w:rsidP="00001A62">
      <w:pPr>
        <w:pStyle w:val="Bibliography"/>
      </w:pPr>
      <w:proofErr w:type="spellStart"/>
      <w:r w:rsidRPr="00001A62">
        <w:t>Pessione</w:t>
      </w:r>
      <w:proofErr w:type="spellEnd"/>
      <w:r w:rsidRPr="00001A62">
        <w:t xml:space="preserve">, E. (2012). Lactic acid bacteria contribution to gut microbiota complexity: Lights and shadows. </w:t>
      </w:r>
      <w:r w:rsidRPr="00001A62">
        <w:rPr>
          <w:i/>
          <w:iCs/>
        </w:rPr>
        <w:t>Frontiers in Cellular and Infection Microbiology</w:t>
      </w:r>
      <w:r w:rsidRPr="00001A62">
        <w:t xml:space="preserve">, </w:t>
      </w:r>
      <w:r w:rsidRPr="00001A62">
        <w:rPr>
          <w:i/>
          <w:iCs/>
        </w:rPr>
        <w:t>2</w:t>
      </w:r>
      <w:r w:rsidRPr="00001A62">
        <w:t>. https://doi.org/10.3389/fcimb.2012.00086</w:t>
      </w:r>
    </w:p>
    <w:p w14:paraId="33C05AFB" w14:textId="77777777" w:rsidR="00001A62" w:rsidRPr="00001A62" w:rsidRDefault="00001A62" w:rsidP="00001A62">
      <w:pPr>
        <w:pStyle w:val="Bibliography"/>
      </w:pPr>
      <w:r w:rsidRPr="00001A62">
        <w:t xml:space="preserve">Petersen, C., &amp; Round, J. L. (2014). Defining dysbiosis and its influence on host immunity and disease. </w:t>
      </w:r>
      <w:r w:rsidRPr="00001A62">
        <w:rPr>
          <w:i/>
          <w:iCs/>
        </w:rPr>
        <w:t>Cellular Microbiology</w:t>
      </w:r>
      <w:r w:rsidRPr="00001A62">
        <w:t xml:space="preserve">, </w:t>
      </w:r>
      <w:r w:rsidRPr="00001A62">
        <w:rPr>
          <w:i/>
          <w:iCs/>
        </w:rPr>
        <w:t>16</w:t>
      </w:r>
      <w:r w:rsidRPr="00001A62">
        <w:t>(7), 1024–1033. https://doi.org/10.1111/cmi.12308</w:t>
      </w:r>
    </w:p>
    <w:p w14:paraId="756F2606" w14:textId="77777777" w:rsidR="00001A62" w:rsidRPr="00001A62" w:rsidRDefault="00001A62" w:rsidP="00001A62">
      <w:pPr>
        <w:pStyle w:val="Bibliography"/>
      </w:pPr>
      <w:r w:rsidRPr="00001A62">
        <w:t xml:space="preserve">Pickard, J. M., Zeng, M. Y., Caruso, R., &amp; Núñez, G. (2017). Gut microbiota: Role in pathogen colonization, immune responses, and inflammatory disease. </w:t>
      </w:r>
      <w:r w:rsidRPr="00001A62">
        <w:rPr>
          <w:i/>
          <w:iCs/>
        </w:rPr>
        <w:t>Immunological Reviews</w:t>
      </w:r>
      <w:r w:rsidRPr="00001A62">
        <w:t xml:space="preserve">, </w:t>
      </w:r>
      <w:r w:rsidRPr="00001A62">
        <w:rPr>
          <w:i/>
          <w:iCs/>
        </w:rPr>
        <w:t>279</w:t>
      </w:r>
      <w:r w:rsidRPr="00001A62">
        <w:t>(1), 70–89. https://doi.org/10.1111/imr.12567</w:t>
      </w:r>
    </w:p>
    <w:p w14:paraId="4412A206" w14:textId="77777777" w:rsidR="00001A62" w:rsidRPr="00001A62" w:rsidRDefault="00001A62" w:rsidP="00001A62">
      <w:pPr>
        <w:pStyle w:val="Bibliography"/>
      </w:pPr>
      <w:r w:rsidRPr="00001A62">
        <w:lastRenderedPageBreak/>
        <w:t xml:space="preserve">Raetz, C. R. H., &amp; Whitfield, C. (2002). Lipopolysaccharide endotoxins. </w:t>
      </w:r>
      <w:r w:rsidRPr="00001A62">
        <w:rPr>
          <w:i/>
          <w:iCs/>
        </w:rPr>
        <w:t>Annual Review of Biochemistry</w:t>
      </w:r>
      <w:r w:rsidRPr="00001A62">
        <w:t xml:space="preserve">, </w:t>
      </w:r>
      <w:r w:rsidRPr="00001A62">
        <w:rPr>
          <w:i/>
          <w:iCs/>
        </w:rPr>
        <w:t>71</w:t>
      </w:r>
      <w:r w:rsidRPr="00001A62">
        <w:t>(1), 635. https://doi.org/10.1146/annurev.biochem.71.110601.135414</w:t>
      </w:r>
    </w:p>
    <w:p w14:paraId="19DEA4F6" w14:textId="77777777" w:rsidR="00001A62" w:rsidRPr="00001A62" w:rsidRDefault="00001A62" w:rsidP="00001A62">
      <w:pPr>
        <w:pStyle w:val="Bibliography"/>
      </w:pPr>
      <w:r w:rsidRPr="00001A62">
        <w:t xml:space="preserve">Rizzatti, G., Lopetuso, L. R., </w:t>
      </w:r>
      <w:proofErr w:type="spellStart"/>
      <w:r w:rsidRPr="00001A62">
        <w:t>Gibiino</w:t>
      </w:r>
      <w:proofErr w:type="spellEnd"/>
      <w:r w:rsidRPr="00001A62">
        <w:t xml:space="preserve">, G., Binda, C., &amp; </w:t>
      </w:r>
      <w:proofErr w:type="spellStart"/>
      <w:r w:rsidRPr="00001A62">
        <w:t>Gasbarrini</w:t>
      </w:r>
      <w:proofErr w:type="spellEnd"/>
      <w:r w:rsidRPr="00001A62">
        <w:t xml:space="preserve">, A. (2017). Proteobacteria: A Common Factor in Human Diseases. </w:t>
      </w:r>
      <w:r w:rsidRPr="00001A62">
        <w:rPr>
          <w:i/>
          <w:iCs/>
        </w:rPr>
        <w:t>BioMed Research International</w:t>
      </w:r>
      <w:r w:rsidRPr="00001A62">
        <w:t xml:space="preserve">, </w:t>
      </w:r>
      <w:r w:rsidRPr="00001A62">
        <w:rPr>
          <w:i/>
          <w:iCs/>
        </w:rPr>
        <w:t>2017</w:t>
      </w:r>
      <w:r w:rsidRPr="00001A62">
        <w:t>, 9351507. https://doi.org/10.1155/2017/9351507</w:t>
      </w:r>
    </w:p>
    <w:p w14:paraId="0D6B309C" w14:textId="77777777" w:rsidR="00001A62" w:rsidRPr="00001A62" w:rsidRDefault="00001A62" w:rsidP="00001A62">
      <w:pPr>
        <w:pStyle w:val="Bibliography"/>
      </w:pPr>
      <w:r w:rsidRPr="00001A62">
        <w:t xml:space="preserve">Rossi, M., Amaretti, A., &amp; Raimondi, S. (2011). Folate Production by Probiotic Bacteria. </w:t>
      </w:r>
      <w:r w:rsidRPr="00001A62">
        <w:rPr>
          <w:i/>
          <w:iCs/>
        </w:rPr>
        <w:t>Nutrients</w:t>
      </w:r>
      <w:r w:rsidRPr="00001A62">
        <w:t xml:space="preserve">, </w:t>
      </w:r>
      <w:r w:rsidRPr="00001A62">
        <w:rPr>
          <w:i/>
          <w:iCs/>
        </w:rPr>
        <w:t>3</w:t>
      </w:r>
      <w:r w:rsidRPr="00001A62">
        <w:t>(1), 118–134. https://doi.org/10.3390/nu3010118</w:t>
      </w:r>
    </w:p>
    <w:p w14:paraId="64348FD6" w14:textId="77777777" w:rsidR="00001A62" w:rsidRPr="00001A62" w:rsidRDefault="00001A62" w:rsidP="00001A62">
      <w:pPr>
        <w:pStyle w:val="Bibliography"/>
      </w:pPr>
      <w:r w:rsidRPr="00001A62">
        <w:t xml:space="preserve">Severi, E., Hood, D. W., &amp; Thomas, G. H. (2007). Sialic acid utilization by bacterial pathogens. </w:t>
      </w:r>
      <w:r w:rsidRPr="00001A62">
        <w:rPr>
          <w:i/>
          <w:iCs/>
        </w:rPr>
        <w:t>Microbiology</w:t>
      </w:r>
      <w:r w:rsidRPr="00001A62">
        <w:t xml:space="preserve">, </w:t>
      </w:r>
      <w:r w:rsidRPr="00001A62">
        <w:rPr>
          <w:i/>
          <w:iCs/>
        </w:rPr>
        <w:t>153</w:t>
      </w:r>
      <w:r w:rsidRPr="00001A62">
        <w:t>(9), 2817–2822. https://doi.org/10.1099/mic.0.2007/009480-0</w:t>
      </w:r>
    </w:p>
    <w:p w14:paraId="4F7EE34D" w14:textId="77777777" w:rsidR="00001A62" w:rsidRPr="00001A62" w:rsidRDefault="00001A62" w:rsidP="00001A62">
      <w:pPr>
        <w:pStyle w:val="Bibliography"/>
      </w:pPr>
      <w:r w:rsidRPr="00001A62">
        <w:t xml:space="preserve">Shang, T., Zhang, R., Liu, Y., &amp; Shi, S. (2025). Intestinal oxygen and microbiota crosstalk: Implications for pathogenesis of gastrointestinal diseases and emerging therapeutic strategies. </w:t>
      </w:r>
      <w:r w:rsidRPr="00001A62">
        <w:rPr>
          <w:i/>
          <w:iCs/>
        </w:rPr>
        <w:t>Gut Pathogens</w:t>
      </w:r>
      <w:r w:rsidRPr="00001A62">
        <w:t xml:space="preserve">, </w:t>
      </w:r>
      <w:r w:rsidRPr="00001A62">
        <w:rPr>
          <w:i/>
          <w:iCs/>
        </w:rPr>
        <w:t>17</w:t>
      </w:r>
      <w:r w:rsidRPr="00001A62">
        <w:t>(1), 100. https://doi.org/10.1186/s13099-025-00783-4</w:t>
      </w:r>
    </w:p>
    <w:p w14:paraId="51E2E3A7" w14:textId="77777777" w:rsidR="00001A62" w:rsidRPr="00001A62" w:rsidRDefault="00001A62" w:rsidP="00001A62">
      <w:pPr>
        <w:pStyle w:val="Bibliography"/>
      </w:pPr>
      <w:r w:rsidRPr="00001A62">
        <w:t xml:space="preserve">Singh, V., Lee, G., Son, H., Koh, H., Kim, E. S., Unno, T., &amp; Shin, J.-H. (2023). Butyrate producers, “The Sentinel of Gut”: Their intestinal significance with and beyond butyrate, and prospective use as microbial therapeutics. </w:t>
      </w:r>
      <w:r w:rsidRPr="00001A62">
        <w:rPr>
          <w:i/>
          <w:iCs/>
        </w:rPr>
        <w:t>Frontiers in Microbiology</w:t>
      </w:r>
      <w:r w:rsidRPr="00001A62">
        <w:t xml:space="preserve">, </w:t>
      </w:r>
      <w:r w:rsidRPr="00001A62">
        <w:rPr>
          <w:i/>
          <w:iCs/>
        </w:rPr>
        <w:t>13</w:t>
      </w:r>
      <w:r w:rsidRPr="00001A62">
        <w:t>. https://doi.org/10.3389/fmicb.2022.1103836</w:t>
      </w:r>
    </w:p>
    <w:p w14:paraId="08445FFA" w14:textId="77777777" w:rsidR="00001A62" w:rsidRPr="00001A62" w:rsidRDefault="00001A62" w:rsidP="00001A62">
      <w:pPr>
        <w:pStyle w:val="Bibliography"/>
      </w:pPr>
      <w:proofErr w:type="spellStart"/>
      <w:r w:rsidRPr="00001A62">
        <w:t>Tailford</w:t>
      </w:r>
      <w:proofErr w:type="spellEnd"/>
      <w:r w:rsidRPr="00001A62">
        <w:t xml:space="preserve">, L. E., </w:t>
      </w:r>
      <w:proofErr w:type="spellStart"/>
      <w:r w:rsidRPr="00001A62">
        <w:t>Crost</w:t>
      </w:r>
      <w:proofErr w:type="spellEnd"/>
      <w:r w:rsidRPr="00001A62">
        <w:t xml:space="preserve">, E. H., Kavanaugh, D., &amp; Juge, N. (2015). Mucin glycan foraging in the human gut microbiome. </w:t>
      </w:r>
      <w:r w:rsidRPr="00001A62">
        <w:rPr>
          <w:i/>
          <w:iCs/>
        </w:rPr>
        <w:t>Frontiers in Genetics</w:t>
      </w:r>
      <w:r w:rsidRPr="00001A62">
        <w:t xml:space="preserve">, </w:t>
      </w:r>
      <w:r w:rsidRPr="00001A62">
        <w:rPr>
          <w:i/>
          <w:iCs/>
        </w:rPr>
        <w:t>6</w:t>
      </w:r>
      <w:r w:rsidRPr="00001A62">
        <w:t>. https://doi.org/10.3389/fgene.2015.00081</w:t>
      </w:r>
    </w:p>
    <w:p w14:paraId="4222B949" w14:textId="77777777" w:rsidR="00001A62" w:rsidRPr="00001A62" w:rsidRDefault="00001A62" w:rsidP="00001A62">
      <w:pPr>
        <w:pStyle w:val="Bibliography"/>
      </w:pPr>
      <w:r w:rsidRPr="00001A62">
        <w:lastRenderedPageBreak/>
        <w:t xml:space="preserve">Whitfield, C. (2006). Biosynthesis and Assembly of Capsular Polysaccharides in </w:t>
      </w:r>
      <w:r w:rsidRPr="00001A62">
        <w:rPr>
          <w:i/>
          <w:iCs/>
        </w:rPr>
        <w:t>Escherichia coli</w:t>
      </w:r>
      <w:r w:rsidRPr="00001A62">
        <w:t xml:space="preserve">. </w:t>
      </w:r>
      <w:r w:rsidRPr="00001A62">
        <w:rPr>
          <w:i/>
          <w:iCs/>
        </w:rPr>
        <w:t>Annual Review of Biochemistry</w:t>
      </w:r>
      <w:r w:rsidRPr="00001A62">
        <w:t xml:space="preserve">, </w:t>
      </w:r>
      <w:r w:rsidRPr="00001A62">
        <w:rPr>
          <w:i/>
          <w:iCs/>
        </w:rPr>
        <w:t>75</w:t>
      </w:r>
      <w:r w:rsidRPr="00001A62">
        <w:t>(1), 39–68. https://doi.org/10.1146/annurev.biochem.75.103004.142545</w:t>
      </w:r>
    </w:p>
    <w:p w14:paraId="492AF997" w14:textId="77777777" w:rsidR="00001A62" w:rsidRPr="00001A62" w:rsidRDefault="00001A62" w:rsidP="00001A62">
      <w:pPr>
        <w:pStyle w:val="Bibliography"/>
      </w:pPr>
      <w:r w:rsidRPr="00001A62">
        <w:t xml:space="preserve">Zhang, Z. J., Cole, C. G., Coyne, M. J., Lin, H., Dylla, N., Smith, R. C., Pappas, T. E., Townson, S. A., </w:t>
      </w:r>
      <w:proofErr w:type="spellStart"/>
      <w:r w:rsidRPr="00001A62">
        <w:t>Laliwala</w:t>
      </w:r>
      <w:proofErr w:type="spellEnd"/>
      <w:r w:rsidRPr="00001A62">
        <w:t xml:space="preserve">, N., </w:t>
      </w:r>
      <w:proofErr w:type="spellStart"/>
      <w:r w:rsidRPr="00001A62">
        <w:t>Waligurski</w:t>
      </w:r>
      <w:proofErr w:type="spellEnd"/>
      <w:r w:rsidRPr="00001A62">
        <w:t xml:space="preserve">, E., Ramaswamy, R., Woodson, C., Burgo, V., Little, J. C., Moran, D., Rose, A., McMillin, M., McSpadden, E., Sundararajan, A., … Comstock, L. E. (2024). Comprehensive analyses of a large human gut </w:t>
      </w:r>
      <w:proofErr w:type="spellStart"/>
      <w:r w:rsidRPr="00001A62">
        <w:t>Bacteroidales</w:t>
      </w:r>
      <w:proofErr w:type="spellEnd"/>
      <w:r w:rsidRPr="00001A62">
        <w:t xml:space="preserve"> culture collection reveal species- and strain-level diversity and evolution. </w:t>
      </w:r>
      <w:r w:rsidRPr="00001A62">
        <w:rPr>
          <w:i/>
          <w:iCs/>
        </w:rPr>
        <w:t>Cell Host &amp; Microbe</w:t>
      </w:r>
      <w:r w:rsidRPr="00001A62">
        <w:t xml:space="preserve">, </w:t>
      </w:r>
      <w:r w:rsidRPr="00001A62">
        <w:rPr>
          <w:i/>
          <w:iCs/>
        </w:rPr>
        <w:t>32</w:t>
      </w:r>
      <w:r w:rsidRPr="00001A62">
        <w:t>(10), 1853-1867.e5. https://doi.org/10.1016/j.chom.2024.08.016</w:t>
      </w:r>
    </w:p>
    <w:p w14:paraId="0AEF1C3A" w14:textId="10B5E80E" w:rsidR="00040080" w:rsidRDefault="00040080" w:rsidP="00001A62">
      <w:pPr>
        <w:pStyle w:val="Bibliography"/>
      </w:pPr>
      <w:r>
        <w:fldChar w:fldCharType="end"/>
      </w:r>
    </w:p>
    <w:sectPr w:rsidR="00040080" w:rsidSect="0003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121A"/>
    <w:multiLevelType w:val="hybridMultilevel"/>
    <w:tmpl w:val="2814E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C575B"/>
    <w:multiLevelType w:val="hybridMultilevel"/>
    <w:tmpl w:val="0EE231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10A5CDA"/>
    <w:multiLevelType w:val="multilevel"/>
    <w:tmpl w:val="A342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2382C"/>
    <w:multiLevelType w:val="hybridMultilevel"/>
    <w:tmpl w:val="7FB6E5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7C5413"/>
    <w:multiLevelType w:val="hybridMultilevel"/>
    <w:tmpl w:val="45F0800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AE615C"/>
    <w:multiLevelType w:val="hybridMultilevel"/>
    <w:tmpl w:val="ACC6D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B31D57"/>
    <w:multiLevelType w:val="hybridMultilevel"/>
    <w:tmpl w:val="A7EA2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820131"/>
    <w:multiLevelType w:val="hybridMultilevel"/>
    <w:tmpl w:val="8C7E46D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5E1A5162"/>
    <w:multiLevelType w:val="hybridMultilevel"/>
    <w:tmpl w:val="ADBCA55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9823C2"/>
    <w:multiLevelType w:val="hybridMultilevel"/>
    <w:tmpl w:val="FDE28BB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E8707C"/>
    <w:multiLevelType w:val="hybridMultilevel"/>
    <w:tmpl w:val="33F6B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7867924">
    <w:abstractNumId w:val="1"/>
  </w:num>
  <w:num w:numId="2" w16cid:durableId="1291285782">
    <w:abstractNumId w:val="5"/>
  </w:num>
  <w:num w:numId="3" w16cid:durableId="1155027239">
    <w:abstractNumId w:val="3"/>
  </w:num>
  <w:num w:numId="4" w16cid:durableId="546912994">
    <w:abstractNumId w:val="7"/>
  </w:num>
  <w:num w:numId="5" w16cid:durableId="726296576">
    <w:abstractNumId w:val="4"/>
  </w:num>
  <w:num w:numId="6" w16cid:durableId="1187909064">
    <w:abstractNumId w:val="10"/>
  </w:num>
  <w:num w:numId="7" w16cid:durableId="1473910580">
    <w:abstractNumId w:val="9"/>
  </w:num>
  <w:num w:numId="8" w16cid:durableId="209726">
    <w:abstractNumId w:val="0"/>
  </w:num>
  <w:num w:numId="9" w16cid:durableId="2018846306">
    <w:abstractNumId w:val="6"/>
  </w:num>
  <w:num w:numId="10" w16cid:durableId="1264995959">
    <w:abstractNumId w:val="8"/>
  </w:num>
  <w:num w:numId="11" w16cid:durableId="10967471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080"/>
    <w:rsid w:val="00001A62"/>
    <w:rsid w:val="00007349"/>
    <w:rsid w:val="000217B8"/>
    <w:rsid w:val="000309F3"/>
    <w:rsid w:val="000365B2"/>
    <w:rsid w:val="00040080"/>
    <w:rsid w:val="00044C11"/>
    <w:rsid w:val="00074A66"/>
    <w:rsid w:val="0008665A"/>
    <w:rsid w:val="000C7C25"/>
    <w:rsid w:val="00116961"/>
    <w:rsid w:val="00142E50"/>
    <w:rsid w:val="00161462"/>
    <w:rsid w:val="001E22DD"/>
    <w:rsid w:val="00230560"/>
    <w:rsid w:val="002F66E6"/>
    <w:rsid w:val="00337EBD"/>
    <w:rsid w:val="003563E7"/>
    <w:rsid w:val="00380DCC"/>
    <w:rsid w:val="00397FE3"/>
    <w:rsid w:val="003D494A"/>
    <w:rsid w:val="00433B11"/>
    <w:rsid w:val="004C7E2D"/>
    <w:rsid w:val="0051798C"/>
    <w:rsid w:val="00531493"/>
    <w:rsid w:val="00540644"/>
    <w:rsid w:val="005551F2"/>
    <w:rsid w:val="005C6829"/>
    <w:rsid w:val="005F7FA3"/>
    <w:rsid w:val="00610488"/>
    <w:rsid w:val="00671264"/>
    <w:rsid w:val="0067169E"/>
    <w:rsid w:val="006A0420"/>
    <w:rsid w:val="006E2D51"/>
    <w:rsid w:val="00740E83"/>
    <w:rsid w:val="00752B2B"/>
    <w:rsid w:val="0079151E"/>
    <w:rsid w:val="007C12C0"/>
    <w:rsid w:val="00862369"/>
    <w:rsid w:val="008631EB"/>
    <w:rsid w:val="008E25E9"/>
    <w:rsid w:val="00952CA2"/>
    <w:rsid w:val="00977733"/>
    <w:rsid w:val="009841E2"/>
    <w:rsid w:val="009B2395"/>
    <w:rsid w:val="009F2C71"/>
    <w:rsid w:val="009F3472"/>
    <w:rsid w:val="009F3ADE"/>
    <w:rsid w:val="009F5659"/>
    <w:rsid w:val="00A96BA8"/>
    <w:rsid w:val="00AA5E30"/>
    <w:rsid w:val="00AB4B5B"/>
    <w:rsid w:val="00AB693C"/>
    <w:rsid w:val="00AC3659"/>
    <w:rsid w:val="00B23C1F"/>
    <w:rsid w:val="00B41062"/>
    <w:rsid w:val="00B471B2"/>
    <w:rsid w:val="00B54A0C"/>
    <w:rsid w:val="00B5574C"/>
    <w:rsid w:val="00B76536"/>
    <w:rsid w:val="00B92CF2"/>
    <w:rsid w:val="00BA37F1"/>
    <w:rsid w:val="00C52133"/>
    <w:rsid w:val="00C87B62"/>
    <w:rsid w:val="00CA5A19"/>
    <w:rsid w:val="00CE0FEF"/>
    <w:rsid w:val="00D7252F"/>
    <w:rsid w:val="00E356F2"/>
    <w:rsid w:val="00E5130C"/>
    <w:rsid w:val="00E8255F"/>
    <w:rsid w:val="00EB0A95"/>
    <w:rsid w:val="00F86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7D2B9A"/>
  <w15:chartTrackingRefBased/>
  <w15:docId w15:val="{EBCA0E1E-A783-C24C-BB0A-F834E6E11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A95"/>
  </w:style>
  <w:style w:type="paragraph" w:styleId="Heading1">
    <w:name w:val="heading 1"/>
    <w:basedOn w:val="Normal"/>
    <w:next w:val="Normal"/>
    <w:link w:val="Heading1Char"/>
    <w:uiPriority w:val="9"/>
    <w:qFormat/>
    <w:rsid w:val="000400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00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00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00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0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0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00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00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00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0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080"/>
    <w:rPr>
      <w:rFonts w:eastAsiaTheme="majorEastAsia" w:cstheme="majorBidi"/>
      <w:color w:val="272727" w:themeColor="text1" w:themeTint="D8"/>
    </w:rPr>
  </w:style>
  <w:style w:type="paragraph" w:styleId="Title">
    <w:name w:val="Title"/>
    <w:basedOn w:val="Normal"/>
    <w:next w:val="Normal"/>
    <w:link w:val="TitleChar"/>
    <w:uiPriority w:val="10"/>
    <w:qFormat/>
    <w:rsid w:val="00040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080"/>
    <w:pPr>
      <w:spacing w:before="160"/>
      <w:jc w:val="center"/>
    </w:pPr>
    <w:rPr>
      <w:i/>
      <w:iCs/>
      <w:color w:val="404040" w:themeColor="text1" w:themeTint="BF"/>
    </w:rPr>
  </w:style>
  <w:style w:type="character" w:customStyle="1" w:styleId="QuoteChar">
    <w:name w:val="Quote Char"/>
    <w:basedOn w:val="DefaultParagraphFont"/>
    <w:link w:val="Quote"/>
    <w:uiPriority w:val="29"/>
    <w:rsid w:val="00040080"/>
    <w:rPr>
      <w:i/>
      <w:iCs/>
      <w:color w:val="404040" w:themeColor="text1" w:themeTint="BF"/>
    </w:rPr>
  </w:style>
  <w:style w:type="paragraph" w:styleId="ListParagraph">
    <w:name w:val="List Paragraph"/>
    <w:basedOn w:val="Normal"/>
    <w:uiPriority w:val="34"/>
    <w:qFormat/>
    <w:rsid w:val="00040080"/>
    <w:pPr>
      <w:ind w:left="720"/>
      <w:contextualSpacing/>
    </w:pPr>
  </w:style>
  <w:style w:type="character" w:styleId="IntenseEmphasis">
    <w:name w:val="Intense Emphasis"/>
    <w:basedOn w:val="DefaultParagraphFont"/>
    <w:uiPriority w:val="21"/>
    <w:qFormat/>
    <w:rsid w:val="00040080"/>
    <w:rPr>
      <w:i/>
      <w:iCs/>
      <w:color w:val="0F4761" w:themeColor="accent1" w:themeShade="BF"/>
    </w:rPr>
  </w:style>
  <w:style w:type="paragraph" w:styleId="IntenseQuote">
    <w:name w:val="Intense Quote"/>
    <w:basedOn w:val="Normal"/>
    <w:next w:val="Normal"/>
    <w:link w:val="IntenseQuoteChar"/>
    <w:uiPriority w:val="30"/>
    <w:qFormat/>
    <w:rsid w:val="000400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080"/>
    <w:rPr>
      <w:i/>
      <w:iCs/>
      <w:color w:val="0F4761" w:themeColor="accent1" w:themeShade="BF"/>
    </w:rPr>
  </w:style>
  <w:style w:type="character" w:styleId="IntenseReference">
    <w:name w:val="Intense Reference"/>
    <w:basedOn w:val="DefaultParagraphFont"/>
    <w:uiPriority w:val="32"/>
    <w:qFormat/>
    <w:rsid w:val="00040080"/>
    <w:rPr>
      <w:b/>
      <w:bCs/>
      <w:smallCaps/>
      <w:color w:val="0F4761" w:themeColor="accent1" w:themeShade="BF"/>
      <w:spacing w:val="5"/>
    </w:rPr>
  </w:style>
  <w:style w:type="paragraph" w:styleId="Bibliography">
    <w:name w:val="Bibliography"/>
    <w:basedOn w:val="Normal"/>
    <w:next w:val="Normal"/>
    <w:uiPriority w:val="37"/>
    <w:unhideWhenUsed/>
    <w:rsid w:val="00040080"/>
    <w:pPr>
      <w:spacing w:after="0" w:line="480" w:lineRule="auto"/>
      <w:ind w:left="720" w:hanging="720"/>
    </w:pPr>
  </w:style>
  <w:style w:type="table" w:styleId="TableGrid">
    <w:name w:val="Table Grid"/>
    <w:basedOn w:val="TableNormal"/>
    <w:uiPriority w:val="39"/>
    <w:rsid w:val="00A96B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basedOn w:val="DefaultParagraphFont"/>
    <w:rsid w:val="002F66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37D9AE-E106-874F-9D28-4E4017F6A5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11</Pages>
  <Words>16260</Words>
  <Characters>92685</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18</cp:revision>
  <dcterms:created xsi:type="dcterms:W3CDTF">2026-04-27T21:01:00Z</dcterms:created>
  <dcterms:modified xsi:type="dcterms:W3CDTF">2026-05-12T20:36:00Z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id="xgLSyXo1"/&gt;&lt;style id="http://www.zotero.org/styles/apa" locale="en-US" hasBibliography="1" bibliographyStyleHasBeenSet="1"/&gt;&lt;prefs&gt;&lt;pref name="fieldType" value="Field"/&gt;&lt;/prefs&gt;&lt;/data&gt;</vt:lpwstr>
  </property>
</Properties>
</file>