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00177" w14:textId="66CBD321" w:rsidR="005A580A" w:rsidRDefault="005A580A">
      <w:r>
        <w:fldChar w:fldCharType="begin"/>
      </w:r>
      <w:r>
        <w:instrText xml:space="preserve"> ADDIN ZOTERO_ITEM CSL_CITATION {"citationID":"Bp11Kvlt","properties":{"unsorted":false,"formattedCitation":"\\super 1\\nosupersub{}","plainCitation":"1","noteIndex":0},"citationItems":[{"id":7957,"uris":["http://zotero.org/users/13901503/items/GLPYC63R"],"itemData":{"id":7957,"type":"article-journal","abstract":"Species of the Bacteroidales order are among the most abundant and stable bacterial members of the human gut microbiome, with diverse impacts on human health. We cultured and sequenced the genomes of 408 Bacteroidales isolates from healthy human donors representing nine genera and 35 species and performed comparative genomic, gene-specific, metabolomic, and horizontal gene transfer analyses. Families, genera, and species could be grouped based on many distinctive features. We also observed extensive DNA transfer between diverse families, allowing for shared traits and strain evolution. Inter- and intra-species diversity is also apparent in the metabolomic profiling studies. This highly characterized and diverse Bacteroidales culture collection with strain-resolved genomic and metabolomic analyses represents a valuable resource to facilitate informed selection of strains for microbiome reconstitution.","container-title":"Cell Host &amp; Microbe","DOI":"10.1016/j.chom.2024.08.016","ISSN":"1931-3128","issue":"10","journalAbbreviation":"Cell Host &amp; Microbe","page":"1853-1867.e5","source":"ScienceDirect","title":"Comprehensive analyses of a large human gut Bacteroidales culture collection reveal species- and strain-level diversity and evolution","volume":"32","author":[{"family":"Zhang","given":"Zhenrun J."},{"family":"Cole","given":"Cody G."},{"family":"Coyne","given":"Michael J."},{"family":"Lin","given":"Huaiying"},{"family":"Dylla","given":"Nicholas"},{"family":"Smith","given":"Rita C."},{"family":"Pappas","given":"Téa E."},{"family":"Townson","given":"Shannon A."},{"family":"Laliwala","given":"Nina"},{"family":"Waligurski","given":"Emily"},{"family":"Ramaswamy","given":"Ramanujam"},{"family":"Woodson","given":"Che"},{"family":"Burgo","given":"Victoria"},{"family":"Little","given":"Jessica C."},{"family":"Moran","given":"David"},{"family":"Rose","given":"Amber"},{"family":"McMillin","given":"Mary"},{"family":"McSpadden","given":"Emma"},{"family":"Sundararajan","given":"Anitha"},{"family":"Sidebottom","given":"Ashley M."},{"family":"Pamer","given":"Eric G."},{"family":"Comstock","given":"Laurie E."}],"issued":{"date-parts":[["2024",10,9]]}}}],"schema":"https://github.com/citation-style-language/schema/raw/master/csl-citation.json"} </w:instrText>
      </w:r>
      <w:r>
        <w:fldChar w:fldCharType="separate"/>
      </w:r>
      <w:r w:rsidRPr="005A580A">
        <w:rPr>
          <w:rFonts w:ascii="Aptos" w:cs="Times New Roman"/>
          <w:kern w:val="0"/>
          <w:vertAlign w:val="superscript"/>
        </w:rPr>
        <w:t>1</w:t>
      </w:r>
      <w:r>
        <w:fldChar w:fldCharType="end"/>
      </w:r>
    </w:p>
    <w:p w14:paraId="2EBE1C5A" w14:textId="14306040" w:rsidR="008631EB" w:rsidRDefault="005A580A">
      <w:r>
        <w:fldChar w:fldCharType="begin"/>
      </w:r>
      <w:r>
        <w:instrText xml:space="preserve"> ADDIN ZOTERO_ITEM CSL_CITATION {"citationID":"vTaZLalq","properties":{"unsorted":false,"formattedCitation":"\\super 2\\uc0\\u8211{}4\\nosupersub{}","plainCitation":"2–4","noteIndex":0},"citationItems":[{"id":7969,"uris":["http://zotero.org/users/13901503/items/8MLLADDH"],"itemData":{"id":7969,"type":"article-journal","abstract":"Effects of aerobic conditions on strictly anaerobic microorganisms belonging to diverse taxa (clostridia, acetogenic bacteria, lactic acid bacteria, bacteroids, sulfate-reducing bacteria, and methanogenic archaea) and differing considerably in their oxygen resistance have been reviewed, with emphasis on the role of aerotolerance in the ecology of anaerobes. Consideration is given to components of nutritive media for anaerobe culturing, which decrease the toxic effects of oxygen and there by contribute signiﬁcantly to maintenance and storage of industrial cultures of strictly anaerobic microorganisms. Physiological and biochemical factors are described, accounting for the relative resistance of many strict anaerobes to oxygen and products of incomplete reduction thereof. Speciﬁc attention is given to regulation of enzymes of antioxidative defense, operating in the cells of strict anaerobes under the conditions of oxidative stress caused by oxygen, superoxide anion, or hydrogen peroxide.","container-title":"Applied Biochemistry and Microbiology","DOI":"10.1134/S0003683807060014","ISSN":"0003-6838, 1608-3024","issue":"6","journalAbbreviation":"Appl Biochem Microbiol","language":"en","license":"https://www.springernature.com/gp/researchers/text-and-data-mining","page":"567-582","source":"DOI.org (Crossref)","title":"Aerotolerance of strictly anaerobic microorganisms and factors of defense against oxidative stress: A review","title-short":"Aerotolerance of strictly anaerobic microorganisms and factors of defense against oxidative stress","volume":"43","author":[{"family":"Brioukhanov","given":"A. L."},{"family":"Netrusov","given":"A. I."}],"issued":{"date-parts":[["2007",11]]}}},{"id":7973,"uris":["http://zotero.org/users/13901503/items/WMDLD3R2"],"itemData":{"id":7973,"type":"article-journal","abstract":"Lactate, traditionally seen as a byproduct of anaerobic metabolism, has gained attention for its dual role in human health. While it is associated with muscle fatigue, lactate also plays a crucial role in various physiological and pathological processes. This review explores lactate’s dual nature as both beneficial and detrimental. Under normal physiological conditions, lactate is an essential energy substrate, involved in the Cori cycle, where it is converted back to glucose in the liver. However, excessive lactate accumulation is linked to health issues, including cancer, metabolic disorders, and neurological diseases. The Warburg effect in cancer, characterized by increased lactate production even in oxygen-rich environments, promotes tumor progression and therapy resistance. In diseases like malaria and ischemic stroke, high lactate levels contribute to tissue damage and metabolic disturbances. Recent research also highlights lactate’s beneficial roles, including regulation of immune responses, enhanced exercise performance, and neuronal signaling. Furthermore, gut microbiota significantly impacts lactate metabolism, where beneficial bacteria use lactate to maintain gut health, while some pathogenic bacteria exacerbate disease through excess lactate production. Emerging therapeutic potential of lactate, including lactate dehydrogenase inhibitors, offers promising treatment avenues. This review provides a comprehensive overview of lactate’s complex role in health and disease, emphasizing the need for targeted strategies to harness its benefits while mitigating its harmful effects.","container-title":"Frontiers in Physiology","DOI":"10.3389/fphys.2025.1621358","ISSN":"1664-042X","journalAbbreviation":"Front. Physiol.","language":"English","publisher":"Frontiers","source":"Frontiers","title":"Dual role of lactate in human health and disease","URL":"https://www.frontiersin.org/journals/physiology/articles/10.3389/fphys.2025.1621358/full","volume":"16","author":[{"family":"Kumar","given":"Sudhir"},{"family":"Sahu","given":"Neha"},{"family":"Jawaid","given":"Talha"},{"family":"Jayasingh Chellammal","given":"Hanish Singh"},{"family":"Upadhyay","given":"Prabhat"}],"accessed":{"date-parts":[["2026",5,5]]},"issued":{"date-parts":[["2025",8,1]]}}},{"id":7966,"uris":["http://zotero.org/users/13901503/items/CRNAMB9R"],"itemData":{"id":7966,"type":"article-journal","abstract":"Lactic Acid Bacteria (LAB) are ancient organisms that cannot biosynthesize functional cytochromes, and cannot get ATP from respiration. Besides sugar fermentation, they evolved electrogenic decarboxylations and ATP-forming deiminations. The right balance between sugar fermentation and decarboxylation/deimination ensures buffered environments thus enabling LAB to survive in human gastric trait and colonize gut. A complex molecular cross-talk between LAB and host exists. LAB moonlight proteins are made in response to gut stimuli and promote bacterial adhesion to mucosa and stimulate immune cells. Similarly, when LAB are present, human enterocytes activate expression of specific genes only. Furthermore, LAB antagonistic relationships with other microorganisms constitutes the basis for their antiinfective role. Histamine and tyramine are LAB bioactive catabolites that act on the CNS, causing hypertension and allergies. Nevertheless, some LAB biosynthesize both GABA, that has relaxing effect on gut smooth muscles, and beta-phenylethylamine, that controls satiety and mood. Since LAB have reduced amino acid biosynthetic abilities, they developed a sophisticated proteolytic system, that is also involved in antihypertensive and opiod peptide generation from milk proteins.Short-chain fatty acids are glycolytic and phosphoketolase end-products, regulating epithelial cellproliferation and differentiation. Nevertheless, they constitute a supplementary energy source for the host, causing weight gain. Human metabolism can also be affected by anabolic LAB products such as conjugated linoleic acids (CLA). Some CLA isomers reduce cancer cell viability and ameliorate insulin resistance, while others lower the HDL/LDL ratio and modify eicosanoid production, with detrimental health effects.A further appreciated LAB feature is the ability to fix selenium into seleno-cysteine Thus opening interesting perspectives for their utilization as antioxidant nutraceutical vectors.","container-title":"Frontiers in Cellular and Infection Microbiology","DOI":"10.3389/fcimb.2012.00086","ISSN":"2235-2988","journalAbbreviation":"Front. Cell. Infect. Microbiol.","language":"English","publisher":"Frontiers","source":"Frontiers","title":"Lactic acid bacteria contribution to gut microbiota complexity: lights and shadows","title-short":"Lactic acid bacteria contribution to gut microbiota complexity","URL":"https://www.frontiersin.org/journals/cellular-and-infection-microbiology/articles/10.3389/fcimb.2012.00086/full","volume":"2","author":[{"family":"Pessione","given":"Enrica"}],"accessed":{"date-parts":[["2026",5,5]]},"issued":{"date-parts":[["2012",6,22]]}}}],"schema":"https://github.com/citation-style-language/schema/raw/master/csl-citation.json"} </w:instrText>
      </w:r>
      <w:r>
        <w:fldChar w:fldCharType="separate"/>
      </w:r>
      <w:r w:rsidRPr="005A580A">
        <w:rPr>
          <w:rFonts w:ascii="Aptos" w:cs="Times New Roman"/>
          <w:kern w:val="0"/>
          <w:vertAlign w:val="superscript"/>
        </w:rPr>
        <w:t>2–4</w:t>
      </w:r>
      <w:r>
        <w:fldChar w:fldCharType="end"/>
      </w:r>
    </w:p>
    <w:p w14:paraId="7CDD3504" w14:textId="41679B94" w:rsidR="005A580A" w:rsidRDefault="005A580A">
      <w:r>
        <w:fldChar w:fldCharType="begin"/>
      </w:r>
      <w:r>
        <w:instrText xml:space="preserve"> ADDIN ZOTERO_ITEM CSL_CITATION {"citationID":"RNBwtKru","properties":{"unsorted":false,"formattedCitation":"\\super 5\\nosupersub{}","plainCitation":"5","noteIndex":0},"citationItems":[{"id":7834,"uris":["http://zotero.org/users/13901503/items/U5WKHGBG"],"itemData":{"id":7834,"type":"chapter","abstract":"Lipopolysaccharides (LPS) are important outer membrane components of gram-negative bacteria. They are large amphipathic glycoconjugates that typically consist of a lipid domain (hydrophobic) attached to a core oligosaccharide and a distal polysaccharide. These molecules are also known as lipoglycans due to the presence of lipid and sugar molecules. The lipopolysaccharides are composed of: 1. Lipid A: the hydrophobic domain, which is an endotoxin and the main virulence factor. 2. O-antigen, the repeating hydrophilic distal oligosaccharide. 3. The hydrophilic core polysaccharide. The lipid A component varies from one organism to another and is essential in imparting specific pathogenic attributes to the bacteria. Inherent to gram-negative bacteria, LPS provides integrity to the bacterial cell and a mechanism of interaction of the bacteria to other surfaces. Most bacterial LPS molecules are thermostable and generate a robust pro-inflammatory stimulus for the immune system in mammals. Since different types of LPS are present in different genera of gram-negative bacteria, LPS is used for serotyping gram-negative bacteria. More specifically, the O-antigen imparts serological distinction to the bacterial species. Also, the size and composition of LPS are highly dynamic among bacterial species. Due to its unique properties, LPS has gained considerable research focus to understand its complex structure, biogenesis, transport, and assembly. Besides, LPS is also a recognized biomarker due to its central role in host-pathogen interaction that facilitates the infection process.","call-number":"NBK554414","container-title":"StatPearls","language":"eng","license":"Copyright © 2026, StatPearls Publishing LLC.","note":"PMID: 32119301","publisher":"StatPearls Publishing","publisher-place":"Treasure Island (FL)","source":"PubMed","title":"Biochemistry, Lipopolysaccharide","URL":"http://www.ncbi.nlm.nih.gov/books/NBK554414/","author":[{"family":"Farhana","given":"Aisha"},{"family":"Khan","given":"Yusuf S."}],"accessed":{"date-parts":[["2026",4,27]]},"issued":{"date-parts":[["2026"]]}}}],"schema":"https://github.com/citation-style-language/schema/raw/master/csl-citation.json"} </w:instrText>
      </w:r>
      <w:r>
        <w:fldChar w:fldCharType="separate"/>
      </w:r>
      <w:r w:rsidRPr="005A580A">
        <w:rPr>
          <w:rFonts w:ascii="Aptos" w:cs="Times New Roman"/>
          <w:kern w:val="0"/>
          <w:vertAlign w:val="superscript"/>
        </w:rPr>
        <w:t>5</w:t>
      </w:r>
      <w:r>
        <w:fldChar w:fldCharType="end"/>
      </w:r>
    </w:p>
    <w:p w14:paraId="5444ABCA" w14:textId="695B8350" w:rsidR="005A580A" w:rsidRDefault="005A580A">
      <w:r>
        <w:fldChar w:fldCharType="begin"/>
      </w:r>
      <w:r>
        <w:instrText xml:space="preserve"> ADDIN ZOTERO_ITEM CSL_CITATION {"citationID":"qqkDYMwT","properties":{"unsorted":false,"formattedCitation":"\\super 6\\nosupersub{}","plainCitation":"6","noteIndex":0},"citationItems":[{"id":4207,"uris":["http://zotero.org/users/13901503/items/P97XPWPJ"],"itemData":{"id":4207,"type":"article-journal","abstract":"Sialic acid occupies the terminal position within glycan molecules on the surfaces of many vertebrate cells, where it functions in diverse cellular processes such as intercellular adhesion and cell signalling. Pathogenic bacteria have evolved to use this molecule beneficially in at least two different ways: they can coat themselves in sialic acid, providing resistance to components of the host&amp;apos;s innate immune response, or they can use it as a nutrient. Sialic acid itself is either synthesized de novo by these bacteria or scavenged directly from the host. In this mini-review we will summarize recent findings relating to sialic acid transport, modification of sialic acid by O-acetylation, and the mechanisms of sialic acid-mediated complement resistance.","container-title":"Microbiology","DOI":"10.1099/mic.0.2007/009480-0","ISSN":"1465-2080","issue":"9","page":"2817-2822","publisher":"Microbiology Society,","source":"Microbiology Society Journals","title":"Sialic acid utilization by bacterial pathogens","volume":"153","author":[{"family":"Severi","given":"Emmanuele"},{"family":"Hood","given":"Derek W."},{"family":"Thomas","given":"Gavin H."}],"issued":{"date-parts":[["2007"]]}}}],"schema":"https://github.com/citation-style-language/schema/raw/master/csl-citation.json"} </w:instrText>
      </w:r>
      <w:r>
        <w:fldChar w:fldCharType="separate"/>
      </w:r>
      <w:r w:rsidRPr="005A580A">
        <w:rPr>
          <w:rFonts w:ascii="Aptos" w:cs="Times New Roman"/>
          <w:kern w:val="0"/>
          <w:vertAlign w:val="superscript"/>
        </w:rPr>
        <w:t>6</w:t>
      </w:r>
      <w:r>
        <w:fldChar w:fldCharType="end"/>
      </w:r>
    </w:p>
    <w:p w14:paraId="11CD5A4C" w14:textId="77777777" w:rsidR="005A580A" w:rsidRPr="005A580A" w:rsidRDefault="005A580A" w:rsidP="005A580A">
      <w:pPr>
        <w:pStyle w:val="Bibliography"/>
        <w:rPr>
          <w:rFonts w:ascii="Aptos"/>
        </w:rPr>
      </w:pPr>
      <w:r>
        <w:fldChar w:fldCharType="begin"/>
      </w:r>
      <w:r>
        <w:instrText xml:space="preserve"> ADDIN ZOTERO_BIBL {"uncited":[],"omitted":[],"custom":[]} CSL_BIBLIOGRAPHY </w:instrText>
      </w:r>
      <w:r>
        <w:fldChar w:fldCharType="separate"/>
      </w:r>
      <w:r w:rsidRPr="005A580A">
        <w:rPr>
          <w:rFonts w:ascii="Aptos"/>
        </w:rPr>
        <w:t>1.</w:t>
      </w:r>
      <w:r w:rsidRPr="005A580A">
        <w:rPr>
          <w:rFonts w:ascii="Aptos"/>
        </w:rPr>
        <w:tab/>
        <w:t xml:space="preserve">Zhang, Z. J. </w:t>
      </w:r>
      <w:r w:rsidRPr="005A580A">
        <w:rPr>
          <w:rFonts w:ascii="Aptos"/>
          <w:i/>
          <w:iCs/>
        </w:rPr>
        <w:t>et al.</w:t>
      </w:r>
      <w:r w:rsidRPr="005A580A">
        <w:rPr>
          <w:rFonts w:ascii="Aptos"/>
        </w:rPr>
        <w:t xml:space="preserve"> Comprehensive analyses of a large human gut </w:t>
      </w:r>
      <w:proofErr w:type="spellStart"/>
      <w:r w:rsidRPr="005A580A">
        <w:rPr>
          <w:rFonts w:ascii="Aptos"/>
        </w:rPr>
        <w:t>Bacteroidales</w:t>
      </w:r>
      <w:proofErr w:type="spellEnd"/>
      <w:r w:rsidRPr="005A580A">
        <w:rPr>
          <w:rFonts w:ascii="Aptos"/>
        </w:rPr>
        <w:t xml:space="preserve"> culture collection reveal species- and strain-level diversity and evolution. </w:t>
      </w:r>
      <w:r w:rsidRPr="005A580A">
        <w:rPr>
          <w:rFonts w:ascii="Aptos"/>
          <w:i/>
          <w:iCs/>
        </w:rPr>
        <w:t>Cell Host &amp; Microbe</w:t>
      </w:r>
      <w:r w:rsidRPr="005A580A">
        <w:rPr>
          <w:rFonts w:ascii="Aptos"/>
        </w:rPr>
        <w:t xml:space="preserve"> </w:t>
      </w:r>
      <w:r w:rsidRPr="005A580A">
        <w:rPr>
          <w:rFonts w:ascii="Aptos"/>
          <w:b/>
          <w:bCs/>
        </w:rPr>
        <w:t>32</w:t>
      </w:r>
      <w:r w:rsidRPr="005A580A">
        <w:rPr>
          <w:rFonts w:ascii="Aptos"/>
        </w:rPr>
        <w:t>, 1853-1867.e5 (2024).</w:t>
      </w:r>
    </w:p>
    <w:p w14:paraId="0E0DDD05" w14:textId="77777777" w:rsidR="005A580A" w:rsidRPr="005A580A" w:rsidRDefault="005A580A" w:rsidP="005A580A">
      <w:pPr>
        <w:pStyle w:val="Bibliography"/>
        <w:rPr>
          <w:rFonts w:ascii="Aptos"/>
        </w:rPr>
      </w:pPr>
      <w:r w:rsidRPr="005A580A">
        <w:rPr>
          <w:rFonts w:ascii="Aptos"/>
        </w:rPr>
        <w:t>2.</w:t>
      </w:r>
      <w:r w:rsidRPr="005A580A">
        <w:rPr>
          <w:rFonts w:ascii="Aptos"/>
        </w:rPr>
        <w:tab/>
        <w:t xml:space="preserve">Brioukhanov, A. L. &amp; Netrusov, A. I. Aerotolerance of strictly anaerobic microorganisms and factors of defense against oxidative stress: A review. </w:t>
      </w:r>
      <w:r w:rsidRPr="005A580A">
        <w:rPr>
          <w:rFonts w:ascii="Aptos"/>
          <w:i/>
          <w:iCs/>
        </w:rPr>
        <w:t xml:space="preserve">Appl </w:t>
      </w:r>
      <w:proofErr w:type="spellStart"/>
      <w:r w:rsidRPr="005A580A">
        <w:rPr>
          <w:rFonts w:ascii="Aptos"/>
          <w:i/>
          <w:iCs/>
        </w:rPr>
        <w:t>Biochem</w:t>
      </w:r>
      <w:proofErr w:type="spellEnd"/>
      <w:r w:rsidRPr="005A580A">
        <w:rPr>
          <w:rFonts w:ascii="Aptos"/>
          <w:i/>
          <w:iCs/>
        </w:rPr>
        <w:t xml:space="preserve"> </w:t>
      </w:r>
      <w:proofErr w:type="spellStart"/>
      <w:r w:rsidRPr="005A580A">
        <w:rPr>
          <w:rFonts w:ascii="Aptos"/>
          <w:i/>
          <w:iCs/>
        </w:rPr>
        <w:t>Microbiol</w:t>
      </w:r>
      <w:proofErr w:type="spellEnd"/>
      <w:r w:rsidRPr="005A580A">
        <w:rPr>
          <w:rFonts w:ascii="Aptos"/>
        </w:rPr>
        <w:t xml:space="preserve"> </w:t>
      </w:r>
      <w:r w:rsidRPr="005A580A">
        <w:rPr>
          <w:rFonts w:ascii="Aptos"/>
          <w:b/>
          <w:bCs/>
        </w:rPr>
        <w:t>43</w:t>
      </w:r>
      <w:r w:rsidRPr="005A580A">
        <w:rPr>
          <w:rFonts w:ascii="Aptos"/>
        </w:rPr>
        <w:t>, 567–582 (2007).</w:t>
      </w:r>
    </w:p>
    <w:p w14:paraId="44E4C043" w14:textId="77777777" w:rsidR="005A580A" w:rsidRPr="005A580A" w:rsidRDefault="005A580A" w:rsidP="005A580A">
      <w:pPr>
        <w:pStyle w:val="Bibliography"/>
        <w:rPr>
          <w:rFonts w:ascii="Aptos"/>
        </w:rPr>
      </w:pPr>
      <w:r w:rsidRPr="005A580A">
        <w:rPr>
          <w:rFonts w:ascii="Aptos"/>
        </w:rPr>
        <w:t>3.</w:t>
      </w:r>
      <w:r w:rsidRPr="005A580A">
        <w:rPr>
          <w:rFonts w:ascii="Aptos"/>
        </w:rPr>
        <w:tab/>
        <w:t xml:space="preserve">Kumar, S., Sahu, N., Jawaid, T., </w:t>
      </w:r>
      <w:proofErr w:type="spellStart"/>
      <w:r w:rsidRPr="005A580A">
        <w:rPr>
          <w:rFonts w:ascii="Aptos"/>
        </w:rPr>
        <w:t>Jayasingh</w:t>
      </w:r>
      <w:proofErr w:type="spellEnd"/>
      <w:r w:rsidRPr="005A580A">
        <w:rPr>
          <w:rFonts w:ascii="Aptos"/>
        </w:rPr>
        <w:t xml:space="preserve"> Chellammal, H. S. &amp; Upadhyay, P. Dual role of lactate in human health and disease. </w:t>
      </w:r>
      <w:r w:rsidRPr="005A580A">
        <w:rPr>
          <w:rFonts w:ascii="Aptos"/>
          <w:i/>
          <w:iCs/>
        </w:rPr>
        <w:t>Front. Physiol.</w:t>
      </w:r>
      <w:r w:rsidRPr="005A580A">
        <w:rPr>
          <w:rFonts w:ascii="Aptos"/>
        </w:rPr>
        <w:t xml:space="preserve"> </w:t>
      </w:r>
      <w:r w:rsidRPr="005A580A">
        <w:rPr>
          <w:rFonts w:ascii="Aptos"/>
          <w:b/>
          <w:bCs/>
        </w:rPr>
        <w:t>16</w:t>
      </w:r>
      <w:r w:rsidRPr="005A580A">
        <w:rPr>
          <w:rFonts w:ascii="Aptos"/>
        </w:rPr>
        <w:t>, (2025).</w:t>
      </w:r>
    </w:p>
    <w:p w14:paraId="16B0B411" w14:textId="77777777" w:rsidR="005A580A" w:rsidRPr="005A580A" w:rsidRDefault="005A580A" w:rsidP="005A580A">
      <w:pPr>
        <w:pStyle w:val="Bibliography"/>
        <w:rPr>
          <w:rFonts w:ascii="Aptos"/>
        </w:rPr>
      </w:pPr>
      <w:r w:rsidRPr="005A580A">
        <w:rPr>
          <w:rFonts w:ascii="Aptos"/>
        </w:rPr>
        <w:t>4.</w:t>
      </w:r>
      <w:r w:rsidRPr="005A580A">
        <w:rPr>
          <w:rFonts w:ascii="Aptos"/>
        </w:rPr>
        <w:tab/>
      </w:r>
      <w:proofErr w:type="spellStart"/>
      <w:r w:rsidRPr="005A580A">
        <w:rPr>
          <w:rFonts w:ascii="Aptos"/>
        </w:rPr>
        <w:t>Pessione</w:t>
      </w:r>
      <w:proofErr w:type="spellEnd"/>
      <w:r w:rsidRPr="005A580A">
        <w:rPr>
          <w:rFonts w:ascii="Aptos"/>
        </w:rPr>
        <w:t xml:space="preserve">, E. Lactic acid bacteria contribution to gut microbiota complexity: lights and shadows. </w:t>
      </w:r>
      <w:r w:rsidRPr="005A580A">
        <w:rPr>
          <w:rFonts w:ascii="Aptos"/>
          <w:i/>
          <w:iCs/>
        </w:rPr>
        <w:t xml:space="preserve">Front. Cell. Infect. </w:t>
      </w:r>
      <w:proofErr w:type="spellStart"/>
      <w:r w:rsidRPr="005A580A">
        <w:rPr>
          <w:rFonts w:ascii="Aptos"/>
          <w:i/>
          <w:iCs/>
        </w:rPr>
        <w:t>Microbiol</w:t>
      </w:r>
      <w:proofErr w:type="spellEnd"/>
      <w:r w:rsidRPr="005A580A">
        <w:rPr>
          <w:rFonts w:ascii="Aptos"/>
          <w:i/>
          <w:iCs/>
        </w:rPr>
        <w:t>.</w:t>
      </w:r>
      <w:r w:rsidRPr="005A580A">
        <w:rPr>
          <w:rFonts w:ascii="Aptos"/>
        </w:rPr>
        <w:t xml:space="preserve"> </w:t>
      </w:r>
      <w:r w:rsidRPr="005A580A">
        <w:rPr>
          <w:rFonts w:ascii="Aptos"/>
          <w:b/>
          <w:bCs/>
        </w:rPr>
        <w:t>2</w:t>
      </w:r>
      <w:r w:rsidRPr="005A580A">
        <w:rPr>
          <w:rFonts w:ascii="Aptos"/>
        </w:rPr>
        <w:t>, (2012).</w:t>
      </w:r>
    </w:p>
    <w:p w14:paraId="13F8AEF8" w14:textId="77777777" w:rsidR="005A580A" w:rsidRPr="005A580A" w:rsidRDefault="005A580A" w:rsidP="005A580A">
      <w:pPr>
        <w:pStyle w:val="Bibliography"/>
        <w:rPr>
          <w:rFonts w:ascii="Aptos"/>
        </w:rPr>
      </w:pPr>
      <w:r w:rsidRPr="005A580A">
        <w:rPr>
          <w:rFonts w:ascii="Aptos"/>
        </w:rPr>
        <w:t>5.</w:t>
      </w:r>
      <w:r w:rsidRPr="005A580A">
        <w:rPr>
          <w:rFonts w:ascii="Aptos"/>
        </w:rPr>
        <w:tab/>
        <w:t xml:space="preserve">Farhana, A. &amp; Khan, Y. S. Biochemistry, Lipopolysaccharide. in </w:t>
      </w:r>
      <w:proofErr w:type="spellStart"/>
      <w:r w:rsidRPr="005A580A">
        <w:rPr>
          <w:rFonts w:ascii="Aptos"/>
          <w:i/>
          <w:iCs/>
        </w:rPr>
        <w:t>StatPearls</w:t>
      </w:r>
      <w:proofErr w:type="spellEnd"/>
      <w:r w:rsidRPr="005A580A">
        <w:rPr>
          <w:rFonts w:ascii="Aptos"/>
        </w:rPr>
        <w:t xml:space="preserve"> (</w:t>
      </w:r>
      <w:proofErr w:type="spellStart"/>
      <w:r w:rsidRPr="005A580A">
        <w:rPr>
          <w:rFonts w:ascii="Aptos"/>
        </w:rPr>
        <w:t>StatPearls</w:t>
      </w:r>
      <w:proofErr w:type="spellEnd"/>
      <w:r w:rsidRPr="005A580A">
        <w:rPr>
          <w:rFonts w:ascii="Aptos"/>
        </w:rPr>
        <w:t xml:space="preserve"> Publishing, Treasure Island (FL), 2026).</w:t>
      </w:r>
    </w:p>
    <w:p w14:paraId="465D1BD0" w14:textId="77777777" w:rsidR="005A580A" w:rsidRPr="005A580A" w:rsidRDefault="005A580A" w:rsidP="005A580A">
      <w:pPr>
        <w:pStyle w:val="Bibliography"/>
        <w:rPr>
          <w:rFonts w:ascii="Aptos"/>
        </w:rPr>
      </w:pPr>
      <w:r w:rsidRPr="005A580A">
        <w:rPr>
          <w:rFonts w:ascii="Aptos"/>
        </w:rPr>
        <w:t>6.</w:t>
      </w:r>
      <w:r w:rsidRPr="005A580A">
        <w:rPr>
          <w:rFonts w:ascii="Aptos"/>
        </w:rPr>
        <w:tab/>
        <w:t xml:space="preserve">Severi, E., Hood, D. W. &amp; Thomas, G. H. Sialic acid utilization by bacterial pathogens. </w:t>
      </w:r>
      <w:r w:rsidRPr="005A580A">
        <w:rPr>
          <w:rFonts w:ascii="Aptos"/>
          <w:i/>
          <w:iCs/>
        </w:rPr>
        <w:t>Microbiology</w:t>
      </w:r>
      <w:r w:rsidRPr="005A580A">
        <w:rPr>
          <w:rFonts w:ascii="Aptos"/>
        </w:rPr>
        <w:t xml:space="preserve"> </w:t>
      </w:r>
      <w:r w:rsidRPr="005A580A">
        <w:rPr>
          <w:rFonts w:ascii="Aptos"/>
          <w:b/>
          <w:bCs/>
        </w:rPr>
        <w:t>153</w:t>
      </w:r>
      <w:r w:rsidRPr="005A580A">
        <w:rPr>
          <w:rFonts w:ascii="Aptos"/>
        </w:rPr>
        <w:t>, 2817–2822 (2007).</w:t>
      </w:r>
    </w:p>
    <w:p w14:paraId="33DCB1F2" w14:textId="7D00CB7B" w:rsidR="005A580A" w:rsidRDefault="005A580A">
      <w:r>
        <w:fldChar w:fldCharType="end"/>
      </w:r>
    </w:p>
    <w:sectPr w:rsidR="005A580A"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80A"/>
    <w:rsid w:val="00007349"/>
    <w:rsid w:val="000309F3"/>
    <w:rsid w:val="000365B2"/>
    <w:rsid w:val="00074A66"/>
    <w:rsid w:val="00337EBD"/>
    <w:rsid w:val="003563E7"/>
    <w:rsid w:val="00433B11"/>
    <w:rsid w:val="005551F2"/>
    <w:rsid w:val="005A580A"/>
    <w:rsid w:val="00752B2B"/>
    <w:rsid w:val="0079151E"/>
    <w:rsid w:val="007C12C0"/>
    <w:rsid w:val="008631EB"/>
    <w:rsid w:val="008E25E9"/>
    <w:rsid w:val="00952CA2"/>
    <w:rsid w:val="00977733"/>
    <w:rsid w:val="009F2C71"/>
    <w:rsid w:val="00E356F2"/>
    <w:rsid w:val="00E5130C"/>
    <w:rsid w:val="00F86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BFF98C"/>
  <w15:chartTrackingRefBased/>
  <w15:docId w15:val="{D4DCF0BF-146F-314B-9977-103DC591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80A"/>
    <w:rPr>
      <w:rFonts w:eastAsiaTheme="majorEastAsia" w:cstheme="majorBidi"/>
      <w:color w:val="272727" w:themeColor="text1" w:themeTint="D8"/>
    </w:rPr>
  </w:style>
  <w:style w:type="paragraph" w:styleId="Title">
    <w:name w:val="Title"/>
    <w:basedOn w:val="Normal"/>
    <w:next w:val="Normal"/>
    <w:link w:val="TitleChar"/>
    <w:uiPriority w:val="10"/>
    <w:qFormat/>
    <w:rsid w:val="005A5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80A"/>
    <w:pPr>
      <w:spacing w:before="160"/>
      <w:jc w:val="center"/>
    </w:pPr>
    <w:rPr>
      <w:i/>
      <w:iCs/>
      <w:color w:val="404040" w:themeColor="text1" w:themeTint="BF"/>
    </w:rPr>
  </w:style>
  <w:style w:type="character" w:customStyle="1" w:styleId="QuoteChar">
    <w:name w:val="Quote Char"/>
    <w:basedOn w:val="DefaultParagraphFont"/>
    <w:link w:val="Quote"/>
    <w:uiPriority w:val="29"/>
    <w:rsid w:val="005A580A"/>
    <w:rPr>
      <w:i/>
      <w:iCs/>
      <w:color w:val="404040" w:themeColor="text1" w:themeTint="BF"/>
    </w:rPr>
  </w:style>
  <w:style w:type="paragraph" w:styleId="ListParagraph">
    <w:name w:val="List Paragraph"/>
    <w:basedOn w:val="Normal"/>
    <w:uiPriority w:val="34"/>
    <w:qFormat/>
    <w:rsid w:val="005A580A"/>
    <w:pPr>
      <w:ind w:left="720"/>
      <w:contextualSpacing/>
    </w:pPr>
  </w:style>
  <w:style w:type="character" w:styleId="IntenseEmphasis">
    <w:name w:val="Intense Emphasis"/>
    <w:basedOn w:val="DefaultParagraphFont"/>
    <w:uiPriority w:val="21"/>
    <w:qFormat/>
    <w:rsid w:val="005A580A"/>
    <w:rPr>
      <w:i/>
      <w:iCs/>
      <w:color w:val="0F4761" w:themeColor="accent1" w:themeShade="BF"/>
    </w:rPr>
  </w:style>
  <w:style w:type="paragraph" w:styleId="IntenseQuote">
    <w:name w:val="Intense Quote"/>
    <w:basedOn w:val="Normal"/>
    <w:next w:val="Normal"/>
    <w:link w:val="IntenseQuoteChar"/>
    <w:uiPriority w:val="30"/>
    <w:qFormat/>
    <w:rsid w:val="005A5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80A"/>
    <w:rPr>
      <w:i/>
      <w:iCs/>
      <w:color w:val="0F4761" w:themeColor="accent1" w:themeShade="BF"/>
    </w:rPr>
  </w:style>
  <w:style w:type="character" w:styleId="IntenseReference">
    <w:name w:val="Intense Reference"/>
    <w:basedOn w:val="DefaultParagraphFont"/>
    <w:uiPriority w:val="32"/>
    <w:qFormat/>
    <w:rsid w:val="005A580A"/>
    <w:rPr>
      <w:b/>
      <w:bCs/>
      <w:smallCaps/>
      <w:color w:val="0F4761" w:themeColor="accent1" w:themeShade="BF"/>
      <w:spacing w:val="5"/>
    </w:rPr>
  </w:style>
  <w:style w:type="paragraph" w:styleId="Bibliography">
    <w:name w:val="Bibliography"/>
    <w:basedOn w:val="Normal"/>
    <w:next w:val="Normal"/>
    <w:uiPriority w:val="37"/>
    <w:unhideWhenUsed/>
    <w:rsid w:val="005A580A"/>
    <w:pPr>
      <w:tabs>
        <w:tab w:val="left" w:pos="260"/>
      </w:tabs>
      <w:spacing w:after="0"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2250</Words>
  <Characters>12827</Characters>
  <Application>Microsoft Office Word</Application>
  <DocSecurity>0</DocSecurity>
  <Lines>106</Lines>
  <Paragraphs>30</Paragraphs>
  <ScaleCrop>false</ScaleCrop>
  <Company/>
  <LinksUpToDate>false</LinksUpToDate>
  <CharactersWithSpaces>15047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cp:revision>
  <dcterms:created xsi:type="dcterms:W3CDTF">2026-05-12T20:53:00Z</dcterms:created>
  <dcterms:modified xsi:type="dcterms:W3CDTF">2026-05-12T21:02:00Z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id="980PqUGK"/&gt;&lt;style id="http://www.zotero.org/styles/nature" hasBibliography="1" bibliographyStyleHasBeenSet="1"/&gt;&lt;prefs&gt;&lt;pref name="fieldType" value="Field"/&gt;&lt;/prefs&gt;&lt;/data&gt;</vt:lpwstr>
  </property>
</Properties>
</file>