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8BB8B3" w14:textId="77777777" w:rsidR="00D93EDA" w:rsidRDefault="004D0329" w:rsidP="00A566A6">
      <w:r>
        <w:t>Intro</w:t>
      </w:r>
      <w:r w:rsidR="00D93EDA">
        <w:t>:</w:t>
      </w:r>
    </w:p>
    <w:p w14:paraId="6E719EBC" w14:textId="2C5BD875" w:rsidR="004D0329" w:rsidRDefault="004D0329" w:rsidP="00A566A6">
      <w:r>
        <w:t xml:space="preserve">notes: what do I need to include in the intro? </w:t>
      </w:r>
    </w:p>
    <w:p w14:paraId="4B5E440F" w14:textId="443DC4B2" w:rsidR="004D0329" w:rsidRDefault="004D0329" w:rsidP="004D0329">
      <w:pPr>
        <w:pStyle w:val="ListParagraph"/>
        <w:numPr>
          <w:ilvl w:val="0"/>
          <w:numId w:val="2"/>
        </w:numPr>
      </w:pPr>
      <w:r>
        <w:t xml:space="preserve">Shifts in the </w:t>
      </w:r>
      <w:proofErr w:type="spellStart"/>
      <w:r>
        <w:t>baundances</w:t>
      </w:r>
      <w:proofErr w:type="spellEnd"/>
      <w:r>
        <w:t xml:space="preserve"> of taxa e.g. decrease obligates increase </w:t>
      </w:r>
      <w:proofErr w:type="spellStart"/>
      <w:r>
        <w:t>falcutative</w:t>
      </w:r>
      <w:proofErr w:type="spellEnd"/>
      <w:r>
        <w:t xml:space="preserve"> </w:t>
      </w:r>
      <w:proofErr w:type="spellStart"/>
      <w:r>
        <w:t>anerobes</w:t>
      </w:r>
      <w:proofErr w:type="spellEnd"/>
      <w:r>
        <w:t xml:space="preserve"> are often associated with inflammation indicative of loss of gut-immune homeostasis</w:t>
      </w:r>
    </w:p>
    <w:p w14:paraId="07CB7541" w14:textId="5939942A" w:rsidR="004D0329" w:rsidRDefault="004D0329" w:rsidP="004D0329">
      <w:pPr>
        <w:pStyle w:val="ListParagraph"/>
        <w:numPr>
          <w:ilvl w:val="0"/>
          <w:numId w:val="2"/>
        </w:numPr>
      </w:pPr>
      <w:r>
        <w:t xml:space="preserve">Loss of obligates indicates ability to not be there anymore, especially </w:t>
      </w:r>
      <w:proofErr w:type="spellStart"/>
      <w:r>
        <w:t>sensnitve</w:t>
      </w:r>
      <w:proofErr w:type="spellEnd"/>
      <w:r>
        <w:t xml:space="preserve"> to oxygen </w:t>
      </w:r>
    </w:p>
    <w:p w14:paraId="455551BF" w14:textId="0BA17759" w:rsidR="004D0329" w:rsidRDefault="004D0329" w:rsidP="004D0329">
      <w:pPr>
        <w:pStyle w:val="ListParagraph"/>
        <w:numPr>
          <w:ilvl w:val="0"/>
          <w:numId w:val="2"/>
        </w:numPr>
      </w:pPr>
      <w:r>
        <w:t>Then the facultative can come and proliferate and cause inflammatory havoc by not contributing to inflammation and also actively causing inflammation</w:t>
      </w:r>
    </w:p>
    <w:p w14:paraId="6FE932C2" w14:textId="6B0C800C" w:rsidR="004D0329" w:rsidRDefault="004D0329" w:rsidP="004D0329">
      <w:pPr>
        <w:pStyle w:val="ListParagraph"/>
        <w:numPr>
          <w:ilvl w:val="0"/>
          <w:numId w:val="2"/>
        </w:numPr>
      </w:pPr>
      <w:r>
        <w:t>Importantly shit in the abundances of important taxa are associated with heat stress, as well as some connection to metabolism that needs to be fleshed out</w:t>
      </w:r>
      <w:r w:rsidR="00D85E24">
        <w:t xml:space="preserve"> </w:t>
      </w:r>
      <w:proofErr w:type="spellStart"/>
      <w:r w:rsidR="00D85E24">
        <w:t>porbably</w:t>
      </w:r>
      <w:proofErr w:type="spellEnd"/>
      <w:r w:rsidR="00D85E24">
        <w:t xml:space="preserve"> should pull back to redox states</w:t>
      </w:r>
    </w:p>
    <w:p w14:paraId="41EAE402" w14:textId="4658842C" w:rsidR="004D0329" w:rsidRDefault="004D0329" w:rsidP="004D0329">
      <w:pPr>
        <w:pStyle w:val="ListParagraph"/>
        <w:numPr>
          <w:ilvl w:val="0"/>
          <w:numId w:val="2"/>
        </w:numPr>
      </w:pPr>
      <w:r>
        <w:t xml:space="preserve">Here we want to look at if response to temperature is </w:t>
      </w:r>
      <w:r w:rsidR="00AA354D">
        <w:t xml:space="preserve">related to host immune in wild capuchins to see if… </w:t>
      </w:r>
    </w:p>
    <w:p w14:paraId="394489D6" w14:textId="358FBC35" w:rsidR="00FF73B4" w:rsidRDefault="00FF73B4" w:rsidP="004D0329">
      <w:pPr>
        <w:pStyle w:val="ListParagraph"/>
        <w:numPr>
          <w:ilvl w:val="0"/>
          <w:numId w:val="2"/>
        </w:numPr>
      </w:pPr>
      <w:r>
        <w:t xml:space="preserve">If you are going to use gut-immune homeostasis you need to define it </w:t>
      </w:r>
    </w:p>
    <w:p w14:paraId="6B6BBCC7" w14:textId="77777777" w:rsidR="00E57C21" w:rsidRDefault="00E57C21" w:rsidP="00E57C21"/>
    <w:p w14:paraId="498DD54B" w14:textId="77777777" w:rsidR="00E57C21" w:rsidRDefault="00E57C21" w:rsidP="00E57C21"/>
    <w:p w14:paraId="677BB9CD" w14:textId="485E9DF1" w:rsidR="00E57C21" w:rsidRDefault="00E57C21" w:rsidP="00E57C21">
      <w:r>
        <w:t xml:space="preserve">Methods: </w:t>
      </w:r>
    </w:p>
    <w:p w14:paraId="0B201EAB" w14:textId="77777777" w:rsidR="00C83F85" w:rsidRDefault="00C83F85" w:rsidP="00A566A6"/>
    <w:p w14:paraId="0E08463D" w14:textId="19F29A8F" w:rsidR="004D0329" w:rsidRDefault="00786945" w:rsidP="00A566A6">
      <w:r>
        <w:t xml:space="preserve">Results: </w:t>
      </w:r>
    </w:p>
    <w:p w14:paraId="6A14D265" w14:textId="77777777" w:rsidR="00786945" w:rsidRDefault="00786945" w:rsidP="00786945">
      <w:pPr>
        <w:rPr>
          <w:u w:val="single"/>
        </w:rPr>
      </w:pPr>
      <w:r w:rsidRPr="00AE374C">
        <w:rPr>
          <w:u w:val="single"/>
        </w:rPr>
        <w:t>Gut microbiome</w:t>
      </w:r>
      <w:r>
        <w:rPr>
          <w:u w:val="single"/>
        </w:rPr>
        <w:t xml:space="preserve"> taxonomic and metabolic functional</w:t>
      </w:r>
      <w:r w:rsidRPr="00AE374C">
        <w:rPr>
          <w:u w:val="single"/>
        </w:rPr>
        <w:t xml:space="preserve"> composition is </w:t>
      </w:r>
      <w:r>
        <w:rPr>
          <w:u w:val="single"/>
        </w:rPr>
        <w:t>related to temperature</w:t>
      </w:r>
    </w:p>
    <w:p w14:paraId="0EC13E9C" w14:textId="77777777" w:rsidR="00786945" w:rsidRPr="00991E79" w:rsidRDefault="00786945" w:rsidP="00786945">
      <w:r w:rsidRPr="00991E79">
        <w:rPr>
          <w:i/>
          <w:iCs/>
        </w:rPr>
        <w:t>Community-level</w:t>
      </w:r>
      <w:r>
        <w:rPr>
          <w:i/>
          <w:iCs/>
        </w:rPr>
        <w:t xml:space="preserve"> results</w:t>
      </w:r>
    </w:p>
    <w:p w14:paraId="017B3213" w14:textId="481F1E13" w:rsidR="00786945" w:rsidRDefault="00786945" w:rsidP="00A566A6">
      <w:r>
        <w:tab/>
        <w:t xml:space="preserve">We found a strong relationship between temperature and both taxonomic and functional community-level diversity metrics. </w:t>
      </w:r>
      <w:r>
        <w:t xml:space="preserve">To assess this relationship, we compared a baseline model that accounted for known predictors of microbiome composition (sex, social group, diet, and season) to a model that included both the baseline predictors and temperature. For taxonomic community composition, the temperature model was the best fit for all community-level indices, accounting for 100% of the model weight for all principal component axes and alpha diversity metrics (Fig 1B). </w:t>
      </w:r>
      <w:r w:rsidR="00A05629">
        <w:t xml:space="preserve">The strong relationship between temperature and principal coordinate axes 1–3 suggests that temperature drives shifts in taxonomic composition </w:t>
      </w:r>
      <w:r w:rsidR="00A05629">
        <w:t xml:space="preserve">that are </w:t>
      </w:r>
      <w:r w:rsidR="00A05629">
        <w:t>substantial enough to</w:t>
      </w:r>
      <w:r w:rsidR="00A05629">
        <w:t xml:space="preserve"> affect community-level</w:t>
      </w:r>
      <w:r w:rsidR="00A05629">
        <w:t xml:space="preserve"> beta diversity.</w:t>
      </w:r>
      <w:r w:rsidR="00A05629">
        <w:t xml:space="preserve"> Both</w:t>
      </w:r>
      <w:r>
        <w:t xml:space="preserve"> alpha diversity indices show a reliable negative relationship with temperature (Shannon </w:t>
      </w:r>
      <w:r w:rsidRPr="00887114">
        <w:t>β</w:t>
      </w:r>
      <w:r>
        <w:rPr>
          <w:vertAlign w:val="subscript"/>
        </w:rPr>
        <w:t>temp</w:t>
      </w:r>
      <w:r>
        <w:t xml:space="preserve"> = -0.49, Observed </w:t>
      </w:r>
      <w:r w:rsidRPr="00887114">
        <w:t>β</w:t>
      </w:r>
      <w:r>
        <w:rPr>
          <w:vertAlign w:val="subscript"/>
        </w:rPr>
        <w:t>temp</w:t>
      </w:r>
      <w:r>
        <w:t xml:space="preserve"> = -0.49)(Fig 1A)</w:t>
      </w:r>
      <w:r w:rsidR="00A05629">
        <w:t xml:space="preserve">. </w:t>
      </w:r>
      <w:r>
        <w:t>Even though the effect size for all alpha diversity indices is smaller compared to the principal components, alpha diversity reliably declines with increasing temperatures (Fig 2). Since Shannon’s diversity account for community evenness and observed richness reflects the total number of ASV’s, this suggests that higher temperatures are associated with reductions in both overall levels of taxonomic diversity and evenness.</w:t>
      </w:r>
      <w:r>
        <w:t xml:space="preserve"> </w:t>
      </w:r>
    </w:p>
    <w:p w14:paraId="359E5D70" w14:textId="63487EC2" w:rsidR="00C83F85" w:rsidRDefault="00C83F85" w:rsidP="00C83F85">
      <w:pPr>
        <w:ind w:firstLine="720"/>
      </w:pPr>
      <w:r>
        <w:t>For community-level metabolic functional composition, the temperature model was the best fit for all three principal component axes and the total number of observed pathways, accounting for over 96% of the model weight. In contrast,</w:t>
      </w:r>
      <w:r>
        <w:t xml:space="preserve"> </w:t>
      </w:r>
      <w:r>
        <w:t>the baseline model was the best fit</w:t>
      </w:r>
      <w:r>
        <w:t xml:space="preserve"> for Shannon’s diversity</w:t>
      </w:r>
      <w:r>
        <w:t xml:space="preserve"> accounting for 7</w:t>
      </w:r>
      <w:r>
        <w:t>7</w:t>
      </w:r>
      <w:r>
        <w:t>% of the model weight (Fig. 1D).</w:t>
      </w:r>
      <w:r>
        <w:t xml:space="preserve"> Therefore, t</w:t>
      </w:r>
      <w:r>
        <w:t xml:space="preserve">emperature is associated with shifts in </w:t>
      </w:r>
      <w:r>
        <w:t xml:space="preserve">individual </w:t>
      </w:r>
      <w:r>
        <w:t xml:space="preserve">metabolic </w:t>
      </w:r>
      <w:r>
        <w:t>pathways</w:t>
      </w:r>
      <w:r>
        <w:t xml:space="preserve"> substantial enough to affect community-level beta diversity</w:t>
      </w:r>
      <w:r>
        <w:t xml:space="preserve">, but, the </w:t>
      </w:r>
      <w:r>
        <w:t xml:space="preserve">relationship </w:t>
      </w:r>
      <w:r>
        <w:t>between temperature</w:t>
      </w:r>
      <w:r>
        <w:t xml:space="preserve"> functional alpha diversity is less clear. Temperature shows a negative association with the total number of unique pathways (Observed: </w:t>
      </w:r>
      <w:r w:rsidRPr="00887114">
        <w:t>β</w:t>
      </w:r>
      <w:r>
        <w:rPr>
          <w:vertAlign w:val="subscript"/>
        </w:rPr>
        <w:t>temp</w:t>
      </w:r>
      <w:r>
        <w:t xml:space="preserve"> = -35.05) but the magnitude and direction of this effect are uncertain given the large confidence intervals that cross zero. The association with Shannon</w:t>
      </w:r>
      <w:r>
        <w:t>’s</w:t>
      </w:r>
      <w:r>
        <w:t xml:space="preserve"> </w:t>
      </w:r>
      <w:r>
        <w:t xml:space="preserve">diversity </w:t>
      </w:r>
      <w:r>
        <w:t>(</w:t>
      </w:r>
      <w:r w:rsidRPr="00887114">
        <w:t>β</w:t>
      </w:r>
      <w:r>
        <w:rPr>
          <w:vertAlign w:val="subscript"/>
        </w:rPr>
        <w:t>temp</w:t>
      </w:r>
      <w:r>
        <w:t xml:space="preserve"> = -0.27)</w:t>
      </w:r>
      <w:r>
        <w:t xml:space="preserve"> is much smaller in magnitude and the confidence intervals also cross zero. </w:t>
      </w:r>
      <w:r>
        <w:t xml:space="preserve">(Fig. 1C). </w:t>
      </w:r>
      <w:r>
        <w:lastRenderedPageBreak/>
        <w:t>Considered together, these results suggest that higher temperatures may reduce the number of unique functional pathways but are not associated with changes in pathway evenness.</w:t>
      </w:r>
    </w:p>
    <w:p w14:paraId="12852BEB" w14:textId="77777777" w:rsidR="00C83F85" w:rsidRDefault="00C83F85" w:rsidP="00C83F85">
      <w:pPr>
        <w:rPr>
          <w:i/>
          <w:iCs/>
        </w:rPr>
      </w:pPr>
    </w:p>
    <w:p w14:paraId="0EF64EB1" w14:textId="1B18691D" w:rsidR="00C83F85" w:rsidRDefault="00C83F85" w:rsidP="00C83F85">
      <w:r>
        <w:rPr>
          <w:i/>
          <w:iCs/>
        </w:rPr>
        <w:t>Taxonomic and metabolic pathway results</w:t>
      </w:r>
    </w:p>
    <w:p w14:paraId="25A32E9D" w14:textId="4A84836B" w:rsidR="00E51125" w:rsidRDefault="00C83F85" w:rsidP="000F177E">
      <w:r>
        <w:t xml:space="preserve">Temperature is also related to the abundance of </w:t>
      </w:r>
      <w:r w:rsidR="008B0DD4">
        <w:t>individual</w:t>
      </w:r>
      <w:r>
        <w:t xml:space="preserve"> taxa at both the family and genus levels. The temperature model fit better for 93 out of 163 taxa tested, accounting for more than 50% of the model weight. The 93 differentially abundant taxa included 37 families and 56 genera spanning 10 phyla.</w:t>
      </w:r>
      <w:r w:rsidRPr="003059AC">
        <w:t xml:space="preserve"> </w:t>
      </w:r>
      <w:r>
        <w:t xml:space="preserve">The relationship between abundance and temperature is primarily negative; 82 out of 93 taxa decline in abundance with rising temperatures (supp. Table). We used the model weights for the 97 genera to perform an ancestral state reconstruction and investigate the evolution of temperature sensitivity among gut commensals. </w:t>
      </w:r>
      <w:r w:rsidRPr="000D54E5">
        <w:t>The estimated model weight of the most ancestral node</w:t>
      </w:r>
      <w:r>
        <w:t xml:space="preserve"> is 66%, indicating that the temperature model has relatively strong support for explaining the ancestral state (Fig 3). This suggests that the ancestral commensals of the capuchin gut microbiome were sensitive to increasing temperatures. Among the phyla that represent more than 1% relative abundance, Proteobacteria appear to have diverged from the ancestral state because the temperature model accounts for less than 50% of model weight in 17 out of 24 genera. The genus assigned to </w:t>
      </w:r>
      <w:proofErr w:type="spellStart"/>
      <w:r>
        <w:t>Campylobacterota</w:t>
      </w:r>
      <w:proofErr w:type="spellEnd"/>
      <w:r>
        <w:t xml:space="preserve"> follows the same trend. </w:t>
      </w:r>
      <w:r w:rsidR="00E51125">
        <w:t>Since Proteobacteria is primarily comprised of facultative anaerobes</w:t>
      </w:r>
      <w:r w:rsidR="00E51125">
        <w:t xml:space="preserve"> (), metabolic flexibility (i.e. the ability to </w:t>
      </w:r>
      <w:r w:rsidR="00E51125">
        <w:t>switch between aerobic and anaerobic metabolism depending on oxygen availability</w:t>
      </w:r>
      <w:r w:rsidR="00E51125">
        <w:t>) may be a</w:t>
      </w:r>
      <w:r w:rsidR="004B35E1">
        <w:t xml:space="preserve"> diverged adaptation that </w:t>
      </w:r>
      <w:r w:rsidR="00E51125">
        <w:t>help</w:t>
      </w:r>
      <w:r w:rsidR="004B35E1">
        <w:t>s</w:t>
      </w:r>
      <w:r w:rsidR="00E51125">
        <w:t xml:space="preserve"> facultative taxa persist </w:t>
      </w:r>
      <w:r w:rsidR="004B35E1">
        <w:t>at high</w:t>
      </w:r>
      <w:r w:rsidR="00E51125">
        <w:t xml:space="preserve"> temperatures. </w:t>
      </w:r>
      <w:r w:rsidR="00E51125">
        <w:t xml:space="preserve">In contrast, temperature sensitivity appears more conserved within </w:t>
      </w:r>
      <w:proofErr w:type="spellStart"/>
      <w:r w:rsidR="00E51125">
        <w:t>Bacteroidota</w:t>
      </w:r>
      <w:proofErr w:type="spellEnd"/>
      <w:r w:rsidR="00E51125">
        <w:t xml:space="preserve">, where the temperature model best explains 11 out of 14 genera, </w:t>
      </w:r>
      <w:proofErr w:type="spellStart"/>
      <w:r w:rsidR="00E51125">
        <w:t>Actinobacteriota</w:t>
      </w:r>
      <w:proofErr w:type="spellEnd"/>
      <w:r w:rsidR="00E51125">
        <w:t xml:space="preserve"> (4 out of 6 genera), and Firmicutes (29 out of 42 genera). For these phyla, the relationship with temperature appears primarily negative (Fig 3), indicating that these taxa decrease in abundance with rising temperatures. </w:t>
      </w:r>
      <w:r w:rsidR="00E51125">
        <w:t xml:space="preserve">Since </w:t>
      </w:r>
      <w:proofErr w:type="spellStart"/>
      <w:r w:rsidR="00E51125">
        <w:t>B</w:t>
      </w:r>
      <w:r w:rsidR="00E51125">
        <w:t>acteroidota</w:t>
      </w:r>
      <w:proofErr w:type="spellEnd"/>
      <w:r w:rsidR="00E51125">
        <w:t xml:space="preserve"> and </w:t>
      </w:r>
      <w:r w:rsidR="00E51125">
        <w:t>Firmicutes</w:t>
      </w:r>
      <w:r w:rsidR="00E51125">
        <w:t xml:space="preserve"> include several obligate anaerobes that decrease with rising temperatures </w:t>
      </w:r>
      <w:r w:rsidR="00E51125">
        <w:t xml:space="preserve">(i.e., </w:t>
      </w:r>
      <w:r w:rsidR="00E51125" w:rsidRPr="006915F0">
        <w:rPr>
          <w:i/>
          <w:iCs/>
        </w:rPr>
        <w:t xml:space="preserve">Bacteroides, Parabacteroides, Clostridium, </w:t>
      </w:r>
      <w:proofErr w:type="spellStart"/>
      <w:r w:rsidR="00E51125" w:rsidRPr="006915F0">
        <w:rPr>
          <w:i/>
          <w:iCs/>
        </w:rPr>
        <w:t>Ruminococcus</w:t>
      </w:r>
      <w:proofErr w:type="spellEnd"/>
      <w:r w:rsidR="00E51125" w:rsidRPr="006915F0">
        <w:rPr>
          <w:i/>
          <w:iCs/>
        </w:rPr>
        <w:t xml:space="preserve">, Eubacterium, </w:t>
      </w:r>
      <w:proofErr w:type="spellStart"/>
      <w:r w:rsidR="00E51125" w:rsidRPr="006915F0">
        <w:rPr>
          <w:i/>
          <w:iCs/>
        </w:rPr>
        <w:t>Blautia</w:t>
      </w:r>
      <w:proofErr w:type="spellEnd"/>
      <w:r w:rsidR="00E51125" w:rsidRPr="006915F0">
        <w:rPr>
          <w:i/>
          <w:iCs/>
        </w:rPr>
        <w:t xml:space="preserve">, </w:t>
      </w:r>
      <w:proofErr w:type="spellStart"/>
      <w:r w:rsidR="00E51125" w:rsidRPr="006915F0">
        <w:rPr>
          <w:i/>
          <w:iCs/>
        </w:rPr>
        <w:t>Anaerostipes</w:t>
      </w:r>
      <w:proofErr w:type="spellEnd"/>
      <w:r w:rsidR="00E51125" w:rsidRPr="006915F0">
        <w:rPr>
          <w:i/>
          <w:iCs/>
        </w:rPr>
        <w:t xml:space="preserve">, </w:t>
      </w:r>
      <w:r w:rsidR="00E51125" w:rsidRPr="006915F0">
        <w:t>and</w:t>
      </w:r>
      <w:r w:rsidR="00E51125" w:rsidRPr="006915F0">
        <w:rPr>
          <w:i/>
          <w:iCs/>
        </w:rPr>
        <w:t xml:space="preserve"> </w:t>
      </w:r>
      <w:proofErr w:type="spellStart"/>
      <w:r w:rsidR="00E51125" w:rsidRPr="006915F0">
        <w:rPr>
          <w:i/>
          <w:iCs/>
        </w:rPr>
        <w:t>Alistipes</w:t>
      </w:r>
      <w:proofErr w:type="spellEnd"/>
      <w:r w:rsidR="00E51125">
        <w:t>)</w:t>
      </w:r>
      <w:r w:rsidR="00E51125">
        <w:t xml:space="preserve">, sensitivity to oxygen gradients may limit the ability to cope with high temperatures. </w:t>
      </w:r>
    </w:p>
    <w:p w14:paraId="13DDD374" w14:textId="77777777" w:rsidR="000F177E" w:rsidRDefault="000F177E" w:rsidP="000F177E"/>
    <w:p w14:paraId="559309BE" w14:textId="33C34805" w:rsidR="000F177E" w:rsidRDefault="00462EB7" w:rsidP="000F177E">
      <w:r>
        <w:t>Temperature is also related to the abundance of microbial metabolic pathways. The temperature model fits best for 169 out of 383 total pathways tested, accounting for more than 50% of the model’s weight (sup table). To facilitate downstream interpretation, we grouped 10</w:t>
      </w:r>
      <w:r w:rsidR="008C1D80">
        <w:t>3</w:t>
      </w:r>
      <w:r>
        <w:t xml:space="preserve"> of these pathways into five broad functional categories based on shared biological roles and their apparent relationship with temperature: lipid metabolism, </w:t>
      </w:r>
      <w:r>
        <w:t xml:space="preserve">oxygen-driven metabolism and fermentation, </w:t>
      </w:r>
      <w:r>
        <w:t xml:space="preserve">redox maintenance, nucleotide mobilization, and immune regulation (Fig 4). </w:t>
      </w:r>
      <w:r w:rsidR="007A3F4A">
        <w:t xml:space="preserve">The gut microbiome exhibits signs of metabolic restructuring that may </w:t>
      </w:r>
      <w:r w:rsidR="007A3F4A">
        <w:t>help microbes respond to rising temperatures</w:t>
      </w:r>
      <w:r w:rsidR="00F865AD">
        <w:t xml:space="preserve"> but </w:t>
      </w:r>
      <w:r w:rsidR="004B35E1">
        <w:t xml:space="preserve">that </w:t>
      </w:r>
      <w:r w:rsidR="00F865AD">
        <w:t xml:space="preserve">could also compromise essential functions. </w:t>
      </w:r>
      <w:r w:rsidR="00F865AD">
        <w:t>For example, changes in lipid metabolism including an increase in fatty acids synthesis pathways like oleate, cis-</w:t>
      </w:r>
      <w:proofErr w:type="spellStart"/>
      <w:r w:rsidR="00F865AD">
        <w:t>vaccenate</w:t>
      </w:r>
      <w:proofErr w:type="spellEnd"/>
      <w:r w:rsidR="00F865AD">
        <w:t xml:space="preserve">, palmitoleate, stearate, and </w:t>
      </w:r>
      <w:proofErr w:type="spellStart"/>
      <w:r w:rsidR="00F865AD">
        <w:t>gondoate</w:t>
      </w:r>
      <w:proofErr w:type="spellEnd"/>
      <w:r w:rsidR="00F865AD">
        <w:t xml:space="preserve"> and lipid remodeling pathways such as mevalonate pathway and downstream isoprenoid lipids synthesis, may help maintain cytoplasmic membrane integrity at high temperatures</w:t>
      </w:r>
      <w:r w:rsidR="00F865AD">
        <w:t xml:space="preserve"> </w:t>
      </w:r>
      <w:r w:rsidR="00F865AD">
        <w:t>(Fig 4A)</w:t>
      </w:r>
      <w:r w:rsidR="00F865AD">
        <w:fldChar w:fldCharType="begin"/>
      </w:r>
      <w:r w:rsidR="00F865AD">
        <w:instrText xml:space="preserve"> ADDIN ZOTERO_ITEM CSL_CITATION {"citationID":"ZsjASiqo","properties":{"formattedCitation":"(Mansilla et al., 2004; Zhang &amp; Rock, 2008)","plainCitation":"(Mansilla et al., 2004; Zhang &amp; Rock, 2008)","noteIndex":0},"citationItems":[{"id":3378,"uris":["http://zotero.org/users/13901503/items/TZK8TZFH"],"itemData":{"id":3378,"type":"article-journal","container-title":"Journal of Bacteriology","DOI":"10.1128/jb.186.20.6681-6688.2004","issue":"20","note":"publisher: American Society for Microbiology","page":"6681-6688","source":"journals.asm.org (Atypon)","title":"Control of Membrane Lipid Fluidity by Molecular Thermosensors","volume":"186","author":[{"family":"Mansilla","given":"María C."},{"family":"Cybulski","given":"Larisa E."},{"family":"Albanesi","given":"Daniela"},{"family":"Mendoza","given":"Diego","non-dropping-particle":"de"}],"issued":{"date-parts":[["2004",10,15]]}}},{"id":3286,"uris":["http://zotero.org/users/13901503/items/VXSZL448"],"itemData":{"id":3286,"type":"article-journal","abstract":"The ability of bacteria to control the biophysical properties of their membrane phospholipids allows them to thrive in a wide range of physical environments.Fatty acid biosynthesis is an energy-intensive biosynthetic pathway, and the production of the building blocks for membrane phospholipids is precisely regulated to match the rate of cell division.Bacteria control the homeostasis of membrane lipid biophysical properties by altering the chain length of fatty acids, as well as the ratio of saturated:unsaturated fatty acids. The de novo, type II fatty acid biosynthetic pathway is a major focal point for the regulation of fatty acid composition.Bacteria can alter the physical properties of existing phospholipids by introducing cis double bonds into saturated acyl chains, thereby converting cis double bonds into cyclopropane rings and catalysing the isomerization of cis fatty acids to their trans conformations.Phospholipids are used as intermediates in the formation of major structural constituents of the cell. Managing the metabolism of the lipid by-products of these biosynthetic pathways is important to prevent the accumulation of membrane-disruptive lipids and to conserve the energy that is invested in the biosynthesis of the fatty acids.Modification of phosphatidylglycerol by the attachment of a lysine residue to the glycerol head group is an adaptive response that is used by pathogens to increase their resistance to cationic antibacterial peptides (defensins) that are produced by the innate immune system.","container-title":"Nature Reviews Microbiology","DOI":"10.1038/nrmicro1839","ISSN":"1740-1534","issue":"3","journalAbbreviation":"Nat Rev Microbiol","language":"en","license":"2008 Springer Nature Limited","note":"publisher: Nature Publishing Group","page":"222-233","source":"www-nature-com.proxy.lib.umich.edu","title":"Membrane lipid homeostasis in bacteria","volume":"6","author":[{"family":"Zhang","given":"Yong-Mei"},{"family":"Rock","given":"Charles O."}],"issued":{"date-parts":[["2008",3]]}}}],"schema":"https://github.com/citation-style-language/schema/raw/master/csl-citation.json"} </w:instrText>
      </w:r>
      <w:r w:rsidR="00F865AD">
        <w:fldChar w:fldCharType="separate"/>
      </w:r>
      <w:r w:rsidR="00F865AD">
        <w:rPr>
          <w:noProof/>
        </w:rPr>
        <w:t>(Mansilla et al., 2004; Zhang &amp; Rock, 2008)</w:t>
      </w:r>
      <w:r w:rsidR="00F865AD">
        <w:fldChar w:fldCharType="end"/>
      </w:r>
      <w:r w:rsidR="00F865AD">
        <w:t xml:space="preserve">. However, a decrease in </w:t>
      </w:r>
      <w:r w:rsidR="00F865AD">
        <w:t>pathways involved in lipid catabolism and recycling including fatty acid β-oxidation, fatty acid salvage, and phospholipid turnover</w:t>
      </w:r>
      <w:r w:rsidR="00F865AD">
        <w:t xml:space="preserve"> </w:t>
      </w:r>
      <w:r w:rsidR="00F865AD">
        <w:t>likely impairs membrane repair mechanisms</w:t>
      </w:r>
      <w:r w:rsidR="00F865AD">
        <w:t xml:space="preserve"> </w:t>
      </w:r>
      <w:r w:rsidR="00F865AD">
        <w:fldChar w:fldCharType="begin"/>
      </w:r>
      <w:r w:rsidR="00F865AD">
        <w:instrText xml:space="preserve"> ADDIN ZOTERO_ITEM CSL_CITATION {"citationID":"lWyrjH6E","properties":{"formattedCitation":"(Dennis, 1994; Zhang &amp; Rock, 2008)","plainCitation":"(Dennis, 1994; Zhang &amp; Rock, 2008)","noteIndex":0},"citationItems":[{"id":3285,"uris":["http://zotero.org/users/13901503/items/932HVZ4C"],"itemData":{"id":3285,"type":"article-journal","container-title":"Journal of Biological Chemistry","DOI":"10.1016/S0021-9258(17)36794-7","ISSN":"00219258","issue":"18","journalAbbreviation":"Journal of Biological Chemistry","language":"en","license":"https://www.elsevier.com/tdm/userlicense/1.0/","page":"13057-13060","source":"DOI.org (Crossref)","title":"Diversity of group types, regulation, and function of phospholipase A2.","volume":"269","author":[{"family":"Dennis","given":"E.A."}],"issued":{"date-parts":[["1994",5]]}}},{"id":3286,"uris":["http://zotero.org/users/13901503/items/VXSZL448"],"itemData":{"id":3286,"type":"article-journal","abstract":"The ability of bacteria to control the biophysical properties of their membrane phospholipids allows them to thrive in a wide range of physical environments.Fatty acid biosynthesis is an energy-intensive biosynthetic pathway, and the production of the building blocks for membrane phospholipids is precisely regulated to match the rate of cell division.Bacteria control the homeostasis of membrane lipid biophysical properties by altering the chain length of fatty acids, as well as the ratio of saturated:unsaturated fatty acids. The de novo, type II fatty acid biosynthetic pathway is a major focal point for the regulation of fatty acid composition.Bacteria can alter the physical properties of existing phospholipids by introducing cis double bonds into saturated acyl chains, thereby converting cis double bonds into cyclopropane rings and catalysing the isomerization of cis fatty acids to their trans conformations.Phospholipids are used as intermediates in the formation of major structural constituents of the cell. Managing the metabolism of the lipid by-products of these biosynthetic pathways is important to prevent the accumulation of membrane-disruptive lipids and to conserve the energy that is invested in the biosynthesis of the fatty acids.Modification of phosphatidylglycerol by the attachment of a lysine residue to the glycerol head group is an adaptive response that is used by pathogens to increase their resistance to cationic antibacterial peptides (defensins) that are produced by the innate immune system.","container-title":"Nature Reviews Microbiology","DOI":"10.1038/nrmicro1839","ISSN":"1740-1534","issue":"3","journalAbbreviation":"Nat Rev Microbiol","language":"en","license":"2008 Springer Nature Limited","note":"publisher: Nature Publishing Group","page":"222-233","source":"www-nature-com.proxy.lib.umich.edu","title":"Membrane lipid homeostasis in bacteria","volume":"6","author":[{"family":"Zhang","given":"Yong-Mei"},{"family":"Rock","given":"Charles O."}],"issued":{"date-parts":[["2008",3]]}}}],"schema":"https://github.com/citation-style-language/schema/raw/master/csl-citation.json"} </w:instrText>
      </w:r>
      <w:r w:rsidR="00F865AD">
        <w:fldChar w:fldCharType="separate"/>
      </w:r>
      <w:r w:rsidR="00F865AD">
        <w:rPr>
          <w:noProof/>
        </w:rPr>
        <w:t>(Dennis, 1994; Zhang &amp; Rock, 2008)</w:t>
      </w:r>
      <w:r w:rsidR="00F865AD">
        <w:fldChar w:fldCharType="end"/>
      </w:r>
      <w:r w:rsidR="00F865AD" w:rsidRPr="00F865AD">
        <w:t xml:space="preserve"> </w:t>
      </w:r>
      <w:r w:rsidR="00F865AD">
        <w:t xml:space="preserve">and </w:t>
      </w:r>
      <w:r w:rsidR="00F865AD">
        <w:t>may compromise</w:t>
      </w:r>
      <w:r w:rsidR="00F865AD">
        <w:t xml:space="preserve"> integrity during extended periods of high temperatures. Further, </w:t>
      </w:r>
      <w:r w:rsidR="008C1D80">
        <w:t>an increase in anaerobic pathways</w:t>
      </w:r>
      <w:r w:rsidR="005B1580">
        <w:t>,</w:t>
      </w:r>
      <w:r w:rsidR="008C1D80">
        <w:t xml:space="preserve"> </w:t>
      </w:r>
      <w:r w:rsidR="005B1580">
        <w:t xml:space="preserve">including </w:t>
      </w:r>
      <w:r w:rsidR="008C1D80">
        <w:t xml:space="preserve">the </w:t>
      </w:r>
      <w:r w:rsidR="008C1D80">
        <w:t>reductive TCA cycle</w:t>
      </w:r>
      <w:r w:rsidR="005B1580">
        <w:t xml:space="preserve"> and several involved in glycolysis,</w:t>
      </w:r>
      <w:r w:rsidR="008C1D80">
        <w:t xml:space="preserve"> </w:t>
      </w:r>
      <w:r w:rsidR="008C1D80">
        <w:t xml:space="preserve">alongside a decrease in pathways that </w:t>
      </w:r>
      <w:r w:rsidR="008C1D80">
        <w:lastRenderedPageBreak/>
        <w:t>support aerobic metabolism</w:t>
      </w:r>
      <w:r w:rsidR="008C1D80">
        <w:t xml:space="preserve"> </w:t>
      </w:r>
      <w:r w:rsidR="005B1580">
        <w:t>may reflect a</w:t>
      </w:r>
      <w:r w:rsidR="008C1D80">
        <w:t xml:space="preserve"> response to increased gut hypoxia at high temperatures </w:t>
      </w:r>
      <w:r w:rsidR="005B1580">
        <w:t>(Fig 4B)</w:t>
      </w:r>
      <w:r w:rsidR="008C1D80">
        <w:fldChar w:fldCharType="begin"/>
      </w:r>
      <w:r w:rsidR="008C1D80">
        <w:instrText xml:space="preserve"> ADDIN ZOTERO_ITEM CSL_CITATION {"citationID":"RZiOC71a","properties":{"formattedCitation":"(Hall et al., 1999)","plainCitation":"(Hall et al., 1999)","noteIndex":0},"citationItems":[{"id":3205,"uris":["http://zotero.org/users/13901503/items/CADITA73"],"itemData":{"id":3205,"type":"article-journal","abstract":"Exposure of conscious animals to environmental heat stress increases portal venous radical content. The nature of the observed heat stress-inducible radical molecules suggests that hyperthermia produces cellular hypoxic stress in liver and intestine. To investigate this hypothesis, conscious rats bearing in-dwelling portal venous and femoral artery catheters were exposed to normothermic or hyperthermic conditions. Blood gas levels were monitored during heat stress and for 24 h following heat exposure. Hyperthermia significantly increased arterial O2 saturation, splanchnic arterial-venous O2 difference, and venous</w:instrText>
      </w:r>
      <w:r w:rsidR="008C1D80">
        <w:rPr>
          <w:rFonts w:ascii="Cambria Math" w:hAnsi="Cambria Math" w:cs="Cambria Math"/>
        </w:rPr>
        <w:instrText>𝑃</w:instrText>
      </w:r>
      <w:r w:rsidR="008C1D80">
        <w:instrText xml:space="preserve">⁢CO2P⁢CO2, while decreasing venous O2 saturation and venous pH. One hour after heat exposure, liver glycogen levels were decreased </w:instrText>
      </w:r>
      <w:r w:rsidR="008C1D80">
        <w:rPr>
          <w:rFonts w:ascii="Cambria Math" w:hAnsi="Cambria Math" w:cs="Cambria Math"/>
        </w:rPr>
        <w:instrText>∼</w:instrText>
      </w:r>
      <w:r w:rsidR="008C1D80">
        <w:instrText xml:space="preserve">20%. Two hours after heat exposure, the splanchnic arterial-venous O2 difference remained elevated in heat-stressed animals despite normal Tc. A second group of rats was exposed to similar conditions while receiving intra-arterial injections of the hypoxic cell marker [3H]misonidazole. Liver and intestine were biopsied, and [3H]misonidazole content was quantified. Heat stress increased tissue [3H]misonidazole retention 80% in the liver and 29% in the small intestine. Cellular [3H]misonidazole levels were significantly elevated in intestinal epithelial cells and liver zone 2 and 3 hepatocytes and Kupffer cells. This effect was most prominent in the proximal small intestine and small liver lobi. These data provide evidence that hyperthermia produces cellular hypoxia and metabolic stress in splanchnic tissues and suggest that cellular metabolic stress may contribute to radical generation during heat stress.","container-title":"American Journal of Physiology-Gastrointestinal and Liver Physiology","DOI":"10.1152/ajpgi.1999.276.5.G1195","ISSN":"0193-1857","issue":"5","note":"publisher: American Physiological Society","page":"G1195-G1203","source":"journals.physiology.org (Atypon)","title":"Splanchnic tissues undergo hypoxic stress  during whole body hyperthermia","volume":"276","author":[{"family":"Hall","given":"David M."},{"family":"Baumgardner","given":"Kirk R."},{"family":"Oberley","given":"Terry D."},{"family":"Gisolfi","given":"Carl V."}],"issued":{"date-parts":[["1999",5]]}}}],"schema":"https://github.com/citation-style-language/schema/raw/master/csl-citation.json"} </w:instrText>
      </w:r>
      <w:r w:rsidR="008C1D80">
        <w:fldChar w:fldCharType="separate"/>
      </w:r>
      <w:r w:rsidR="008C1D80">
        <w:rPr>
          <w:noProof/>
        </w:rPr>
        <w:t>(Hall et al., 1999)</w:t>
      </w:r>
      <w:r w:rsidR="008C1D80">
        <w:fldChar w:fldCharType="end"/>
      </w:r>
      <w:r w:rsidR="005B1580">
        <w:t xml:space="preserve"> and help maintain energy production under increased oxygen limitation</w:t>
      </w:r>
      <w:r w:rsidR="008C1D80">
        <w:t>. However, the</w:t>
      </w:r>
      <w:r w:rsidR="005B1580">
        <w:t>se</w:t>
      </w:r>
      <w:r w:rsidR="008C1D80">
        <w:t xml:space="preserve"> anaerobic pathways</w:t>
      </w:r>
      <w:r w:rsidR="005B1580">
        <w:t xml:space="preserve"> are </w:t>
      </w:r>
      <w:r w:rsidR="005B1580">
        <w:t xml:space="preserve">primarily </w:t>
      </w:r>
      <w:r w:rsidR="005B1580">
        <w:t xml:space="preserve">used in </w:t>
      </w:r>
      <w:r w:rsidR="005B1580">
        <w:t>simple carbohydrate metabolism</w:t>
      </w:r>
      <w:r w:rsidR="005B1580">
        <w:t xml:space="preserve"> a</w:t>
      </w:r>
      <w:r w:rsidR="005B1580">
        <w:t>nd coincide with a decline in complex polysaccharide fermentation</w:t>
      </w:r>
      <w:r w:rsidR="005B1580">
        <w:t xml:space="preserve">, these changes may </w:t>
      </w:r>
      <w:r w:rsidR="005B1580">
        <w:t>eventually decrease overall energy availability</w:t>
      </w:r>
      <w:r w:rsidR="005B1580">
        <w:t xml:space="preserve"> (). </w:t>
      </w:r>
    </w:p>
    <w:p w14:paraId="7A4872B8" w14:textId="77777777" w:rsidR="004B35E1" w:rsidRDefault="004B35E1" w:rsidP="000F177E"/>
    <w:p w14:paraId="5324CA72" w14:textId="59DE1BC1" w:rsidR="00AB74C6" w:rsidRDefault="00333F2D" w:rsidP="000F177E">
      <w:r>
        <w:t>Some metabolic changes</w:t>
      </w:r>
      <w:r w:rsidR="005B1580">
        <w:t xml:space="preserve"> </w:t>
      </w:r>
      <w:r w:rsidR="004B35E1">
        <w:t xml:space="preserve">indicate that rising temperature may negatively affect the </w:t>
      </w:r>
      <w:r w:rsidR="003340EB">
        <w:t>gastrointestinal</w:t>
      </w:r>
      <w:r w:rsidR="004B35E1">
        <w:t xml:space="preserve"> environment.</w:t>
      </w:r>
      <w:r w:rsidR="003340EB">
        <w:t xml:space="preserve"> </w:t>
      </w:r>
      <w:proofErr w:type="spellStart"/>
      <w:r w:rsidR="003340EB">
        <w:t>Specifcially</w:t>
      </w:r>
      <w:proofErr w:type="spellEnd"/>
      <w:r w:rsidR="003340EB">
        <w:t>, declines in pathways that support</w:t>
      </w:r>
      <w:r w:rsidR="004B35E1">
        <w:t xml:space="preserve"> redox maintenance</w:t>
      </w:r>
      <w:r w:rsidR="003340EB">
        <w:t xml:space="preserve"> </w:t>
      </w:r>
      <w:r w:rsidR="004B35E1">
        <w:t xml:space="preserve">including the synthesis of redox cofactors such as B vitamins </w:t>
      </w:r>
      <w:r w:rsidR="004B35E1">
        <w:fldChar w:fldCharType="begin"/>
      </w:r>
      <w:r w:rsidR="004B35E1">
        <w:instrText xml:space="preserve"> ADDIN ZOTERO_ITEM CSL_CITATION {"citationID":"oWPRpQeE","properties":{"formattedCitation":"(Hellmann &amp; Mooney, 2010; Powers, 2003)","plainCitation":"(Hellmann &amp; Mooney, 2010; Powers, 2003)","noteIndex":0},"citationItems":[{"id":3227,"uris":["http://zotero.org/users/13901503/items/9DQLWAKU"],"itemData":{"id":3227,"type":"article-journal","abstract":"Vitamin B6 is an intriguing molecule that is involved in a wide range of metabolic, physiological and developmental processes. Based on its water solubility and high reactivity when phosphorylated, it is a suitable co-factor for many biochemical processes. Furthermore the vitamin is a potent antioxidant, rivaling carotenoids or tocopherols in its ability to quench reactive oxygen species. It is therefore not surprising that the vitamin is essential and unquestionably important for the cellular metabolism and well-being of all living organisms. The review briefly summarizes the biosynthetic pathways of vitamin B6 in pro- and eukaryotes and its diverse roles in enzymatic reactions. Finally, because in recent years the vitamin has often been considered beneficial for human health, the review will also sum up and critically reflect on current knowledge how human health can profit from vitamin B6.","container-title":"Molecules","DOI":"10.3390/molecules15010442","ISSN":"1420-3049","issue":"1","language":"en","license":"http://creativecommons.org/licenses/by/3.0/","note":"number: 1\npublisher: Molecular Diversity Preservation International","page":"442-459","source":"www.mdpi.com","title":"Vitamin B6: A Molecule for Human Health?","title-short":"Vitamin B6","volume":"15","author":[{"family":"Hellmann","given":"Hanjo"},{"family":"Mooney","given":"Sutton"}],"issued":{"date-parts":[["2010",1]]}}},{"id":3224,"uris":["http://zotero.org/users/13901503/items/W59CZMD8"],"itemData":{"id":3224,"type":"article-journal","abstract":"Riboflavin is unique among the water-soluble vitamins in that milk and dairy products make the greatest contribution to its intake in Western diets. Meat and fish are also good sources of riboflavin, and certain fruit and vegetables, especially dark-green vegetables, contain reasonably high concentrations. Biochemical signs of depletion arise within only a few days of dietary deprivation. Poor riboflavin status in Western countries seems to be of most concern for the elderly and adolescents, despite the diversity of riboflavin-rich foods available. However, discrepancies between dietary intake data and biochemical data suggest either that requirements are higher than hitherto thought or that biochemical thresholds for deficiency are inappropriate. This article reviews current evidence that diets low in riboflavin present specific health risks. There is reasonably good evidence that poor riboflavin status interferes with iron handling and contributes to the etiology of anemia when iron intakes are low. Various mechanisms for this have been proposed, including effects on the gastrointestinal tract that might compromise the handling of other nutrients. Riboflavin deficiency has been implicated as a risk factor for cancer, although this has not been satisfactorily established in humans. Current interest is focused on the role that riboflavin plays in determining circulating concentrations of homocysteine, a risk factor for cardiovascular disease. Other mechanisms have been proposed for a protective role of riboflavin in ischemia reperfusion injury; this requires further study. Riboflavin deficiency may exert some of its effects by reducing the metabolism of other B vitamins, notably folate and vitamin B-6.","container-title":"The American Journal of Clinical Nutrition","DOI":"10.1093/ajcn/77.6.1352","ISSN":"0002-9165","issue":"6","journalAbbreviation":"The American Journal of Clinical Nutrition","page":"1352-1360","source":"ScienceDirect","title":"Riboflavin (vitamin B-2) and health12","volume":"77","author":[{"family":"Powers","given":"Hilary J"}],"issued":{"date-parts":[["2003",6,1]]}}}],"schema":"https://github.com/citation-style-language/schema/raw/master/csl-citation.json"} </w:instrText>
      </w:r>
      <w:r w:rsidR="004B35E1">
        <w:fldChar w:fldCharType="separate"/>
      </w:r>
      <w:r w:rsidR="004B35E1">
        <w:rPr>
          <w:noProof/>
        </w:rPr>
        <w:t>(Hellmann &amp; Mooney, 2010; Powers, 2003)</w:t>
      </w:r>
      <w:r w:rsidR="004B35E1">
        <w:fldChar w:fldCharType="end"/>
      </w:r>
      <w:r w:rsidR="004B35E1">
        <w:t xml:space="preserve">, coenzymes </w:t>
      </w:r>
      <w:r w:rsidR="004B35E1">
        <w:fldChar w:fldCharType="begin"/>
      </w:r>
      <w:r w:rsidR="004B35E1">
        <w:instrText xml:space="preserve"> ADDIN ZOTERO_ITEM CSL_CITATION {"citationID":"4f75BpHM","properties":{"formattedCitation":"(Gout, 2018)","plainCitation":"(Gout, 2018)","noteIndex":0},"citationItems":[{"id":3237,"uris":["http://zotero.org/users/13901503/items/VLNZSILJ"],"itemData":{"id":3237,"type":"article-journal","abstract":"In a diverse family of cellular cofactors, coenzyme A (CoA) has a unique design to function in various biochemical processes. The presence of a highly reactive thiol group and a nucleotide moiety offers a diversity of chemical reactions and regulatory interactions. CoA employs them to activate carbonyl-containing molecules and to produce various thioester derivatives (e.g. acetyl CoA, malonyl CoA and 3-hydroxy-3-methylglutaryl CoA), which have well-established roles in cellular metabolism, production of neurotransmitters and the regulation of gene expression. A novel unconventional function of CoA in redox regulation, involving covalent attachment of this coenzyme to cellular proteins in response to oxidative and metabolic stress, has been recently discovered and termed protein CoAlation (S-thiolation by CoA or CoAthiolation). A diverse range of proteins was found to be CoAlated in mammalian cells and tissues under various experimental conditions. Protein CoAlation alters the molecular mass, charge and activity of modified proteins, and prevents them from irreversible sulfhydryl overoxidation. This review highlights the role of a key metabolic integrator CoA in redox regulation in mammalian cells and provides a perspective of the current status and future directions of the emerging field of protein CoAlation.","container-title":"Biochemical Society Transactions","DOI":"10.1042/BST20170506","ISSN":"0300-5127, 1470-8752","issue":"3","language":"en","page":"721-728","source":"DOI.org (Crossref)","title":"Coenzyme A, protein CoAlation and redox regulation in mammalian cells","volume":"46","author":[{"family":"Gout","given":"Ivan"}],"issued":{"date-parts":[["2018",6,19]]}}}],"schema":"https://github.com/citation-style-language/schema/raw/master/csl-citation.json"} </w:instrText>
      </w:r>
      <w:r w:rsidR="004B35E1">
        <w:fldChar w:fldCharType="separate"/>
      </w:r>
      <w:r w:rsidR="004B35E1">
        <w:rPr>
          <w:noProof/>
        </w:rPr>
        <w:t>(Gout, 2018)</w:t>
      </w:r>
      <w:r w:rsidR="004B35E1">
        <w:fldChar w:fldCharType="end"/>
      </w:r>
      <w:r w:rsidR="004B35E1">
        <w:t xml:space="preserve">, and antioxidant precursors to glutathione </w:t>
      </w:r>
      <w:r w:rsidR="004B35E1">
        <w:fldChar w:fldCharType="begin"/>
      </w:r>
      <w:r w:rsidR="004B35E1">
        <w:instrText xml:space="preserve"> ADDIN ZOTERO_ITEM CSL_CITATION {"citationID":"2FPwkzM8","properties":{"formattedCitation":"(S. C. Lu, 2013)","plainCitation":"(S. C. Lu, 2013)","noteIndex":0},"citationItems":[{"id":3229,"uris":["http://zotero.org/users/13901503/items/98ARRTVI"],"itemData":{"id":3229,"type":"article-journal","abstract":"Background\nGlutathione (GSH) is present in all mammalian tissues as the most abundant non-protein thiol that defends against oxidative stress. GSH is also a key determinant of redox signaling, vital in detoxification of xenobiotics, and regulates cell proliferation, apoptosis, immune function, and fibrogenesis. Biosynthesis of GSH occurs in the cytosol in a tightly regulated manner. Key determinants of GSH synthesis are the availability of the sulfur amino acid precursor, cysteine, and the activity of the rate-limiting enzyme, glutamate cysteine ligase (GCL), which is composed of a catalytic (GCLC) and a modifier (GCLM) subunit. The second enzyme of GSH synthesis is GSH synthetase (GS).\nScope of review\nThis review summarizes key functions of GSH and focuses on factors that regulate the biosynthesis of GSH, including pathological conditions where GSH synthesis is dysregulated.\nMajor conclusions\nGCL subunits and GS are regulated at multiple levels and often in a coordinated manner. Key transcription factors that regulate the expression of these genes include NF-E2 related factor 2 (Nrf2) via the antioxidant response element (ARE), AP-1, and nuclear factor kappa B (NFκB). There is increasing evidence that dysregulation of GSH synthesis contributes to the pathogenesis of many pathological conditions. These include diabetes mellitus, pulmonary and liver fibrosis, alcoholic liver disease, cholestatic liver injury, endotoxemia and drug-resistant tumor cells.\nGeneral significance\nGSH is a key antioxidant that also modulates diverse cellular processes. A better understanding of how its synthesis is regulated and dysregulated in disease states may lead to improvement in the treatment of these disorders. This article is part of a Special Issue entitled Cellular functions of glutathione.","collection-title":"Cellular functions of glutathione","container-title":"Biochimica et Biophysica Acta (BBA) - General Subjects","DOI":"10.1016/j.bbagen.2012.09.008","ISSN":"0304-4165","issue":"5","journalAbbreviation":"Biochimica et Biophysica Acta (BBA) - General Subjects","page":"3143-3153","source":"ScienceDirect","title":"Glutathione synthesis","volume":"1830","author":[{"family":"Lu","given":"Shelly C."}],"issued":{"date-parts":[["2013",5,1]]}}}],"schema":"https://github.com/citation-style-language/schema/raw/master/csl-citation.json"} </w:instrText>
      </w:r>
      <w:r w:rsidR="004B35E1">
        <w:fldChar w:fldCharType="separate"/>
      </w:r>
      <w:r w:rsidR="004B35E1">
        <w:rPr>
          <w:noProof/>
        </w:rPr>
        <w:t>(S. C. Lu, 2013)</w:t>
      </w:r>
      <w:r w:rsidR="004B35E1">
        <w:fldChar w:fldCharType="end"/>
      </w:r>
      <w:r w:rsidR="003340EB" w:rsidRPr="003340EB">
        <w:t xml:space="preserve"> </w:t>
      </w:r>
      <w:r w:rsidR="003340EB">
        <w:t>may impair the gut microbiome’s ability to neutralize reactive oxygen species</w:t>
      </w:r>
      <w:r w:rsidR="003340EB">
        <w:t xml:space="preserve"> (ROS). </w:t>
      </w:r>
      <w:r w:rsidR="003340EB">
        <w:t xml:space="preserve">Similarly, </w:t>
      </w:r>
      <w:r w:rsidR="003340EB">
        <w:t>reductions</w:t>
      </w:r>
      <w:r w:rsidR="003340EB">
        <w:t xml:space="preserve"> in detoxification pathways for aromatic compounds and aldehydes (Kalapos, 1999), along with declines in redox cycling processes such as NADPH production, quinone synthesis, and siderophore-mediated iron transport (Fig 4C; Dhungana &amp; Crumbliss, 2005; Ying, 2008), may further contribute to redox imbalance at high temperatures.</w:t>
      </w:r>
      <w:r w:rsidR="003340EB">
        <w:t xml:space="preserve"> </w:t>
      </w:r>
      <w:r>
        <w:t>However, some pathways that support redox maintenance increase with rising temperatures including the synthesis of antioxidant precursors</w:t>
      </w:r>
      <w:r>
        <w:t xml:space="preserve"> and </w:t>
      </w:r>
      <w:r>
        <w:t>vitamin B12</w:t>
      </w:r>
      <w:r>
        <w:t xml:space="preserve"> </w:t>
      </w:r>
      <w:r>
        <w:fldChar w:fldCharType="begin"/>
      </w:r>
      <w:r>
        <w:instrText xml:space="preserve"> ADDIN ZOTERO_ITEM CSL_CITATION {"citationID":"RysgoECv","properties":{"formattedCitation":"(Martens et al., 2002)","plainCitation":"(Martens et al., 2002)","noteIndex":0},"citationItems":[{"id":3337,"uris":["http://zotero.org/users/13901503/items/ZQRDCT8W"],"itemData":{"id":3337,"type":"article-journal","abstract":"One of the most alluring and fascinating molecules in the world of science and medicine is vitamin B12 (cobalamin), which was originally discovered as the anti pernicious anemia factor and whose enigmatic complex structure is matched only by the beguiling chemistry that it mediates. The biosynthesis of this essential nutrient is intricate, involved and, remarkably, confined to certain members of the prokaryotic world, seemingly never have to have made the eukaryotic transition. In humans, the vitamin is required in trace amounts (approximately 1 µg/day) to assist the actions of only two enzymes, methionine synthase and (R)-methylmalonyl-CoA mutase; yet commercially more than 10 t of B12 are produced each year from a number of bacterial species. The rich scientific history of vitamin B12 research, its biological functions and the pathways employed by bacteria for its de novo synthesis are described. Current strategies for the improvement of vitamin B12 production using modern biotechnological techniques are outlined.","container-title":"Applied Microbiology and Biotechnology","DOI":"10.1007/s00253-001-0902-7","ISSN":"1432-0614","issue":"3","journalAbbreviation":"Appl Microbiol Biotechnol","language":"en","license":"2001 Springer-Verlag","note":"Company: Springer\nDistributor: Springer\nInstitution: Springer\nLabel: Springer\nnumber: 3\npublisher: Springer-Verlag","page":"275-285","source":"link-springer-com.proxy.lib.umich.edu","title":"Microbial production of vitamin B12","volume":"58","author":[{"family":"Martens","given":"J.-H."},{"family":"Barg","given":"H."},{"family":"Warren","given":"M."},{"family":"Jahn","given":"D."}],"issued":{"date-parts":[["2002",3,1]]}}}],"schema":"https://github.com/citation-style-language/schema/raw/master/csl-citation.json"} </w:instrText>
      </w:r>
      <w:r>
        <w:fldChar w:fldCharType="separate"/>
      </w:r>
      <w:r>
        <w:rPr>
          <w:noProof/>
        </w:rPr>
        <w:t>(Martens et al., 2002)</w:t>
      </w:r>
      <w:r>
        <w:fldChar w:fldCharType="end"/>
      </w:r>
      <w:r>
        <w:t xml:space="preserve">, </w:t>
      </w:r>
      <w:r>
        <w:t>coenzyme metabolism</w:t>
      </w:r>
      <w:r w:rsidR="00573F59">
        <w:t xml:space="preserve"> </w:t>
      </w:r>
      <w:r w:rsidR="00573F59">
        <w:fldChar w:fldCharType="begin"/>
      </w:r>
      <w:r w:rsidR="00573F59">
        <w:instrText xml:space="preserve"> ADDIN ZOTERO_ITEM CSL_CITATION {"citationID":"RUb5pm3b","properties":{"formattedCitation":"(Belenky et al., 2007)","plainCitation":"(Belenky et al., 2007)","noteIndex":0},"citationItems":[{"id":3246,"uris":["http://zotero.org/users/13901503/items/SBMSGALS"],"itemData":{"id":3246,"type":"article-journal","container-title":"Trends in Biochemical Sciences","DOI":"10.1016/j.tibs.2006.11.006","ISSN":"0968-0004","issue":"1","journalAbbreviation":"Trends in Biochemical Sciences","language":"English","note":"publisher: Elsevier\nPMID: 17161604","page":"12-19","source":"www-cell-com.proxy.lib.umich.edu","title":"NAD+ metabolism in health and disease","volume":"32","author":[{"family":"Belenky","given":"Peter"},{"family":"Bogan","given":"Katrina L."},{"family":"Brenner","given":"Charles"}],"issued":{"date-parts":[["2007",1,1]]}}}],"schema":"https://github.com/citation-style-language/schema/raw/master/csl-citation.json"} </w:instrText>
      </w:r>
      <w:r w:rsidR="00573F59">
        <w:fldChar w:fldCharType="separate"/>
      </w:r>
      <w:r w:rsidR="00573F59">
        <w:rPr>
          <w:noProof/>
        </w:rPr>
        <w:t>(Belenky et al., 2007)</w:t>
      </w:r>
      <w:r w:rsidR="00573F59">
        <w:fldChar w:fldCharType="end"/>
      </w:r>
      <w:r w:rsidR="00573F59">
        <w:t>,</w:t>
      </w:r>
      <w:r>
        <w:t xml:space="preserve"> </w:t>
      </w:r>
      <w:r>
        <w:t>and degradation of vitamin-like compounds</w:t>
      </w:r>
      <w:r w:rsidR="00573F59">
        <w:t xml:space="preserve"> </w:t>
      </w:r>
      <w:r w:rsidR="00573F59">
        <w:fldChar w:fldCharType="begin"/>
      </w:r>
      <w:r w:rsidR="00573F59">
        <w:instrText xml:space="preserve"> ADDIN ZOTERO_ITEM CSL_CITATION {"citationID":"CONirrgu","properties":{"formattedCitation":"(Linster &amp; Van Schaftingen, 2007)","plainCitation":"(Linster &amp; Van Schaftingen, 2007)","noteIndex":0},"citationItems":[{"id":3334,"uris":["http://zotero.org/users/13901503/items/68BGK4TV"],"itemData":{"id":3334,"type":"article-journal","abstract":"Vitamin C, a reducing agent and antioxidant, is a cofactor in reactions catalyzed by Cu+-dependent monooxygenases and Fe2+-dependent dioxygenases. It is synthesized, in vertebrates having this capacity, from d-glucuronate. The latter is formed through direct hydrolysis of uridine diphosphate (UDP)-glucuronate by enzyme(s) bound to the endoplasmic reticulum membrane, sharing many properties with, and most likely identical to, UDP-glucuronosyltransferases. Non-glucuronidable xenobiotics (aminopyrine, metyrapone, chloretone and others) stimulate the enzymatic hydrolysis of UDP-glucuronate, accounting for their effect to increase vitamin C formation in vivo. Glucuronate is converted to l-gulonate by aldehyde reductase, an enzyme of the aldo-keto reductase superfamily. l-Gulonate is converted to l-gulonolactone by a lactonase identified as SMP30 or regucalcin, whose absence in mice leads to vitamin C deficiency. The last step in the pathway of vitamin C synthesis is the oxidation of l-gulonolactone to l-ascorbic acid by l-gulonolactone oxidase, an enzyme associated with the endoplasmic reticulum membrane and deficient in man, guinea pig and other species due to mutations in its gene. Another fate of glucuronate is its conversion to d-xylulose in a five-step pathway, the pentose pathway, involving identified oxidoreductases and an unknown decarboxylase. Semidehydroascorbate, a major oxidation product of vitamin C, is reconverted to ascorbate in the cytosol by cytochrome b5 reductase and thioredoxin reductase in reactions involving NADH and NADPH, respectively. Transmembrane electron transfer systems using ascorbate or NADH as electron donors serve to reduce semidehydroascorbate present in neuroendocrine secretory vesicles and in the extracellular medium. Dehydroascorbate, the fully oxidized form of vitamin C, is reduced spontaneously by glutathione, as well as enzymatically in reactions using glutathione or NADPH. The degradation of vitamin C in mammals is initiated by the hydrolysis of dehydroascorbate to 2,3-diketo-l-gulonate, which is spontaneously degraded to oxalate, CO2 and l-erythrulose. This is at variance with bacteria such as Escherichia coli, which have enzymatic degradation pathways for ascorbate and probably also dehydroascorbate.","container-title":"The FEBS Journal","DOI":"10.1111/j.1742-4658.2006.05607.x","ISSN":"1742-4658","issue":"1","language":"en","note":"_eprint: https://febs.onlinelibrary.wiley.com/doi/pdf/10.1111/j.1742-4658.2006.05607.x","page":"1-22","source":"Wiley Online Library","title":"Vitamin C","volume":"274","author":[{"family":"Linster","given":"Carole L."},{"family":"Van Schaftingen","given":"Emile"}],"issued":{"date-parts":[["2007"]]}}}],"schema":"https://github.com/citation-style-language/schema/raw/master/csl-citation.json"} </w:instrText>
      </w:r>
      <w:r w:rsidR="00573F59">
        <w:fldChar w:fldCharType="separate"/>
      </w:r>
      <w:r w:rsidR="00573F59">
        <w:rPr>
          <w:noProof/>
        </w:rPr>
        <w:t>(Linster &amp; Van Schaftingen, 2007)</w:t>
      </w:r>
      <w:r w:rsidR="00573F59">
        <w:fldChar w:fldCharType="end"/>
      </w:r>
      <w:r>
        <w:t xml:space="preserve">. </w:t>
      </w:r>
      <w:r>
        <w:t xml:space="preserve">These shifts may represent a compensatory effort to counteract the loss of ROS-neutralizing pathways and help sustain redox balance at high temperatures. Unfortunately, this compensation is likely insufficient to prevent the accumulation of ROS as indicated by the concomitant increase in pathways involved in nucleotide mobilization including purine and pyrimidine de novo synthesis, nucleotide salvage, and recycling </w:t>
      </w:r>
      <w:r w:rsidR="00573F59">
        <w:t>(Fig 4D)</w:t>
      </w:r>
      <w:r>
        <w:fldChar w:fldCharType="begin"/>
      </w:r>
      <w:r>
        <w:instrText xml:space="preserve"> ADDIN ZOTERO_ITEM CSL_CITATION {"citationID":"VWKBgd91","properties":{"formattedCitation":"(Kilstrup et al., 2005; Lane &amp; Fan, 2015)","plainCitation":"(Kilstrup et al., 2005; Lane &amp; Fan, 2015)","noteIndex":0},"citationItems":[{"id":3291,"uris":["http://zotero.org/users/13901503/items/6MPJ4SKF"],"itemData":{"id":3291,"type":"article-journal","abstract":"Most metabolic reactions are connected through either their utilization of nucleotides or their utilization of nucleotides or their regulation by these metabolites. In this review the biosynthetic pathways for pyrimidine and purine metabolism in lactic acid bacteria are described including the interconversion pathways, the formation of deoxyribonucleotides and the salvage pathways for use of exogenous precursors. The data for the enzymatic and the genetic regulation of these pathways are reviewed, as well as the gene organizations in di</w:instrText>
      </w:r>
      <w:r>
        <w:rPr>
          <w:rFonts w:ascii="Cambria Math" w:hAnsi="Cambria Math" w:cs="Cambria Math"/>
        </w:rPr>
        <w:instrText>ﬀ</w:instrText>
      </w:r>
      <w:r>
        <w:instrText xml:space="preserve">erent lactic acid bacteria. Mutant phenotypes and methods for manipulation of nucleotide pools are also discussed. Our aim is to provide an overview of the physiology and genetics of nucleotide metabolism and its regulation that will facilitate the interpretation of data arising from genetics, metabolomics, proteomics, and transcriptomics in lactic acid bacteria.","container-title":"FEMS Microbiology Reviews","DOI":"10.1016/j.fmrre.2005.04.006","ISSN":"1574-6976","issue":"3","journalAbbreviation":"FEMS Microbiol Rev","language":"en","page":"555-590","source":"DOI.org (Crossref)","title":"Nucleotide metabolism and its control in lactic acid bacteria","volume":"29","author":[{"family":"Kilstrup","given":"Mogens"},{"family":"Hammer","given":"Karin"},{"family":"Ruhdal Jensen","given":"Peter"},{"family":"Martinussen","given":"Jan"}],"issued":{"date-parts":[["2005",8]]}}},{"id":3293,"uris":["http://zotero.org/users/13901503/items/ZVCXJZJX"],"itemData":{"id":3293,"type":"article-journal","abstract":"Nucleotides are required for a wide variety of biological processes and are constantly synthesized de novo in all cells. When cells proliferate, increased nucleotide synthesis is necessary for DNA replication and for RNA production to support protein synthesis at different stages of the cell cycle, during which these events are regulated at multiple levels. Therefore the synthesis of the precursor nucleotides is also strongly regulated at multiple levels. Nucleotide synthesis is an energy intensive process that uses multiple metabolic pathways across different cell compartments and several sources of carbon and nitrogen. The processes are regulated at the transcription level by a set of master transcription factors but also at the enzyme level by allosteric regulation and feedback inhibition. Here we review the cellular demands of nucleotide biosynthesis, their metabolic pathways and mechanisms of regulation during the cell cycle. The use of stable isotope tracers for delineating the biosynthetic routes of the multiple intersecting pathways and how these are quantitatively controlled under different conditions is also highlighted. Moreover, the importance of nucleotide synthesis for cell viability is discussed and how this may lead to potential new approaches to drug development in diseases such as cancer.","container-title":"Nucleic Acids Research","DOI":"10.1093/nar/gkv047","ISSN":"1362-4962, 0305-1048","issue":"4","language":"en","license":"http://creativecommons.org/licenses/by/4.0/","page":"2466-2485","source":"DOI.org (Crossref)","title":"Regulation of mammalian nucleotide metabolism and biosynthesis","volume":"43","author":[{"family":"Lane","given":"Andrew N"},{"family":"Fan","given":"Teresa W-M"}],"issued":{"date-parts":[["2015",2,27]]}}}],"schema":"https://github.com/citation-style-language/schema/raw/master/csl-citation.json"} </w:instrText>
      </w:r>
      <w:r>
        <w:fldChar w:fldCharType="separate"/>
      </w:r>
      <w:r>
        <w:rPr>
          <w:noProof/>
        </w:rPr>
        <w:t>(Kilstrup et al., 2005; Lane &amp; Fan, 2015)</w:t>
      </w:r>
      <w:r>
        <w:fldChar w:fldCharType="end"/>
      </w:r>
      <w:r>
        <w:t xml:space="preserve">. There is also an increase in pathways that may support accuracy during translation </w:t>
      </w:r>
      <w:r w:rsidRPr="00F33655">
        <w:t xml:space="preserve">such as </w:t>
      </w:r>
      <w:proofErr w:type="spellStart"/>
      <w:r w:rsidRPr="00F33655">
        <w:t>queuosine</w:t>
      </w:r>
      <w:proofErr w:type="spellEnd"/>
      <w:r w:rsidRPr="00F33655">
        <w:t xml:space="preserve"> synthesis and S-adenosylmethionine salvage</w:t>
      </w:r>
      <w:r>
        <w:t xml:space="preserve"> </w:t>
      </w:r>
      <w:r w:rsidRPr="00F33655">
        <w:t>(Vinayak &amp; Pathak, 2010)</w:t>
      </w:r>
      <w:r>
        <w:t xml:space="preserve">. This coordinated increase in nucleotide and translation-associated metabolism may reflect a microbial response to redox imbalance, because the accumulation of ROS can lead to DNA damage </w:t>
      </w:r>
      <w:r>
        <w:fldChar w:fldCharType="begin"/>
      </w:r>
      <w:r>
        <w:instrText xml:space="preserve"> ADDIN ZOTERO_ITEM CSL_CITATION {"citationID":"De7gRBET","properties":{"formattedCitation":"(Imlay, 2013)","plainCitation":"(Imlay, 2013)","noteIndex":0},"citationItems":[{"id":3368,"uris":["http://zotero.org/users/13901503/items/R3YTNYU9"],"itemData":{"id":3368,"type":"article-journal","abstract":"Excess oxygen can disrupt the growth of most organisms, but the underlying mechanisms of damage have proved difficult to unravel. The model bacterium Escherichia coli represents the best understood organism in terms of the effects of and response to oxidative stress.Superoxide (O2−) and hydrogen peroxide (H2O2) are formed within cells when molecular oxygen (O2) adventitiously acquires electrons from the reduced cofactors of flavoproteins.Both O2− and H2O2 can oxidize the exposed Fe–S clusters of a family of dehydratases. This event destabilizes the clusters, and their consequent disintegration eliminates enzyme activity.O2− and H2O2 also inactivate a variety of non-redox enzymes that use single Fe2+ ions as catalytic cofactors.DNA is damaged when H2O2 reacts with the intracellular pool of unincorporated iron. The iron that is released from oxidized metalloproteins enlarges this pool and accelerates this process.The transcription factor OxyR detects modest increments in intracellular H2O2. It activates several responses that help preserve the activities of Fe–S and mononuclear metalloenzymes.The SoxRS system detects redox-active compounds that are released by plants and some bacteria. These compounds can generate toxic doses of O2−, and the SoxRS system acts primarily to minimize the amounts of these compounds inside the cell.Future studies should aim to determine whether the knowledge gained from studying oxidative stress in the facultative anaerobe E. coli is applicable to other organisms, such as strictly aerobic and microaerophilic bacteria.","container-title":"Nature Reviews Microbiology","DOI":"10.1038/nrmicro3032","ISSN":"1740-1534","issue":"7","journalAbbreviation":"Nat Rev Microbiol","language":"en","license":"2013 Springer Nature Limited","note":"publisher: Nature Publishing Group","page":"443-454","source":"www.nature.com","title":"The molecular mechanisms and physiological consequences of oxidative stress: lessons from a model bacterium","title-short":"The molecular mechanisms and physiological consequences of oxidative stress","volume":"11","author":[{"family":"Imlay","given":"James A."}],"issued":{"date-parts":[["2013",7]]}}}],"schema":"https://github.com/citation-style-language/schema/raw/master/csl-citation.json"} </w:instrText>
      </w:r>
      <w:r>
        <w:fldChar w:fldCharType="separate"/>
      </w:r>
      <w:r>
        <w:rPr>
          <w:noProof/>
        </w:rPr>
        <w:t>(Imlay, 2013)</w:t>
      </w:r>
      <w:r>
        <w:fldChar w:fldCharType="end"/>
      </w:r>
      <w:r>
        <w:t>.</w:t>
      </w:r>
      <w:r w:rsidR="00AB74C6">
        <w:t xml:space="preserve"> </w:t>
      </w:r>
    </w:p>
    <w:p w14:paraId="01826818" w14:textId="77777777" w:rsidR="003340EB" w:rsidRDefault="003340EB" w:rsidP="000F177E"/>
    <w:p w14:paraId="6E7CE877" w14:textId="1CF4C8D2" w:rsidR="00280546" w:rsidRDefault="003340EB" w:rsidP="00280546">
      <w:r>
        <w:t xml:space="preserve">Further, shifts in pathways responsible for immune regulation may decrease host immune tolerance towards the microbiome. </w:t>
      </w:r>
      <w:r w:rsidR="00280546">
        <w:t xml:space="preserve">Rising temperatures are associated with a </w:t>
      </w:r>
      <w:r w:rsidR="00280546" w:rsidRPr="00183627">
        <w:t xml:space="preserve">decrease in </w:t>
      </w:r>
      <w:r w:rsidR="00280546">
        <w:t xml:space="preserve">microbial </w:t>
      </w:r>
      <w:r w:rsidR="00280546" w:rsidRPr="00183627">
        <w:t xml:space="preserve">pathways that </w:t>
      </w:r>
      <w:r w:rsidR="00280546">
        <w:t xml:space="preserve">produce metabolites known to support anti-inflammatory signaling directed from the microbiome to the host. This includes a reduction in the production of short-chain fatty acids such as butyrate and propanoate, catabolism of monosaturated fatty acids like oleate, and amino acid–derived immunomodulators including arginine degradation and ornithine biosynthesis (Fig 4E). Loss of these pathways may weaken key mechanisms that promote host immune tolerance toward gut bacteria including support of anti-inflammatory regulatory T cell activity </w:t>
      </w:r>
      <w:r w:rsidR="00280546">
        <w:fldChar w:fldCharType="begin"/>
      </w:r>
      <w:r w:rsidR="00280546">
        <w:instrText xml:space="preserve"> ADDIN ZOTERO_ITEM CSL_CITATION {"citationID":"oCjERRK6","properties":{"formattedCitation":"(Arpaia et al., 2013; Furusawa et al., 2013)","plainCitation":"(Arpaia et al., 2013; Furusawa et al., 2013)","noteIndex":0},"citationItems":[{"id":3266,"uris":["http://zotero.org/users/13901503/items/ZX3K6GKV"],"itemData":{"id":3266,"type":"article-journal","abstract":"In mice, provision of butyrate—a short-chain fatty acid produced by commensal microorganisms during starch fermentation—facilitates extrathymic generation and differentiation of Foxp3+ regulatory T cells, demonstrating that metabolic by-products are sensed by cells of the immune system and affect the balance between pro- and anti-inflammatory cells.","container-title":"Nature","DOI":"10.1038/nature12726","ISSN":"1476-4687","issue":"7480","language":"en","license":"2013 Springer Nature Limited","note":"publisher: Nature Publishing Group","page":"451-455","source":"www.nature.com","title":"Metabolites produced by commensal bacteria promote peripheral regulatory T-cell generation","volume":"504","author":[{"family":"Arpaia","given":"Nicholas"},{"family":"Campbell","given":"Clarissa"},{"family":"Fan","given":"Xiying"},{"family":"Dikiy","given":"Stanislav"},{"family":"Veeken","given":"Joris","non-dropping-particle":"van der"},{"family":"deRoos","given":"Paul"},{"family":"Liu","given":"Hui"},{"family":"Cross","given":"Justin R."},{"family":"Pfeffer","given":"Klaus"},{"family":"Coffer","given":"Paul J."},{"family":"Rudensky","given":"Alexander Y."}],"issued":{"date-parts":[["2013",12]]}}},{"id":3264,"uris":["http://zotero.org/users/13901503/items/8XXJ4CBR"],"itemData":{"id":3264,"type":"article-journal","abstract":"The gut microbial metabolite butyrate is shown to induce the differentiation of colonic T regulatory cells in mice and to ameliorate the development of colitis; it also increases histone H3 acetylation at the Foxp3 promoter.","container-title":"Nature","DOI":"10.1038/nature12721","ISSN":"1476-4687","issue":"7480","language":"en","license":"2013 Springer Nature Limited","note":"publisher: Nature Publishing Group","page":"446-450","source":"www.nature.com","title":"Commensal microbe-derived butyrate induces the differentiation of colonic regulatory T cells","volume":"504","author":[{"family":"Furusawa","given":"Yukihiro"},{"family":"Obata","given":"Yuuki"},{"family":"Fukuda","given":"Shinji"},{"family":"Endo","given":"Takaho A."},{"family":"Nakato","given":"Gaku"},{"family":"Takahashi","given":"Daisuke"},{"family":"Nakanishi","given":"Yumiko"},{"family":"Uetake","given":"Chikako"},{"family":"Kato","given":"Keiko"},{"family":"Kato","given":"Tamotsu"},{"family":"Takahashi","given":"Masumi"},{"family":"Fukuda","given":"Noriko N."},{"family":"Murakami","given":"Shinnosuke"},{"family":"Miyauchi","given":"Eiji"},{"family":"Hino","given":"Shingo"},{"family":"Atarashi","given":"Koji"},{"family":"Onawa","given":"Satoshi"},{"family":"Fujimura","given":"Yumiko"},{"family":"Lockett","given":"Trevor"},{"family":"Clarke","given":"Julie M."},{"family":"Topping","given":"David L."},{"family":"Tomita","given":"Masaru"},{"family":"Hori","given":"Shohei"},{"family":"Ohara","given":"Osamu"},{"family":"Morita","given":"Tatsuya"},{"family":"Koseki","given":"Haruhiko"},{"family":"Kikuchi","given":"Jun"},{"family":"Honda","given":"Kenya"},{"family":"Hase","given":"Koji"},{"family":"Ohno","given":"Hiroshi"}],"issued":{"date-parts":[["2013",12]]}}}],"schema":"https://github.com/citation-style-language/schema/raw/master/csl-citation.json"} </w:instrText>
      </w:r>
      <w:r w:rsidR="00280546">
        <w:fldChar w:fldCharType="separate"/>
      </w:r>
      <w:r w:rsidR="00280546">
        <w:rPr>
          <w:noProof/>
        </w:rPr>
        <w:t>(Arpaia et al., 2013; Furusawa et al., 2013)</w:t>
      </w:r>
      <w:r w:rsidR="00280546">
        <w:fldChar w:fldCharType="end"/>
      </w:r>
      <w:r w:rsidR="00280546">
        <w:t xml:space="preserve">, suppression of pro-inflammatory cytokine signaling </w:t>
      </w:r>
      <w:r w:rsidR="00280546">
        <w:fldChar w:fldCharType="begin"/>
      </w:r>
      <w:r w:rsidR="00280546">
        <w:instrText xml:space="preserve"> ADDIN ZOTERO_ITEM CSL_CITATION {"citationID":"CvzFPJOA","properties":{"formattedCitation":"(Hung et al., 2023; Klampfer et al., 2003)","plainCitation":"(Hung et al., 2023; Klampfer et al., 2003)","noteIndex":0},"citationItems":[{"id":3176,"uris":["http://zotero.org/users/13901503/items/HTMPX6GE"],"itemData":{"id":3176,"type":"article-journal","abstract":"Monocytes are a major population of circulating immune cells that play a crucial role in producing pro-inflammatory cytokines in the body. The actions of monocytes are known to be influenced by the combinations and concentrations of certain fatty acids (FAs) in blood and dietary fats. However, systemic comparisons of the effects of FAs on cytokine secretion by monocytes have not be performed. In this study, we compared how six saturated FAs (SFAs), two monounsaturated FAs (MUFAs), and seven polyunsaturated FAs (PUFAs) modulate human THP-1 monocyte secretion of TNF, IL-1β, and IL-6 in the absence or presence of lipopolysaccharide. SFAs generally stimulated resting THP-1 cells to secrete pro-inflammatory cytokines, with stearic acid being the most potent species. In contrast, MUFAs and PUFAs inhibited lipopolysaccharide-induced secretion of pro-inflammatory cytokines. Interestingly, the inhibitory potentials of MUFAs and PUFAs followed U-shaped (TNF and IL-1β) or inverted U-shaped (IL-6) dose–response curves. Among the MUFAs and PUFAs that were analyzed, docosahexaenoic acid (C22:6 n-3) exhibited the largest number of double bonds and was found to be the most potent anti-inflammatory compound. Together, our findings reveal that the chemical compositions and concentrations of dietary FAs are key factors in the intricate regulation of monocyte-mediated inflammation.","container-title":"Scientific Reports","DOI":"10.1038/s41598-023-32710-5","ISSN":"2045-2322","issue":"1","journalAbbreviation":"Sci Rep","language":"en","license":"2023 The Author(s)","note":"publisher: Nature Publishing Group","page":"5511","source":"www.nature.com","title":"Dietary fatty acids differentially affect secretion of pro-inflammatory cytokines in human THP-1 monocytes","volume":"13","author":[{"family":"Hung","given":"Hao-Chang"},{"family":"Tsai","given":"Sheng-Feng"},{"family":"Chou","given":"Hsuan-Wen"},{"family":"Tsai","given":"Ming-Jun"},{"family":"Hsu","given":"Pei-Ling"},{"family":"Kuo","given":"Yu-Min"}],"issued":{"date-parts":[["2023",4,4]]}}},{"id":2208,"uris":["http://zotero.org/users/13901503/items/CGJLGGCV"],"itemData":{"id":2208,"type":"article-journal","abstract":"The short chain fatty acid butyrate promotes proliferation and survival of normal epithelial cells, but induces G1 or G2-M arrest in transformed cells, which is coupled to differentiation and apoptosis. Local administration of butyrate has been shown to ameliorate inflammation in ulcerative colitis; however, the precise mechanism of its anti-inflammatory activity is not known. IFN-γ is one of the principle cytokines secreted by lamina propria cells in inflamed mucosa and elevated levels of the transcription factor required for IFN-γ signaling, STAT1 (signal transducer and activator of transcription 1), are present in the colonic mucosa of patients with ulcerative colitis and Crohn's disease. Here we report that butyrate is a strong inhibitor of signaling by IFN-γ. We demonstrated that this short chain fatty acid inhibits IFN-γ-induced tyrosine and serine phosphorylation of STAT1. IFN-γ-induced JAK2 activation was inhibited by butyrate, implicating JAK2 as a target of butyrate action. Accordingly, STAT1 nuclear translocation and its DNA binding were completely inhibited in butyrate-treated cells. Transient transfection experiments using a reporter gene construct containing eight GAS sites (γ-activated sites) revealed that butyrate inhibits IFN-γ induced, STAT1-dependent, transcriptional activation. Proinflammatory cytokines, including IFN-γ, play an important role in the pathogenesis of inflammatory bowel disease, and abnormal activity of STAT1 is associated with human malignancies and intestinal inflammatory diseases. Thus, our data suggest that butyrate negatively regulates mucosal inflammation through the inhibition of IFN-γ/STAT1 signaling.","container-title":"Molecular Cancer Research","ISSN":"1541-7786","issue":"11","journalAbbreviation":"Molecular Cancer Research","page":"855-862","source":"Silverchair","title":"Inhibition of Interferon γ Signaling by the Short Chain Fatty Acid Butyrate1","volume":"1","author":[{"family":"Klampfer","given":"Lidija"},{"family":"Huang","given":"Jie"},{"family":"Sasazuki","given":"Takehiko"},{"family":"Shirasawa","given":"Senji"},{"family":"Augenlicht","given":"Leonard"}],"issued":{"date-parts":[["2003",9,1]]}}}],"schema":"https://github.com/citation-style-language/schema/raw/master/csl-citation.json"} </w:instrText>
      </w:r>
      <w:r w:rsidR="00280546">
        <w:fldChar w:fldCharType="separate"/>
      </w:r>
      <w:r w:rsidR="00280546">
        <w:rPr>
          <w:noProof/>
        </w:rPr>
        <w:t>(Hung et al., 2023; Klampfer et al., 2003)</w:t>
      </w:r>
      <w:r w:rsidR="00280546">
        <w:fldChar w:fldCharType="end"/>
      </w:r>
      <w:r w:rsidR="00280546">
        <w:t xml:space="preserve">, and support for M2 macrophage anti-inflammatory activity </w:t>
      </w:r>
      <w:r w:rsidR="00280546">
        <w:fldChar w:fldCharType="begin"/>
      </w:r>
      <w:r w:rsidR="00280546">
        <w:instrText xml:space="preserve"> ADDIN ZOTERO_ITEM CSL_CITATION {"citationID":"ed86fdVL","properties":{"formattedCitation":"(Bronte &amp; Zanovello, 2005; Rath et al., 2014)","plainCitation":"(Bronte &amp; Zanovello, 2005; Rath et al., 2014)","noteIndex":0},"citationItems":[{"id":3530,"uris":["http://zotero.org/users/13901503/items/C52YCWD9"],"itemData":{"id":3530,"type":"article-journal","abstract":"An impaired balance between immature and mature myeloid cells is one of the hallmarks of seemingly unrelated pathological conditions that are associated with T-cell dysfunction.In mice, co-expression of CD11b and GR1 is associated with myeloid cells at various stages of differentiation that can inhibit T-cell activation induced by either antigen or a polyclonal stimulus. This inhibition occurs through an MHC-independent mechanism that requires cell–cell contact.These myeloid cells are known as myeloid suppressor cells (MSCs), and they partially overlap with the previously described natural suppressor cells. MSCs arise from bone marrow and other haematopoietic organs that are exposed to systemically released factors that act on myelomonocytic precursors.MSCs inhibit antigen-activated T cells by a mechanism that requires important enzymes of L-arginine metabolism, the inducible forms of nitric-oxide synthase (NOS) and arginase (ARG), NOS2 and ARG1. In mouse myeloid cells, NOS2 and ARG1are competitively regulated by T helper 1 (TH1) and TH2 cytokines, respectively.MSCs can use ARG1 and NOS2, either separately or in combination, to restrain T-cell functions. The choice is regulated by a network of signals, cytokines and receptor–ligand interactions that underlie the crosstalk between MSCs and activated T cells.NOS2 generates nitric oxide (NO), which blocks signalling from the interleukin-2 receptor. By contrast, L-arginine depletion induced by the activity of ARG1 causes downregulation of expression of the ζ-chain of CD3 and, consequently, impairment of its signalling properties.Moreover, NO and superoxide (O2−) production in MSCs generates several highly oxidizing molecules known as reactive nitrogen and oxygen species. Generation of reactive nitrogen and oxygen species regulates the contraction phase of CD8+ T cells following antigenic stimulation.The activity of ARG1 and NOS2 working in combination was recently described for CD11b+GR1+ cells from tumour-bearing mice and chronically infected mice, thereby indicating that co-expression of both enzymes could be unique to MSCs.Evidence from animal and human models indicates that the immunomodulatory role of L-arginine metabolism is important in physiological, as well as pathological, conditions, which provides the rationale for development of therapeutic compounds that control the ARG and NOS enzymatic pathways.","container-title":"Nature Reviews Immunology","DOI":"10.1038/nri1668","ISSN":"1474-1741","issue":"8","journalAbbreviation":"Nat Rev Immunol","language":"en","license":"2005 Springer Nature Limited","note":"publisher: Nature Publishing Group","page":"641-654","source":"www.nature.com","title":"Regulation of immune responses by L-arginine metabolism","volume":"5","author":[{"family":"Bronte","given":"Vincenzo"},{"family":"Zanovello","given":"Paola"}],"issued":{"date-parts":[["2005",8]]}}},{"id":3268,"uris":["http://zotero.org/users/13901503/items/7ZIYMCTV"],"itemData":{"id":3268,"type":"article-journal","abstract":"Macrophages play a major role in the immune system, both as antimicrobial effector cells and as immunoregulatory cells, which induce, suppress or modulate adaptive immune responses. These key aspects of macrophage biology are fundamentally driven by the phenotype of macrophage arginine metabolism that is prevalent in an evolving or ongoing immune response. M1 macrophages express the enzyme nitric oxide synthase, which metabolizes arginine to nitric oxide (NO) and citrulline. NO can be metabolized to further downstream reactive nitrogen species, while citrulline might be reused for efficient NO synthesis via the citrulline–NO cycle. M2 macrophages are characterized by expression of the enzyme arginase, which hydrolyzes arginine to ornithine and urea. The arginase pathway limits arginine availability for NO synthesis and ornithine itself can further feed into the important downstream pathways of polyamine and proline syntheses, which are important for cellular proliferation and tissue repair. M1 versus M2 polarization leads to opposing outcomes of inflammatory reactions, but depending on the context, M1 and M2 macrophages can be both pro- and anti-inflammatory. Notably, M1/M2 macrophage polarization can be driven by microbial infection or innate danger signals without any influence of adaptive immune cells, secondarily driving the T helper (Th)1/Th2 polarization of the evolving adaptive immune response. Since both arginine metabolic pathways cross-inhibit each other on the level of the respective arginine break-down products and Th1 and Th2 lymphocytes can drive or amplify macrophage M1/M2 dichotomy via cytokine activation, this forms the basis of a self-sustaining M1/M2 polarization of the whole immune response. Understanding the arginine metabolism of M1/M2 macrophage phenotypes is therefore central to find new possibilities to manipulate immune responses in infection, autoimmune diseases, chronic inflammatory conditions, and cancer.","container-title":"Frontiers in Immunology","DOI":"10.3389/fimmu.2014.00532","ISSN":"1664-3224","journalAbbreviation":"Front. Immunol.","language":"English","note":"publisher: Frontiers","source":"Frontiers","title":"Metabolism via Arginase or Nitric Oxide Synthase: Two Competing Arginine Pathways in Macrophages","title-short":"Metabolism via Arginase or Nitric Oxide Synthase","URL":"https://www.frontiersin.orghttps://www.frontiersin.org/journals/immunology/articles/10.3389/fimmu.2014.00532/full","volume":"5","author":[{"family":"Rath","given":"Meera"},{"family":"Müller","given":"Ingrid"},{"family":"Kropf","given":"Pascale"},{"family":"Closs","given":"Ellen I."},{"family":"Munder","given":"Markus"}],"accessed":{"date-parts":[["2025",5,9]]},"issued":{"date-parts":[["2014",10,27]]}}}],"schema":"https://github.com/citation-style-language/schema/raw/master/csl-citation.json"} </w:instrText>
      </w:r>
      <w:r w:rsidR="00280546">
        <w:fldChar w:fldCharType="separate"/>
      </w:r>
      <w:r w:rsidR="00280546">
        <w:rPr>
          <w:noProof/>
        </w:rPr>
        <w:t>(Bronte &amp; Zanovello, 2005; Rath et al., 2014)</w:t>
      </w:r>
      <w:r w:rsidR="00280546">
        <w:fldChar w:fldCharType="end"/>
      </w:r>
      <w:r w:rsidR="00280546">
        <w:t xml:space="preserve">. However, these shifts are accompanied by an increase in select pathways that may help compensate for the loss of microbial immune regulation, including the synthesis of the </w:t>
      </w:r>
      <w:r w:rsidR="00280546" w:rsidRPr="000C50E7">
        <w:t>saturated</w:t>
      </w:r>
      <w:r w:rsidR="00280546">
        <w:t xml:space="preserve"> </w:t>
      </w:r>
      <w:r w:rsidR="00280546">
        <w:t>fatty acid</w:t>
      </w:r>
      <w:r w:rsidR="00280546">
        <w:t>s</w:t>
      </w:r>
      <w:r w:rsidR="00280546">
        <w:t xml:space="preserve"> (5Z)-</w:t>
      </w:r>
      <w:proofErr w:type="spellStart"/>
      <w:r w:rsidR="00280546">
        <w:t>dodecenoate</w:t>
      </w:r>
      <w:proofErr w:type="spellEnd"/>
      <w:r w:rsidR="00280546">
        <w:t xml:space="preserve"> and L-tryptophan biosynthesis, which leads to the production of indole derivatives that suppress pro-inflammatory cytokine signaling </w:t>
      </w:r>
      <w:r w:rsidR="00280546">
        <w:fldChar w:fldCharType="begin"/>
      </w:r>
      <w:r w:rsidR="00280546">
        <w:instrText xml:space="preserve"> ADDIN ZOTERO_ITEM CSL_CITATION {"citationID":"WbrfEbW1","properties":{"formattedCitation":"(Konopelski &amp; Mogilnicka, 2022)","plainCitation":"(Konopelski &amp; Mogilnicka, 2022)","noteIndex":0},"citationItems":[{"id":3532,"uris":["http://zotero.org/users/13901503/items/X4GCYZZS"],"itemData":{"id":3532,"type":"article-journal","abstract":"Actions of symbiotic gut microbiota are in dynamic balance with the host’s organism to maintain homeostasis. Many different factors have an impact on this relationship, including bacterial metabolites. Several substrates for their synthesis have been established, including tryptophan, an exogenous amino acid. Many biological processes are influenced by the action of tryptophan and its endogenous metabolites, serotonin, and melatonin. Recent research findings also provide evidence that gut bacteria-derived metabolites of tryptophan share the biological effects of their precursor. Thus, this review aims to investigate the biological actions of indole-3-propionic acid (IPA), a gut microbiota-derived metabolite of tryptophan. We searched PUBMED and Google Scholar databases to identify pre-clinical and clinical studies evaluating the impact of IPA on the health and pathophysiology of the immune, nervous, gastrointestinal and cardiovascular system in mammals. IPA exhibits a similar impact on the energetic balance and cardiovascular system to its precursor, tryptophan. Additionally, IPA has a positive impact on a cellular level, by preventing oxidative stress injury, lipoperoxidation and inhibiting synthesis of proinflammatory cytokines. Its synthesis can be diminished in the presence of different risk factors of atherosclerosis. On the other hand, protective factors, such as the introduction of a Mediterranean diet, tend to increase its plasma concentration. IPA seems to be a promising new target, linking gut health with the cardiovascular system.","container-title":"International Journal of Molecular Sciences","DOI":"10.3390/ijms23031222","ISSN":"1422-0067","issue":"3","language":"en","license":"http://creativecommons.org/licenses/by/3.0/","note":"number: 3\npublisher: Multidisciplinary Digital Publishing Institute","page":"1222","source":"www.mdpi.com","title":"Biological Effects of Indole-3-Propionic Acid, a Gut Microbiota-Derived Metabolite, and Its Precursor Tryptophan in Mammals’ Health and Disease","volume":"23","author":[{"family":"Konopelski","given":"Piotr"},{"family":"Mogilnicka","given":"Izabella"}],"issued":{"date-parts":[["2022",1]]}}}],"schema":"https://github.com/citation-style-language/schema/raw/master/csl-citation.json"} </w:instrText>
      </w:r>
      <w:r w:rsidR="00280546">
        <w:fldChar w:fldCharType="separate"/>
      </w:r>
      <w:r w:rsidR="00280546">
        <w:rPr>
          <w:noProof/>
        </w:rPr>
        <w:t>(Konopelski &amp; Mogilnicka, 2022)</w:t>
      </w:r>
      <w:r w:rsidR="00280546">
        <w:fldChar w:fldCharType="end"/>
      </w:r>
      <w:r w:rsidR="00280546">
        <w:t xml:space="preserve">. </w:t>
      </w:r>
    </w:p>
    <w:p w14:paraId="29E5AA85" w14:textId="77777777" w:rsidR="00786945" w:rsidRDefault="00786945" w:rsidP="00A566A6"/>
    <w:p w14:paraId="13D213D5" w14:textId="77777777" w:rsidR="000C50E7" w:rsidRDefault="000C50E7" w:rsidP="000C50E7">
      <w:pPr>
        <w:rPr>
          <w:u w:val="single"/>
        </w:rPr>
      </w:pPr>
      <w:r>
        <w:rPr>
          <w:u w:val="single"/>
        </w:rPr>
        <w:t>Neopterin</w:t>
      </w:r>
      <w:r w:rsidRPr="00AE374C">
        <w:rPr>
          <w:u w:val="single"/>
        </w:rPr>
        <w:t xml:space="preserve"> is </w:t>
      </w:r>
      <w:r>
        <w:rPr>
          <w:u w:val="single"/>
        </w:rPr>
        <w:t>associated</w:t>
      </w:r>
      <w:r w:rsidRPr="00AE374C">
        <w:rPr>
          <w:u w:val="single"/>
        </w:rPr>
        <w:t xml:space="preserve"> </w:t>
      </w:r>
      <w:r>
        <w:rPr>
          <w:u w:val="single"/>
        </w:rPr>
        <w:t xml:space="preserve">with </w:t>
      </w:r>
      <w:r w:rsidRPr="00AE374C">
        <w:rPr>
          <w:u w:val="single"/>
        </w:rPr>
        <w:t xml:space="preserve">the gut microbiome’s </w:t>
      </w:r>
      <w:r>
        <w:rPr>
          <w:u w:val="single"/>
        </w:rPr>
        <w:t>relationship with</w:t>
      </w:r>
      <w:r w:rsidRPr="00AE374C">
        <w:rPr>
          <w:u w:val="single"/>
        </w:rPr>
        <w:t xml:space="preserve"> temperature</w:t>
      </w:r>
    </w:p>
    <w:p w14:paraId="77AD7B45" w14:textId="77777777" w:rsidR="000C50E7" w:rsidRPr="00991E79" w:rsidRDefault="000C50E7" w:rsidP="000C50E7">
      <w:r w:rsidRPr="00991E79">
        <w:rPr>
          <w:i/>
          <w:iCs/>
        </w:rPr>
        <w:lastRenderedPageBreak/>
        <w:t>Community-level</w:t>
      </w:r>
      <w:r>
        <w:rPr>
          <w:i/>
          <w:iCs/>
        </w:rPr>
        <w:t xml:space="preserve"> results</w:t>
      </w:r>
    </w:p>
    <w:p w14:paraId="1D357A32" w14:textId="7905AEA4" w:rsidR="0081413B" w:rsidRDefault="000C50E7" w:rsidP="00F60603">
      <w:r>
        <w:t>To assess if neopterin concentration is associated with the gut microbiome’s relationship with temperature we compared the temperature model that included</w:t>
      </w:r>
      <w:r>
        <w:t xml:space="preserve"> known predictors of microbiome composition</w:t>
      </w:r>
      <w:r>
        <w:t xml:space="preserve"> plus temperature to a model that included the baseline predictors </w:t>
      </w:r>
      <w:r w:rsidR="00F60603">
        <w:t>and</w:t>
      </w:r>
      <w:r>
        <w:t xml:space="preserve"> an interaction effect between temperature and neopterin. </w:t>
      </w:r>
      <w:r w:rsidR="0081413B">
        <w:t>For taxonomic composition, the interaction model fits best for all three principal components</w:t>
      </w:r>
      <w:r w:rsidR="0081413B" w:rsidRPr="0081413B">
        <w:t xml:space="preserve"> </w:t>
      </w:r>
      <w:r w:rsidR="0081413B">
        <w:t>accounting for at least 98% of the model weight</w:t>
      </w:r>
      <w:r w:rsidR="0081413B">
        <w:t xml:space="preserve"> </w:t>
      </w:r>
      <w:r w:rsidR="0081413B">
        <w:t>(Fig 5B).</w:t>
      </w:r>
      <w:r w:rsidR="0081413B">
        <w:t xml:space="preserve"> </w:t>
      </w:r>
      <w:r w:rsidR="0081413B">
        <w:t>Principal component 1 is the only component with reliable confidence intervals (i.e., 95% CIs do not cross zero)</w:t>
      </w:r>
      <w:r w:rsidR="0081413B" w:rsidRPr="008852E2">
        <w:t xml:space="preserve"> </w:t>
      </w:r>
      <w:r w:rsidR="0081413B">
        <w:t>(Fig 5</w:t>
      </w:r>
      <w:r w:rsidR="002B6A18">
        <w:t>As</w:t>
      </w:r>
      <w:r w:rsidR="0081413B">
        <w:t>) and accounts for the greatest proportion of variance among all principal components. This result, combined with the high model weight for all principal components, suggests that neopterin concentration is associated with the relationship between beta diversity and temperature.</w:t>
      </w:r>
      <w:r w:rsidR="0081413B">
        <w:t xml:space="preserve"> In contrast, the temperature model fits best for both alpha diversity metrics accounting for at least 86% of the model weight. Th</w:t>
      </w:r>
      <w:r w:rsidR="007B10D4">
        <w:t>ese</w:t>
      </w:r>
      <w:r w:rsidR="0081413B">
        <w:t xml:space="preserve"> results combined with the </w:t>
      </w:r>
      <w:r w:rsidR="004477FD">
        <w:t>s</w:t>
      </w:r>
      <w:r w:rsidR="0081413B">
        <w:t xml:space="preserve">mall effect sizes </w:t>
      </w:r>
      <w:r w:rsidR="002B6A18">
        <w:t>(</w:t>
      </w:r>
      <w:r w:rsidR="002B6A18">
        <w:t xml:space="preserve">Shannon </w:t>
      </w:r>
      <w:r w:rsidR="002B6A18" w:rsidRPr="00887114">
        <w:t>β</w:t>
      </w:r>
      <w:r w:rsidR="002B6A18">
        <w:rPr>
          <w:vertAlign w:val="subscript"/>
        </w:rPr>
        <w:t>temp*neopterin</w:t>
      </w:r>
      <w:r w:rsidR="002B6A18">
        <w:t xml:space="preserve"> = -0.</w:t>
      </w:r>
      <w:r w:rsidR="002B6A18">
        <w:t>10</w:t>
      </w:r>
      <w:r w:rsidR="002B6A18">
        <w:t xml:space="preserve">, Observed </w:t>
      </w:r>
      <w:r w:rsidR="002B6A18" w:rsidRPr="00887114">
        <w:t>β</w:t>
      </w:r>
      <w:r w:rsidR="002B6A18">
        <w:rPr>
          <w:vertAlign w:val="subscript"/>
        </w:rPr>
        <w:t>temp</w:t>
      </w:r>
      <w:r w:rsidR="002B6A18">
        <w:rPr>
          <w:vertAlign w:val="subscript"/>
        </w:rPr>
        <w:t>*neopterin</w:t>
      </w:r>
      <w:r w:rsidR="002B6A18">
        <w:t xml:space="preserve"> = -0.</w:t>
      </w:r>
      <w:r w:rsidR="002B6A18">
        <w:t xml:space="preserve">13) </w:t>
      </w:r>
      <w:r w:rsidR="0081413B">
        <w:t>and unreliable confidence intervals for both alpha diversity indices</w:t>
      </w:r>
      <w:r w:rsidR="0081413B">
        <w:t xml:space="preserve"> (Fig 5</w:t>
      </w:r>
      <w:r w:rsidR="007B10D4">
        <w:t>A</w:t>
      </w:r>
      <w:r w:rsidR="0081413B">
        <w:t>)</w:t>
      </w:r>
      <w:r w:rsidR="0081413B" w:rsidRPr="0081413B">
        <w:t xml:space="preserve"> </w:t>
      </w:r>
      <w:r w:rsidR="0081413B">
        <w:t>suggest that the relationship between alpha diversity and temperature is independent of neopterin concentration.</w:t>
      </w:r>
    </w:p>
    <w:p w14:paraId="00D16534" w14:textId="77777777" w:rsidR="000F177E" w:rsidRDefault="000F177E" w:rsidP="000F177E"/>
    <w:p w14:paraId="7AF481BE" w14:textId="0F73CE5A" w:rsidR="00F60603" w:rsidRDefault="00F60603" w:rsidP="000F177E">
      <w:r>
        <w:t xml:space="preserve">For </w:t>
      </w:r>
      <w:r>
        <w:t>functional</w:t>
      </w:r>
      <w:r>
        <w:t xml:space="preserve"> composition</w:t>
      </w:r>
      <w:r>
        <w:t xml:space="preserve">, </w:t>
      </w:r>
      <w:r w:rsidR="0081413B">
        <w:t xml:space="preserve">the interaction model fits best for all three principal components and observed </w:t>
      </w:r>
      <w:r w:rsidR="007B10D4">
        <w:t>pathways</w:t>
      </w:r>
      <w:r w:rsidR="0081413B">
        <w:t xml:space="preserve"> accounting for at least 98% of the model weight</w:t>
      </w:r>
      <w:r w:rsidR="00FA1AA6">
        <w:t>,</w:t>
      </w:r>
      <w:r w:rsidR="0081413B">
        <w:t xml:space="preserve"> while the temperature model fits best for Shannon’s diversity accounting for 63% of the model weight (Fig 5B</w:t>
      </w:r>
      <w:r w:rsidR="002B6A18">
        <w:t>s</w:t>
      </w:r>
      <w:r w:rsidR="0081413B">
        <w:t>).</w:t>
      </w:r>
      <w:r w:rsidR="007B10D4">
        <w:t xml:space="preserve"> Even thoug</w:t>
      </w:r>
      <w:r w:rsidR="00FA1AA6">
        <w:t xml:space="preserve">h Principal component 3 is the only component with reliable confidence intervals, the </w:t>
      </w:r>
      <w:r w:rsidR="002B6A18">
        <w:t xml:space="preserve">large </w:t>
      </w:r>
      <w:r w:rsidR="00FA1AA6">
        <w:t xml:space="preserve">effect </w:t>
      </w:r>
      <w:r w:rsidR="002B6A18">
        <w:t>sizes</w:t>
      </w:r>
      <w:r w:rsidR="00FA1AA6">
        <w:t xml:space="preserve"> for all three components</w:t>
      </w:r>
      <w:r w:rsidR="002B6A18">
        <w:t xml:space="preserve"> </w:t>
      </w:r>
      <w:r w:rsidR="002B6A18">
        <w:t>(</w:t>
      </w:r>
      <w:r w:rsidR="002B6A18">
        <w:t xml:space="preserve">PC1 </w:t>
      </w:r>
      <w:r w:rsidR="002B6A18" w:rsidRPr="00887114">
        <w:t>β</w:t>
      </w:r>
      <w:r w:rsidR="002B6A18">
        <w:rPr>
          <w:vertAlign w:val="subscript"/>
        </w:rPr>
        <w:t>temp*neopterin</w:t>
      </w:r>
      <w:r w:rsidR="002B6A18">
        <w:t xml:space="preserve"> = </w:t>
      </w:r>
      <w:r w:rsidR="002B6A18">
        <w:t>17.60</w:t>
      </w:r>
      <w:r w:rsidR="002B6A18">
        <w:t xml:space="preserve">, </w:t>
      </w:r>
      <w:r w:rsidR="002B6A18">
        <w:t>PC2</w:t>
      </w:r>
      <w:r w:rsidR="002B6A18">
        <w:t xml:space="preserve"> </w:t>
      </w:r>
      <w:r w:rsidR="002B6A18" w:rsidRPr="00887114">
        <w:t>β</w:t>
      </w:r>
      <w:r w:rsidR="002B6A18">
        <w:rPr>
          <w:vertAlign w:val="subscript"/>
        </w:rPr>
        <w:t>temp*neopterin</w:t>
      </w:r>
      <w:r w:rsidR="002B6A18">
        <w:t xml:space="preserve"> = -</w:t>
      </w:r>
      <w:r w:rsidR="002B6A18">
        <w:t xml:space="preserve">7.66, PC3 </w:t>
      </w:r>
      <w:r w:rsidR="002B6A18" w:rsidRPr="00887114">
        <w:t>β</w:t>
      </w:r>
      <w:r w:rsidR="002B6A18">
        <w:rPr>
          <w:vertAlign w:val="subscript"/>
        </w:rPr>
        <w:t>temp*neopterin</w:t>
      </w:r>
      <w:r w:rsidR="002B6A18">
        <w:t xml:space="preserve"> =</w:t>
      </w:r>
      <w:r w:rsidR="002B6A18">
        <w:t xml:space="preserve"> -11.44</w:t>
      </w:r>
      <w:r w:rsidR="002B6A18">
        <w:t xml:space="preserve">) </w:t>
      </w:r>
      <w:r w:rsidR="002B6A18">
        <w:t xml:space="preserve"> </w:t>
      </w:r>
      <w:r w:rsidR="00FA1AA6">
        <w:t xml:space="preserve">plus the model weights </w:t>
      </w:r>
      <w:r w:rsidR="00FA1AA6">
        <w:t>suggest that neopterin concentration is associated with the relationship between</w:t>
      </w:r>
      <w:r w:rsidR="00FA1AA6">
        <w:t xml:space="preserve"> functional</w:t>
      </w:r>
      <w:r w:rsidR="00FA1AA6">
        <w:t xml:space="preserve"> beta diversity and temperature.</w:t>
      </w:r>
      <w:r w:rsidR="00FA1AA6">
        <w:t xml:space="preserve"> The effect size and model weight for observed pathways</w:t>
      </w:r>
      <w:r w:rsidR="002B6A18">
        <w:t xml:space="preserve"> (</w:t>
      </w:r>
      <w:r w:rsidR="002B6A18">
        <w:t xml:space="preserve">Observed </w:t>
      </w:r>
      <w:r w:rsidR="002B6A18" w:rsidRPr="00887114">
        <w:t>β</w:t>
      </w:r>
      <w:r w:rsidR="002B6A18">
        <w:rPr>
          <w:vertAlign w:val="subscript"/>
        </w:rPr>
        <w:t>temp*neopterin</w:t>
      </w:r>
      <w:r w:rsidR="002B6A18">
        <w:t xml:space="preserve"> = </w:t>
      </w:r>
      <w:r w:rsidR="002B6A18">
        <w:t xml:space="preserve">72.78) </w:t>
      </w:r>
      <w:r w:rsidR="00FA1AA6">
        <w:t>suggest that neopterin may be associated with the relationship between the total number of distinct metabolic pathways and temperature</w:t>
      </w:r>
      <w:r w:rsidR="004477FD">
        <w:t xml:space="preserve">. </w:t>
      </w:r>
      <w:r w:rsidR="00FA1AA6">
        <w:t>However, it is unlikely that neopterin is associated with the relationship between temperature and functional even</w:t>
      </w:r>
      <w:r w:rsidR="004477FD">
        <w:t>n</w:t>
      </w:r>
      <w:r w:rsidR="00FA1AA6">
        <w:t>ess due to the small effect size</w:t>
      </w:r>
      <w:r w:rsidR="002B6A18">
        <w:t xml:space="preserve"> </w:t>
      </w:r>
      <w:r w:rsidR="002B6A18">
        <w:t>(</w:t>
      </w:r>
      <w:r w:rsidR="002B6A18">
        <w:t>Shannon</w:t>
      </w:r>
      <w:r w:rsidR="002B6A18">
        <w:t xml:space="preserve"> </w:t>
      </w:r>
      <w:r w:rsidR="002B6A18" w:rsidRPr="00887114">
        <w:t>β</w:t>
      </w:r>
      <w:r w:rsidR="002B6A18">
        <w:rPr>
          <w:vertAlign w:val="subscript"/>
        </w:rPr>
        <w:t>temp*neopterin</w:t>
      </w:r>
      <w:r w:rsidR="002B6A18">
        <w:t xml:space="preserve"> = </w:t>
      </w:r>
      <w:r w:rsidR="002B6A18">
        <w:t>0.46</w:t>
      </w:r>
      <w:r w:rsidR="002B6A18">
        <w:t>)</w:t>
      </w:r>
      <w:r w:rsidR="00FA1AA6">
        <w:t xml:space="preserve">, unreliable confidence intervals, and model weight for Shannon’s diversity. </w:t>
      </w:r>
    </w:p>
    <w:p w14:paraId="168BCD18" w14:textId="77777777" w:rsidR="000C50E7" w:rsidRDefault="000C50E7" w:rsidP="00A566A6"/>
    <w:p w14:paraId="152349B8" w14:textId="77777777" w:rsidR="00502B08" w:rsidRDefault="00502B08" w:rsidP="00502B08">
      <w:pPr>
        <w:rPr>
          <w:i/>
          <w:iCs/>
        </w:rPr>
      </w:pPr>
      <w:r>
        <w:rPr>
          <w:i/>
          <w:iCs/>
        </w:rPr>
        <w:t>Taxonomic and metabolic pathway results</w:t>
      </w:r>
    </w:p>
    <w:p w14:paraId="779F0001" w14:textId="29BE9650" w:rsidR="009C62EC" w:rsidRDefault="00A46A10" w:rsidP="000F177E">
      <w:r>
        <w:t>Neopterin concentration is also associated with the relationship between</w:t>
      </w:r>
      <w:r w:rsidRPr="008852E2">
        <w:t xml:space="preserve"> </w:t>
      </w:r>
      <w:r>
        <w:t>temperature and the abundance of individual taxa. The same model comparison approach used for the community-level analysis shows that the interaction model accounts for more than 50% of the model weight for 2</w:t>
      </w:r>
      <w:r w:rsidR="004477FD">
        <w:t>0</w:t>
      </w:r>
      <w:r>
        <w:t xml:space="preserve"> out of the 93 individual taxa associated with temperature (</w:t>
      </w:r>
      <w:r w:rsidR="004477FD">
        <w:t>Sup Table</w:t>
      </w:r>
      <w:r>
        <w:t xml:space="preserve">). Among these taxa, </w:t>
      </w:r>
      <w:r w:rsidR="002B6A18">
        <w:t>6</w:t>
      </w:r>
      <w:r>
        <w:t xml:space="preserve"> are families and 14 are genera, with most of the taxa representing two phyla Firmicutes (1</w:t>
      </w:r>
      <w:r w:rsidR="004477FD">
        <w:t>2</w:t>
      </w:r>
      <w:r>
        <w:t xml:space="preserve"> taxa) and </w:t>
      </w:r>
      <w:proofErr w:type="spellStart"/>
      <w:r>
        <w:t>Bacteroidota</w:t>
      </w:r>
      <w:proofErr w:type="spellEnd"/>
      <w:r>
        <w:t xml:space="preserve"> (5 taxa). To interpret the interaction effect, we plotted the relationship between abundance and temperature across </w:t>
      </w:r>
      <w:r w:rsidR="002B6A18">
        <w:t>three</w:t>
      </w:r>
      <w:r>
        <w:t xml:space="preserve"> discrete ranges of neopterin values</w:t>
      </w:r>
      <w:r w:rsidR="002B6A18">
        <w:t xml:space="preserve"> (Fig 5)</w:t>
      </w:r>
      <w:r>
        <w:t xml:space="preserve">. These results indicate </w:t>
      </w:r>
      <w:r w:rsidR="009C62EC">
        <w:t>two</w:t>
      </w:r>
      <w:r>
        <w:t xml:space="preserve"> distinct effects: </w:t>
      </w:r>
      <w:r w:rsidR="009C62EC">
        <w:t xml:space="preserve">(1) </w:t>
      </w:r>
      <w:r w:rsidR="009C62EC">
        <w:t>the relationship between temperature and abundance becomes more negative (i.e. the slopes decrease)</w:t>
      </w:r>
      <w:r w:rsidR="009C62EC">
        <w:t xml:space="preserve"> at higher neopterin concentrations </w:t>
      </w:r>
      <w:r w:rsidR="009C62EC">
        <w:t>(Fig 4A),</w:t>
      </w:r>
      <w:r w:rsidR="009C62EC">
        <w:t xml:space="preserve"> </w:t>
      </w:r>
      <w:r w:rsidR="009C62EC">
        <w:t>(2)</w:t>
      </w:r>
      <w:r w:rsidR="009C62EC" w:rsidRPr="009C62EC">
        <w:t xml:space="preserve"> </w:t>
      </w:r>
      <w:r w:rsidR="009C62EC">
        <w:t>the relationship between temperature and abundance becomes more</w:t>
      </w:r>
      <w:r w:rsidR="009C62EC" w:rsidRPr="009C62EC">
        <w:t xml:space="preserve"> </w:t>
      </w:r>
      <w:r w:rsidR="009C62EC">
        <w:t>positive (i.e. the slopes increase)</w:t>
      </w:r>
      <w:r w:rsidR="009C62EC">
        <w:t xml:space="preserve"> at higher </w:t>
      </w:r>
      <w:r w:rsidR="009C62EC">
        <w:t>neopterin concentrations</w:t>
      </w:r>
      <w:r w:rsidR="009C62EC">
        <w:t xml:space="preserve"> </w:t>
      </w:r>
      <w:r w:rsidR="009C62EC">
        <w:t>(Fig 4B &amp; C).</w:t>
      </w:r>
      <w:r w:rsidR="007246CF" w:rsidRPr="007246CF">
        <w:t xml:space="preserve"> </w:t>
      </w:r>
      <w:r w:rsidR="007246CF">
        <w:t xml:space="preserve">There are two patterns of increasing slopes: one where a positive slope becomes steeper </w:t>
      </w:r>
      <w:r w:rsidR="007246CF">
        <w:t xml:space="preserve">when </w:t>
      </w:r>
      <w:r w:rsidR="007246CF">
        <w:t>neopterin</w:t>
      </w:r>
      <w:r w:rsidR="007246CF">
        <w:t xml:space="preserve"> is high</w:t>
      </w:r>
      <w:r w:rsidR="007246CF">
        <w:t>, and another where a negative slope shifts to positive when neopterin is high</w:t>
      </w:r>
      <w:r w:rsidR="007246CF">
        <w:t xml:space="preserve">. </w:t>
      </w:r>
      <w:r w:rsidR="009C62EC">
        <w:t xml:space="preserve">The majority of taxa (12 out of 20) </w:t>
      </w:r>
      <w:r w:rsidR="009C62EC">
        <w:t xml:space="preserve">exhibit decreasing slopes as neopterin increases. </w:t>
      </w:r>
      <w:r w:rsidR="009C62EC">
        <w:t xml:space="preserve">These effects likely reflect how taxonomic response to rising temperatures influences intestinal macrophage activity, while intestinal immunity simultaneously shapes </w:t>
      </w:r>
      <w:r w:rsidR="007246CF">
        <w:t xml:space="preserve">the </w:t>
      </w:r>
      <w:r w:rsidR="009C62EC">
        <w:t>taxonomic response to temperature.</w:t>
      </w:r>
    </w:p>
    <w:p w14:paraId="65DC506A" w14:textId="77777777" w:rsidR="009C62EC" w:rsidRDefault="009C62EC" w:rsidP="000F177E"/>
    <w:p w14:paraId="18CDE926" w14:textId="77777777" w:rsidR="000F177E" w:rsidRDefault="000F177E" w:rsidP="000F7130"/>
    <w:p w14:paraId="53EDD07B" w14:textId="77777777" w:rsidR="008F7C1B" w:rsidRDefault="00731AC9" w:rsidP="008F7C1B">
      <w:r>
        <w:t>Neopterin concentration is also associated with the relationship between</w:t>
      </w:r>
      <w:r w:rsidRPr="008852E2">
        <w:t xml:space="preserve"> </w:t>
      </w:r>
      <w:r>
        <w:t xml:space="preserve">temperature and the abundance of </w:t>
      </w:r>
      <w:r>
        <w:t>individual metabolic pathways</w:t>
      </w:r>
      <w:r>
        <w:t>.</w:t>
      </w:r>
      <w:r w:rsidR="000F7130">
        <w:t xml:space="preserve"> The interaction model f</w:t>
      </w:r>
      <w:r w:rsidR="007C2897">
        <w:t>it</w:t>
      </w:r>
      <w:r w:rsidR="000F7130">
        <w:t xml:space="preserve"> better for 65 out of 116 pathways tested, </w:t>
      </w:r>
      <w:r w:rsidR="000F7130">
        <w:t>accounting for more than 50% of the model weight</w:t>
      </w:r>
      <w:r w:rsidR="000F177E">
        <w:t xml:space="preserve"> (Supp table). </w:t>
      </w:r>
      <w:r w:rsidR="000F177E">
        <w:t xml:space="preserve">To interpret the interaction effect, we plotted the relationship between abundance and temperature across </w:t>
      </w:r>
      <w:r w:rsidR="000F177E">
        <w:t>two</w:t>
      </w:r>
      <w:r w:rsidR="000F177E">
        <w:t xml:space="preserve"> discrete ranges of neopterin values.</w:t>
      </w:r>
      <w:r w:rsidR="000F177E">
        <w:t xml:space="preserve"> </w:t>
      </w:r>
      <w:r w:rsidR="00D01117">
        <w:t>These results indicate the same two effects as the taxonomic analysis (1) where slopes increase at higher neopterin and (2) where slopes decrease (Fig 5)</w:t>
      </w:r>
      <w:r w:rsidR="008F7C1B">
        <w:t xml:space="preserve">. </w:t>
      </w:r>
      <w:r w:rsidR="008F7C1B">
        <w:t>There are two patterns of increasing slopes: one where a positive slope becomes steeper when neopterin is high, and another where a negative slope shifts to positive when neopterin is high.</w:t>
      </w:r>
      <w:r w:rsidR="008F7C1B">
        <w:t xml:space="preserve"> There are three patterns of decreasing slopes, </w:t>
      </w:r>
      <w:r w:rsidR="008F7C1B">
        <w:t xml:space="preserve">one where a </w:t>
      </w:r>
      <w:r w:rsidR="008F7C1B">
        <w:t>negative</w:t>
      </w:r>
      <w:r w:rsidR="008F7C1B">
        <w:t xml:space="preserve"> slope becomes steeper</w:t>
      </w:r>
      <w:r w:rsidR="008F7C1B">
        <w:t xml:space="preserve">, </w:t>
      </w:r>
      <w:r w:rsidR="008F7C1B">
        <w:t xml:space="preserve">another where a </w:t>
      </w:r>
      <w:r w:rsidR="008F7C1B">
        <w:t>positive</w:t>
      </w:r>
      <w:r w:rsidR="008F7C1B">
        <w:t xml:space="preserve"> slope shifts to </w:t>
      </w:r>
      <w:r w:rsidR="008F7C1B">
        <w:t xml:space="preserve">negative, and one where a positive slope becomes less positive. </w:t>
      </w:r>
      <w:r w:rsidR="008F7C1B">
        <w:t xml:space="preserve">Similar to the taxonomic analysis these effects likely reflect how metabolic response to rising temperatures may influence intestinal immunity and how intestinal immunity simultaneously affects metabolic response to temperature.  </w:t>
      </w:r>
    </w:p>
    <w:p w14:paraId="3CAC8F17" w14:textId="6563E2C9" w:rsidR="008F7C1B" w:rsidRDefault="008F7C1B" w:rsidP="008F7C1B"/>
    <w:p w14:paraId="4835ECFF" w14:textId="17E3823E" w:rsidR="00A566A6" w:rsidRDefault="00A566A6" w:rsidP="00A566A6">
      <w:r>
        <w:t xml:space="preserve">Discussion: </w:t>
      </w:r>
    </w:p>
    <w:p w14:paraId="4346532A" w14:textId="2127094D" w:rsidR="008631EB" w:rsidRDefault="00B74D78">
      <w:pPr>
        <w:rPr>
          <w:u w:val="single"/>
        </w:rPr>
      </w:pPr>
      <w:r w:rsidRPr="00C64C3B">
        <w:rPr>
          <w:u w:val="single"/>
        </w:rPr>
        <w:t xml:space="preserve">Gut microbiome </w:t>
      </w:r>
      <w:r>
        <w:rPr>
          <w:u w:val="single"/>
        </w:rPr>
        <w:t>response to</w:t>
      </w:r>
      <w:r w:rsidRPr="00C64C3B">
        <w:rPr>
          <w:u w:val="single"/>
        </w:rPr>
        <w:t xml:space="preserve"> temperature</w:t>
      </w:r>
    </w:p>
    <w:p w14:paraId="3C59CDAF" w14:textId="1D2374A0" w:rsidR="00036A73" w:rsidRDefault="00D763E3" w:rsidP="00A566A6">
      <w:r>
        <w:t>T</w:t>
      </w:r>
      <w:r>
        <w:t xml:space="preserve">he </w:t>
      </w:r>
      <w:r>
        <w:t>g</w:t>
      </w:r>
      <w:r>
        <w:t>ut microbiome</w:t>
      </w:r>
      <w:r>
        <w:t>’s response</w:t>
      </w:r>
      <w:r>
        <w:t xml:space="preserve"> </w:t>
      </w:r>
      <w:r>
        <w:t>to</w:t>
      </w:r>
      <w:r>
        <w:t xml:space="preserve"> high temperatures may affect its role in conferring colonization resistance— the ability to protect the host from exogenous pathogens.</w:t>
      </w:r>
      <w:r w:rsidR="00036A73">
        <w:t xml:space="preserve"> </w:t>
      </w:r>
      <w:r w:rsidR="0089345D">
        <w:t>Colonization resistance arises from direct competition with pathogens for resources and microbial support for host immun</w:t>
      </w:r>
      <w:r w:rsidR="0089345D">
        <w:t xml:space="preserve">ity </w:t>
      </w:r>
      <w:r>
        <w:fldChar w:fldCharType="begin"/>
      </w:r>
      <w:r>
        <w:instrText xml:space="preserve"> ADDIN ZOTERO_ITEM CSL_CITATION {"citationID":"BOTDPuFp","properties":{"formattedCitation":"(Caballero-Flores et al., 2023)","plainCitation":"(Caballero-Flores et al., 2023)","noteIndex":0},"citationItems":[{"id":1527,"uris":["http://zotero.org/users/13901503/items/2LNX23SB"],"itemData":{"id":1527,"type":"article-journal","abstract":"A dense and diverse microbial community inhabits the gut and many epithelial surfaces. Referred to as the microbiota, it co-evolved with the host and is beneficial for many host physiological processes. A major function of these symbiotic microorganisms is protection against pathogen colonization and overgrowth of indigenous pathobionts. Dysbiosis of the normal microbial community increases the risk of pathogen infection and overgrowth of harmful pathobionts. The protective mechanisms conferred by the microbiota are complex and include competitive microbial–microbial interactions and induction of host immune responses. Pathogens, in turn, have evolved multiple strategies to subvert colonization resistance conferred by the microbiota. Understanding the mechanisms by which microbial symbionts limit pathogen colonization should guide the development of new therapeutic approaches to prevent or treat disease.","container-title":"Nature Reviews Microbiology","DOI":"10.1038/s41579-022-00833-7","ISSN":"1740-1534","issue":"6","journalAbbreviation":"Nat Rev Microbiol","language":"en","license":"2022 Springer Nature Limited","note":"publisher: Nature Publishing Group","page":"347-360","source":"www.nature.com","title":"Microbiota-mediated colonization resistance: mechanisms and regulation","title-short":"Microbiota-mediated colonization resistance","volume":"21","author":[{"family":"Caballero-Flores","given":"Gustavo"},{"family":"Pickard","given":"Joseph M."},{"family":"Núñez","given":"Gabriel"}],"issued":{"date-parts":[["2023",6]]}}}],"schema":"https://github.com/citation-style-language/schema/raw/master/csl-citation.json"} </w:instrText>
      </w:r>
      <w:r>
        <w:fldChar w:fldCharType="separate"/>
      </w:r>
      <w:r>
        <w:rPr>
          <w:noProof/>
        </w:rPr>
        <w:t>(Caballero-Flores et al., 2023)</w:t>
      </w:r>
      <w:r>
        <w:fldChar w:fldCharType="end"/>
      </w:r>
      <w:r>
        <w:t>.</w:t>
      </w:r>
      <w:r w:rsidRPr="00D763E3">
        <w:t xml:space="preserve"> </w:t>
      </w:r>
      <w:r>
        <w:t xml:space="preserve">Community-level analysis </w:t>
      </w:r>
      <w:r w:rsidR="00036A73">
        <w:t>reveals</w:t>
      </w:r>
      <w:r>
        <w:t xml:space="preserve"> that </w:t>
      </w:r>
      <w:r w:rsidR="00036A73">
        <w:t>taxonomic alpha diversity</w:t>
      </w:r>
      <w:r w:rsidR="00036A73">
        <w:t xml:space="preserve"> d</w:t>
      </w:r>
      <w:r w:rsidR="00036A73">
        <w:t>eclines with increasing temperature</w:t>
      </w:r>
      <w:r w:rsidR="00036A73">
        <w:t xml:space="preserve">s </w:t>
      </w:r>
      <w:r>
        <w:t>(Fig 2)</w:t>
      </w:r>
      <w:r>
        <w:t xml:space="preserve">, </w:t>
      </w:r>
      <w:r>
        <w:t>suggesting that heat may impair the gut microbiome’s ability to confer colonization</w:t>
      </w:r>
      <w:r w:rsidR="00036A73">
        <w:t xml:space="preserve"> by reducing the diversity of taxa that compete with pathogens </w:t>
      </w:r>
      <w:r>
        <w:fldChar w:fldCharType="begin"/>
      </w:r>
      <w:r>
        <w:instrText xml:space="preserve"> ADDIN ZOTERO_ITEM CSL_CITATION {"citationID":"t7jhlu8l","properties":{"formattedCitation":"(Spragge et al., 2023)","plainCitation":"(Spragge et al., 2023)","noteIndex":0},"citationItems":[{"id":1008,"uris":["http://zotero.org/users/13901503/items/5W73TYRF"],"itemData":{"id":1008,"type":"article-journal","abstract":"The human gut microbiome plays an important role in resisting colonization of the host by pathogens, but we lack the ability to predict which communities will be protective. We studied how human gut bacteria influence colonization of two major bacterial pathogens, both in vitro and in gnotobiotic mice. Whereas single species alone had negligible effects, colonization resistance greatly increased with community diversity. Moreover, this community-level resistance rested critically upon certain species being present. We explained these ecological patterns through the collective ability of resistant communities to consume nutrients that overlap with those used by the pathogen. Furthermore, we applied our findings to successfully predict communities that resist a novel target strain. Our work provides a reason why microbiome diversity is beneficial and suggests a route for the rational design of pathogen-resistant communities.","container-title":"Science","DOI":"10.1126/science.adj3502","issue":"6676","note":"publisher: American Association for the Advancement of Science","page":"eadj3502","source":"science.org (Atypon)","title":"Microbiome diversity protects against pathogens by nutrient blocking","volume":"382","author":[{"family":"Spragge","given":"Frances"},{"family":"Bakkeren","given":"Erik"},{"family":"Jahn","given":"Martin T."},{"family":"B. N. Araujo","given":"Elizete"},{"family":"Pearson","given":"Claire F."},{"family":"Wang","given":"Xuedan"},{"family":"Pankhurst","given":"Louise"},{"family":"Cunrath","given":"Olivier"},{"family":"Foster","given":"Kevin R."}],"issued":{"date-parts":[["2023",12,15]]}}}],"schema":"https://github.com/citation-style-language/schema/raw/master/csl-citation.json"} </w:instrText>
      </w:r>
      <w:r>
        <w:fldChar w:fldCharType="separate"/>
      </w:r>
      <w:r>
        <w:rPr>
          <w:noProof/>
        </w:rPr>
        <w:t>(Spragge et al., 2023)</w:t>
      </w:r>
      <w:r>
        <w:fldChar w:fldCharType="end"/>
      </w:r>
      <w:r>
        <w:t xml:space="preserve">. </w:t>
      </w:r>
      <w:r w:rsidR="00786060">
        <w:t>H</w:t>
      </w:r>
      <w:r w:rsidR="008F1008">
        <w:t xml:space="preserve">igh temperatures are also associated with the decline of </w:t>
      </w:r>
      <w:r w:rsidR="008F1008">
        <w:t>taxa</w:t>
      </w:r>
      <w:r w:rsidR="008F1008">
        <w:t xml:space="preserve"> known to support host immunity including </w:t>
      </w:r>
      <w:proofErr w:type="spellStart"/>
      <w:r w:rsidR="008F1008" w:rsidRPr="00A566A6">
        <w:rPr>
          <w:rStyle w:val="Emphasis"/>
          <w:rFonts w:eastAsiaTheme="majorEastAsia"/>
        </w:rPr>
        <w:t>Clostridiaceae</w:t>
      </w:r>
      <w:proofErr w:type="spellEnd"/>
      <w:r>
        <w:t>,</w:t>
      </w:r>
      <w:r w:rsidR="008F1008" w:rsidRPr="00A566A6">
        <w:t xml:space="preserve"> </w:t>
      </w:r>
      <w:r w:rsidR="008F1008" w:rsidRPr="00A566A6">
        <w:rPr>
          <w:rStyle w:val="Emphasis"/>
          <w:rFonts w:eastAsiaTheme="majorEastAsia"/>
        </w:rPr>
        <w:t>Lactococcus</w:t>
      </w:r>
      <w:r>
        <w:rPr>
          <w:rStyle w:val="Emphasis"/>
          <w:rFonts w:eastAsiaTheme="majorEastAsia"/>
        </w:rPr>
        <w:t>,</w:t>
      </w:r>
      <w:r w:rsidR="008F1008" w:rsidRPr="00A566A6">
        <w:t xml:space="preserve"> and </w:t>
      </w:r>
      <w:proofErr w:type="spellStart"/>
      <w:r w:rsidR="008F1008" w:rsidRPr="00A566A6">
        <w:rPr>
          <w:i/>
          <w:iCs/>
        </w:rPr>
        <w:t>Barnesiella</w:t>
      </w:r>
      <w:proofErr w:type="spellEnd"/>
      <w:r>
        <w:rPr>
          <w:i/>
          <w:iCs/>
        </w:rPr>
        <w:t xml:space="preserve"> </w:t>
      </w:r>
      <w:r w:rsidR="0089345D" w:rsidRPr="0089345D">
        <w:t>(Fig 3)</w:t>
      </w:r>
      <w:r w:rsidR="0089345D">
        <w:rPr>
          <w:i/>
          <w:iCs/>
        </w:rPr>
        <w:t xml:space="preserve"> </w:t>
      </w:r>
      <w:r w:rsidR="008F1008">
        <w:t xml:space="preserve">which </w:t>
      </w:r>
      <w:r w:rsidR="008F1008">
        <w:t xml:space="preserve">promote </w:t>
      </w:r>
      <w:r w:rsidR="00786060">
        <w:t>anti</w:t>
      </w:r>
      <w:r w:rsidR="008F1008">
        <w:t>-inflammatory signaling</w:t>
      </w:r>
      <w:r w:rsidR="008F1008">
        <w:t xml:space="preserve"> </w:t>
      </w:r>
      <w:r w:rsidR="008F1008">
        <w:fldChar w:fldCharType="begin"/>
      </w:r>
      <w:r w:rsidR="008F1008">
        <w:instrText xml:space="preserve"> ADDIN ZOTERO_ITEM CSL_CITATION {"citationID":"pc5CY4OJ","properties":{"formattedCitation":"(Corr\\uc0\\u234{}a-Oliveira et al., 2016; Jacobson et al., 2018)","plainCitation":"(Corrêa-Oliveira et al., 2016; Jacobson et al., 2018)","noteIndex":0},"citationItems":[{"id":2073,"uris":["http://zotero.org/users/13901503/items/AVMVJBUV"],"itemData":{"id":2073,"type":"article-journal","abstract":"Short-chain fatty acids (SCFAs) are bacterial fermentation products, which are chemically composed by a carboxylic acid moiety and a small hydrocarbon chain. Among them, acetic, propionic and butyric acids are the most studied, presenting, respectively, two, three and four carbons in their chemical structure. These metabolites are found in high concentrations in the intestinal tract, from where they are uptaken by intestinal epithelial cells (IECs). The SCFAs are partially used as a source of ATP by these cells. In addition, these molecules act as a link between the microbiota and the immune system by modulating different aspects of IECs and leukocytes development, survival and function through activation of G protein coupled receptors (FFAR2, FFAR3, GPR109a and Olfr78) and by modulation of the activity of enzymes and transcription factors including the histone acetyltransferase and deacetylase and the hypoxia-inducible factor. Considering that, it is not a surprise, the fact that these molecules and/or their targets are suggested to have an important role in the maintenance of intestinal homeostasis and that changes in components of this system are associated with pathological conditions including inflammatory bowel disease, obesity and others. The aim of this review is to present a clear and updated description of the effects of the SCFAs derived from bacteria on host immune system, as well as the molecular mechanisms involved on them.","container-title":"Clinical &amp; Translational Immunology","DOI":"10.1038/cti.2016.17","ISSN":"2050-0068","issue":"4","language":"en","license":"© 2016 The Authors","note":"_eprint: https://onlinelibrary.wiley.com/doi/pdf/10.1038/cti.2016.17","page":"e73","source":"Wiley Online Library","title":"Regulation of immune cell function by short-chain fatty acids","volume":"5","author":[{"family":"Corrêa-Oliveira","given":"Renan"},{"family":"Fachi","given":"José Luís"},{"family":"Vieira","given":"Aline"},{"family":"Sato","given":"Fabio Takeo"},{"family":"Vinolo","given":"Marco Aurélio R"}],"issued":{"date-parts":[["2016"]]}}},{"id":2088,"uris":["http://zotero.org/users/13901503/items/JSDRJUCY"],"itemData":{"id":2088,"type":"article-journal","abstract":"The intestinal microbiota provides colonization resistance against pathogens, limiting pathogen expansion and transmission. These microbiota-mediated mechanisms were previously identified by observing loss of colonization resistance after antibiotic treatment or dietary changes, which severely disrupt microbiota communities. We identify a microbiota-mediated mechanism of colonization resistance against Salmonella enterica serovar Typhimurium (S. Typhimurium) by comparing high-complexity commensal communities with different levels of colonization resistance. Using inbred mouse strains with different infection dynamics and S. Typhimurium intestinal burdens, we demonstrate that Bacteroides species mediate colonization resistance against S. Typhimurium by producing the short-chain fatty acid propionate. Propionate directly inhibits pathogen growth in vitro by disrupting intracellular pH homeostasis, and chemically increasing intestinal propionate levels protects mice from S. Typhimurium. In addition, administering susceptible mice Bacteroides, but not a propionate-production mutant, confers resistance to S. Typhimurium. This work provides mechanistic understanding into the role of individualized microbial communities in host-to-host variability of pathogen transmission.","container-title":"Cell Host &amp; Microbe","DOI":"10.1016/j.chom.2018.07.002","ISSN":"1931-3128","issue":"2","journalAbbreviation":"Cell Host &amp; Microbe","page":"296-307.e7","source":"ScienceDirect","title":"A Gut Commensal-Produced Metabolite Mediates Colonization Resistance to &lt;i&gt;Salmonella&lt;/i&gt; Infection","volume":"24","author":[{"family":"Jacobson","given":"Amanda"},{"family":"Lam","given":"Lilian"},{"family":"Rajendram","given":"Manohary"},{"family":"Tamburini","given":"Fiona"},{"family":"Honeycutt","given":"Jared"},{"family":"Pham","given":"Trung"},{"family":"Van Treuren","given":"Will"},{"family":"Pruss","given":"Kali"},{"family":"Stabler","given":"Stephen Russell"},{"family":"Lugo","given":"Kyler"},{"family":"Bouley","given":"Donna M."},{"family":"Vilches-Moure","given":"Jose G."},{"family":"Smith","given":"Mark"},{"family":"Sonnenburg","given":"Justin L."},{"family":"Bhatt","given":"Ami S."},{"family":"Huang","given":"Kerwyn Casey"},{"family":"Monack","given":"Denise"}],"issued":{"date-parts":[["2018",8,8]]}}}],"schema":"https://github.com/citation-style-language/schema/raw/master/csl-citation.json"} </w:instrText>
      </w:r>
      <w:r w:rsidR="008F1008">
        <w:fldChar w:fldCharType="separate"/>
      </w:r>
      <w:r w:rsidR="008F1008" w:rsidRPr="00D87FEE">
        <w:t>(Corrêa-Oliveira et al., 2016; Jacobson et al., 2018)</w:t>
      </w:r>
      <w:r w:rsidR="008F1008">
        <w:fldChar w:fldCharType="end"/>
      </w:r>
      <w:r w:rsidR="008F1008">
        <w:t xml:space="preserve">, and </w:t>
      </w:r>
      <w:r w:rsidR="008F1008">
        <w:rPr>
          <w:rStyle w:val="Emphasis"/>
          <w:rFonts w:eastAsiaTheme="majorEastAsia"/>
        </w:rPr>
        <w:t>Enterobacteriaceae,</w:t>
      </w:r>
      <w:r w:rsidR="008F1008">
        <w:t xml:space="preserve"> which include commensal </w:t>
      </w:r>
      <w:r w:rsidR="008F1008">
        <w:rPr>
          <w:rStyle w:val="Emphasis"/>
          <w:rFonts w:eastAsiaTheme="majorEastAsia"/>
        </w:rPr>
        <w:t>E. coli</w:t>
      </w:r>
      <w:r w:rsidR="008F1008">
        <w:t xml:space="preserve"> </w:t>
      </w:r>
      <w:r w:rsidR="00036A73">
        <w:t xml:space="preserve">that can protect against pathogens like </w:t>
      </w:r>
      <w:r w:rsidR="008F1008" w:rsidRPr="00A566A6">
        <w:rPr>
          <w:rStyle w:val="Emphasis"/>
          <w:rFonts w:eastAsiaTheme="majorEastAsia"/>
        </w:rPr>
        <w:t xml:space="preserve">Salmonella </w:t>
      </w:r>
      <w:r w:rsidR="008F1008" w:rsidRPr="00D763E3">
        <w:rPr>
          <w:rStyle w:val="Emphasis"/>
          <w:rFonts w:eastAsiaTheme="majorEastAsia"/>
          <w:i w:val="0"/>
          <w:iCs w:val="0"/>
        </w:rPr>
        <w:fldChar w:fldCharType="begin"/>
      </w:r>
      <w:r w:rsidR="008F1008" w:rsidRPr="00D763E3">
        <w:rPr>
          <w:rStyle w:val="Emphasis"/>
          <w:rFonts w:eastAsiaTheme="majorEastAsia"/>
          <w:i w:val="0"/>
          <w:iCs w:val="0"/>
        </w:rPr>
        <w:instrText xml:space="preserve"> ADDIN ZOTERO_ITEM CSL_CITATION {"citationID":"58AOWjnW","properties":{"formattedCitation":"(Oliveira et al., 2020; Velazquez et al., 2019)","plainCitation":"(Oliveira et al., 2020; Velazquez et al., 2019)","noteIndex":0},"citationItems":[{"id":2093,"uris":["http://zotero.org/users/13901503/items/Y6HCG5BZ"],"itemData":{"id":2093,"type":"article-journal","abstract":"Intestinal microbiotas contain beneficial microorganisms that protect against pathogen colonization; treatment with antibiotics disrupts the microbiota and compromises colonization resistance. Here, we determine the impact of exchanging microorganisms between hosts on resilience to the colonization of invaders after antibiotic-induced dysbiosis. We assess the functional consequences of dysbiosis using a mouse model of colonization resistance against Escherichia coli. Antibiotics caused stochastic loss of members of the microbiota, but the microbiotas of co-housed mice remained more similar to each other compared with the microbiotas among singly housed animals. Strikingly, co-housed mice maintained colonization resistance after treatment with antibiotics, whereas most singly housed mice were susceptible to E. coli. The ability to retain or share the commensal Klebsiella michiganensis, a member of the Enterobacteriaceae family, was sufficient for colonization resistance after treatment with antibiotics. K. michiganensis generally outcompeted E. coli in vitro, but in vivo administration of galactitol-a nutrient that supports the growth of only E. coli-to bi-colonized gnotobiotic mice abolished the colonization-resistance capacity of K. michiganensis against E. coli, supporting the idea that nutrient competition is the primary interaction mechanism. K. michiganensis also hampered colonization of the pathogen Salmonella, prolonging host survival. Our results address functional consequences of the stochastic effects of microbiota perturbations, whereby microbial transmission through host interactions can facilitate reacquisition of beneficial commensals, minimizing the negative impact of antibiotics.","container-title":"Nature Microbiology","DOI":"10.1038/s41564-019-0658-4","ISSN":"2058-5276","issue":"4","journalAbbreviation":"Nat Microbiol","language":"eng","note":"PMID: 31959968","page":"630-641","source":"PubMed","title":"Klebsiella michiganensis transmission enhances resistance to Enterobacteriaceae gut invasion by nutrition competition","volume":"5","author":[{"family":"Oliveira","given":"Rita A."},{"family":"Ng","given":"Katharine M."},{"family":"Correia","given":"Margarida B."},{"family":"Cabral","given":"Vitor"},{"family":"Shi","given":"Handuo"},{"family":"Sonnenburg","given":"Justin L."},{"family":"Huang","given":"Kerwyn Casey"},{"family":"Xavier","given":"Karina B."}],"issued":{"date-parts":[["2020",4]]}}},{"id":2097,"uris":["http://zotero.org/users/13901503/items/YFY374V7"],"itemData":{"id":2097,"type":"article-journal","abstract":"Lack of reproducibility is a prominent problem in biomedical research. An important source of variation in animal experiments is the microbiome, but little is known about specific changes in the microbiota composition that cause phenotypic differences. Here, we show that genetically similar laboratory mice obtained from four different commercial vendors exhibited marked phenotypic variation in their susceptibility to Salmonella infection. Faecal microbiota transplant into germ-free mice replicated donor susceptibility, revealing that variability was due to changes in the gut microbiota composition. Co-housing of mice only partially transferred protection against Salmonella infection, suggesting that minority species within the gut microbiota might confer this trait. Consistent with this idea, we identified endogenous Enterobacteriaceae, a low-abundance taxon, as a keystone species responsible for variation in the susceptibility to Salmonella infection. Protection conferred by endogenous Enterobacteriaceae could be modelled by inoculating mice with probiotic Escherichia coli, which conferred resistance by using its aerobic metabolism to compete with Salmonella for resources. We conclude that a mechanistic understanding of phenotypic variation can accelerate development of strategies for enhancing the reproducibility of animal experiments.","container-title":"Nature Microbiology","DOI":"10.1038/s41564-019-0407-8","ISSN":"2058-5276","issue":"6","journalAbbreviation":"Nat Microbiol","language":"eng","note":"PMID: 30911125\nPMCID: PMC6533147","page":"1057-1064","source":"PubMed","title":"Endogenous Enterobacteriaceae underlie variation in susceptibility to Salmonella infection","volume":"4","author":[{"family":"Velazquez","given":"Eric M."},{"family":"Nguyen","given":"Henry"},{"family":"Heasley","given":"Keaton T."},{"family":"Saechao","given":"Cheng H."},{"family":"Gil","given":"Lindsey M."},{"family":"Rogers","given":"Andrew W. L."},{"family":"Miller","given":"Brittany M."},{"family":"Rolston","given":"Matthew R."},{"family":"Lopez","given":"Christopher A."},{"family":"Litvak","given":"Yael"},{"family":"Liou","given":"Megan J."},{"family":"Faber","given":"Franziska"},{"family":"Bronner","given":"Denise N."},{"family":"Tiffany","given":"Connor R."},{"family":"Byndloss","given":"Mariana X."},{"family":"Byndloss","given":"Austin J."},{"family":"Bäumler","given":"Andreas J."}],"issued":{"date-parts":[["2019",6]]}}}],"schema":"https://github.com/citation-style-language/schema/raw/master/csl-citation.json"} </w:instrText>
      </w:r>
      <w:r w:rsidR="008F1008" w:rsidRPr="00D763E3">
        <w:rPr>
          <w:rStyle w:val="Emphasis"/>
          <w:rFonts w:eastAsiaTheme="majorEastAsia"/>
          <w:i w:val="0"/>
          <w:iCs w:val="0"/>
        </w:rPr>
        <w:fldChar w:fldCharType="separate"/>
      </w:r>
      <w:r w:rsidR="008F1008" w:rsidRPr="00D763E3">
        <w:rPr>
          <w:rStyle w:val="Emphasis"/>
          <w:rFonts w:eastAsiaTheme="majorEastAsia"/>
          <w:i w:val="0"/>
          <w:iCs w:val="0"/>
          <w:noProof/>
        </w:rPr>
        <w:t>(Oliveira et al., 2020; Velazquez et al., 2019)</w:t>
      </w:r>
      <w:r w:rsidR="008F1008" w:rsidRPr="00D763E3">
        <w:rPr>
          <w:rStyle w:val="Emphasis"/>
          <w:rFonts w:eastAsiaTheme="majorEastAsia"/>
          <w:i w:val="0"/>
          <w:iCs w:val="0"/>
        </w:rPr>
        <w:fldChar w:fldCharType="end"/>
      </w:r>
      <w:r w:rsidR="008F1008" w:rsidRPr="00D763E3">
        <w:rPr>
          <w:rStyle w:val="Emphasis"/>
          <w:rFonts w:eastAsiaTheme="majorEastAsia"/>
          <w:i w:val="0"/>
          <w:iCs w:val="0"/>
        </w:rPr>
        <w:t>.</w:t>
      </w:r>
      <w:r w:rsidR="008F1008" w:rsidRPr="008F1008">
        <w:t xml:space="preserve"> </w:t>
      </w:r>
      <w:r w:rsidR="008F1008">
        <w:t xml:space="preserve">However, </w:t>
      </w:r>
      <w:r>
        <w:t>functional</w:t>
      </w:r>
      <w:r w:rsidR="008F1008">
        <w:t xml:space="preserve"> alpha diversity </w:t>
      </w:r>
      <w:r w:rsidR="00036A73">
        <w:t xml:space="preserve">appears more resilient to increasing temperatures </w:t>
      </w:r>
      <w:r w:rsidR="008F1008">
        <w:t>(Fig 1)</w:t>
      </w:r>
      <w:r w:rsidR="008F1008">
        <w:t xml:space="preserve">, </w:t>
      </w:r>
      <w:r w:rsidR="008F1008">
        <w:t>likely due to functional redundancy</w:t>
      </w:r>
      <w:r w:rsidR="00036A73">
        <w:t>—</w:t>
      </w:r>
      <w:r w:rsidR="008F1008">
        <w:t xml:space="preserve"> </w:t>
      </w:r>
      <w:r w:rsidR="00036A73">
        <w:t xml:space="preserve">when taxonomically distinct microbes perform </w:t>
      </w:r>
      <w:r w:rsidR="008F1008">
        <w:t xml:space="preserve">similar functional roles </w:t>
      </w:r>
      <w:r w:rsidR="008F1008">
        <w:fldChar w:fldCharType="begin"/>
      </w:r>
      <w:r w:rsidR="008F1008">
        <w:instrText xml:space="preserve"> ADDIN ZOTERO_ITEM CSL_CITATION {"citationID":"hwQmyei2","properties":{"formattedCitation":"(Louca et al., 2018)","plainCitation":"(Louca et al., 2018)","noteIndex":0},"citationItems":[{"id":3181,"uris":["http://zotero.org/users/13901503/items/N5RMCRXY"],"itemData":{"id":3181,"type":"article-journal","abstract":"Microbial communities often exhibit incredible taxonomic diversity, raising questions regarding the mechanisms enabling species coexistence and the role of this diversity in community functioning. On the one hand, many coexisting but taxonomically distinct microorganisms can encode the same energy-yielding metabolic functions, and this functional redundancy contrasts with the expectation that species should occupy distinct metabolic niches. On the other hand, the identity of taxa encoding each function can vary substantially across space or time with little effect on the function, and this taxonomic variability is frequently thought to result from ecological drift between equivalent organisms. Here, we synthesize the powerful paradigm emerging from these two patterns, connecting the roles of function, functional redundancy and taxonomy in microbial systems. We conclude that both patterns are unlikely to be the result of ecological drift, but are inevitable emergent properties of open microbial systems resulting mainly from biotic interactions and environmental and spatial processes.","container-title":"Nature Ecology &amp; Evolution","DOI":"10.1038/s41559-018-0519-1","ISSN":"2397-334X","issue":"6","journalAbbreviation":"Nat Ecol Evol","language":"en","license":"2018 The Author(s)","note":"publisher: Nature Publishing Group","page":"936-943","source":"www-nature-com.proxy.lib.umich.edu","title":"Function and functional redundancy in microbial systems","volume":"2","author":[{"family":"Louca","given":"Stilianos"},{"family":"Polz","given":"Martin F."},{"family":"Mazel","given":"Florent"},{"family":"Albright","given":"Michaeline B. N."},{"family":"Huber","given":"Julie A."},{"family":"O’Connor","given":"Mary I."},{"family":"Ackermann","given":"Martin"},{"family":"Hahn","given":"Aria S."},{"family":"Srivastava","given":"Diane S."},{"family":"Crowe","given":"Sean A."},{"family":"Doebeli","given":"Michael"},{"family":"Parfrey","given":"Laura Wegener"}],"issued":{"date-parts":[["2018",6]]}}}],"schema":"https://github.com/citation-style-language/schema/raw/master/csl-citation.json"} </w:instrText>
      </w:r>
      <w:r w:rsidR="008F1008">
        <w:fldChar w:fldCharType="separate"/>
      </w:r>
      <w:r w:rsidR="008F1008">
        <w:rPr>
          <w:noProof/>
        </w:rPr>
        <w:t>(Louca et al., 2018)</w:t>
      </w:r>
      <w:r w:rsidR="008F1008">
        <w:fldChar w:fldCharType="end"/>
      </w:r>
      <w:r w:rsidR="008F1008">
        <w:t>.</w:t>
      </w:r>
      <w:r w:rsidR="008F1008" w:rsidRPr="008F1008">
        <w:t xml:space="preserve"> </w:t>
      </w:r>
      <w:r w:rsidR="008F1008">
        <w:t>This redundancy may buffer the loss of taxonomic diversity</w:t>
      </w:r>
      <w:r w:rsidR="008F1008">
        <w:t xml:space="preserve"> and help preserve colonization </w:t>
      </w:r>
      <w:r w:rsidR="00786060">
        <w:t xml:space="preserve">resistance </w:t>
      </w:r>
      <w:r w:rsidR="00786060">
        <w:t xml:space="preserve">at high temperatures because </w:t>
      </w:r>
      <w:r w:rsidR="00786060">
        <w:t>remaining</w:t>
      </w:r>
      <w:r w:rsidR="00786060">
        <w:t xml:space="preserve"> taxa likely fill enough functional niches to outcompete pathogens.</w:t>
      </w:r>
      <w:r w:rsidR="00786060">
        <w:rPr>
          <w:rStyle w:val="Emphasis"/>
          <w:i w:val="0"/>
          <w:iCs w:val="0"/>
        </w:rPr>
        <w:t xml:space="preserve"> </w:t>
      </w:r>
      <w:r w:rsidR="00036A73">
        <w:t>Although</w:t>
      </w:r>
      <w:r w:rsidR="008F1008">
        <w:t xml:space="preserve"> we did not observe an increase in </w:t>
      </w:r>
      <w:r w:rsidR="00786060">
        <w:t xml:space="preserve">potentially </w:t>
      </w:r>
      <w:r w:rsidR="008F1008">
        <w:t>pathogenic taxa</w:t>
      </w:r>
      <w:r>
        <w:t>,</w:t>
      </w:r>
      <w:r w:rsidR="008F1008">
        <w:t xml:space="preserve"> sustained high temperatures may </w:t>
      </w:r>
      <w:r w:rsidR="00786060">
        <w:t xml:space="preserve">continue to </w:t>
      </w:r>
      <w:r w:rsidR="008F1008">
        <w:t xml:space="preserve">erode both taxonomic and functional </w:t>
      </w:r>
      <w:r w:rsidR="00136BD0">
        <w:t>diversity</w:t>
      </w:r>
      <w:r w:rsidR="00036A73">
        <w:t xml:space="preserve">, increasing the host’s vulnerability to infection. </w:t>
      </w:r>
    </w:p>
    <w:p w14:paraId="664F17F0" w14:textId="77777777" w:rsidR="00036A73" w:rsidRDefault="00036A73" w:rsidP="00A566A6"/>
    <w:p w14:paraId="377686CB" w14:textId="08F8B4D0" w:rsidR="000A35B4" w:rsidRDefault="0089345D" w:rsidP="00A566A6">
      <w:r>
        <w:t>T</w:t>
      </w:r>
      <w:r>
        <w:t xml:space="preserve">he gut microbiome </w:t>
      </w:r>
      <w:r w:rsidR="00FA5279">
        <w:t>shows evidence</w:t>
      </w:r>
      <w:r>
        <w:t xml:space="preserve"> of metabolic restructuring that </w:t>
      </w:r>
      <w:r>
        <w:t>likely help</w:t>
      </w:r>
      <w:r w:rsidR="00FA5279">
        <w:t>s</w:t>
      </w:r>
      <w:r>
        <w:t xml:space="preserve"> </w:t>
      </w:r>
      <w:r w:rsidR="006E42D6">
        <w:t xml:space="preserve">sustain </w:t>
      </w:r>
      <w:r w:rsidR="00405DE3">
        <w:t xml:space="preserve">community </w:t>
      </w:r>
      <w:r w:rsidR="003B549A">
        <w:t>stability</w:t>
      </w:r>
      <w:r>
        <w:t xml:space="preserve"> under rising temperatures.</w:t>
      </w:r>
      <w:r w:rsidR="00FA5279">
        <w:t xml:space="preserve"> A key example is the remodeling of cytoplasmic membrane lipids, which </w:t>
      </w:r>
      <w:r w:rsidR="00FA5279">
        <w:t>bacteria actively adjust</w:t>
      </w:r>
      <w:r w:rsidR="00FA5279" w:rsidRPr="00FA5279">
        <w:t xml:space="preserve"> </w:t>
      </w:r>
      <w:r w:rsidR="00FA5279">
        <w:t xml:space="preserve">to </w:t>
      </w:r>
      <w:r w:rsidR="00FA5279">
        <w:t>preserve</w:t>
      </w:r>
      <w:r w:rsidR="00FA5279">
        <w:t xml:space="preserve"> membrane </w:t>
      </w:r>
      <w:r w:rsidR="00FA5279">
        <w:t>stability under changing temperatures</w:t>
      </w:r>
      <w:r w:rsidR="00FA5279">
        <w:t xml:space="preserve"> </w:t>
      </w:r>
      <w:r w:rsidR="00FA5279">
        <w:fldChar w:fldCharType="begin"/>
      </w:r>
      <w:r w:rsidR="00FE5B3B">
        <w:instrText xml:space="preserve"> ADDIN ZOTERO_ITEM CSL_CITATION {"citationID":"SIOKOfLi","properties":{"formattedCitation":"(Mansilla et al., 2004; S\\uc0\\u225{}enz, 2015)","plainCitation":"(Mansilla et al., 2004; Sáenz, 2015)","noteIndex":0},"citationItems":[{"id":3378,"uris":["http://zotero.org/users/13901503/items/TZK8TZFH"],"itemData":{"id":3378,"type":"article-journal","container-title":"Journal of Bacteriology","DOI":"10.1128/jb.186.20.6681-6688.2004","issue":"20","note":"publisher: American Society for Microbiology","page":"6681-6688","source":"journals.asm.org (Atypon)","title":"Control of Membrane Lipid Fluidity by Molecular Thermosensors","volume":"186","author":[{"family":"Mansilla","given":"María C."},{"family":"Cybulski","given":"Larisa E."},{"family":"Albanesi","given":"Daniela"},{"family":"Mendoza","given":"Diego","non-dropping-particle":"de"}],"issued":{"date-parts":[["2004",10,15]]}}},{"id":3394,"uris":["http://zotero.org/users/13901503/items/BQ657FYY"],"itemData":{"id":3394,"type":"webpage","language":"en","note":"DOI: 10.1073/pnas.1515607112","title":"Hopanoids as functional analogues of cholesterol in bacterial membranes","URL":"https://www.pnas.org/doi/epdf/10.1073/pnas.1515607112","author":[{"family":"Sáenz","given":"James"}],"accessed":{"date-parts":[["2025",5,14]]},"issued":{"date-parts":[["2015"]]}}}],"schema":"https://github.com/citation-style-language/schema/raw/master/csl-citation.json"} </w:instrText>
      </w:r>
      <w:r w:rsidR="00FA5279">
        <w:fldChar w:fldCharType="separate"/>
      </w:r>
      <w:r w:rsidR="00FE5B3B" w:rsidRPr="00FE5B3B">
        <w:t>(Mansilla et al., 2004; Sáenz, 2015)</w:t>
      </w:r>
      <w:r w:rsidR="00FA5279">
        <w:fldChar w:fldCharType="end"/>
      </w:r>
      <w:r w:rsidR="00FA5279">
        <w:t>.</w:t>
      </w:r>
      <w:r w:rsidR="00FA5279">
        <w:t xml:space="preserve"> We observe an increase </w:t>
      </w:r>
      <w:r w:rsidR="00FA5279">
        <w:t>in metabolic pathways responsible for fatty acid synthesis and lipid remodeling</w:t>
      </w:r>
      <w:r w:rsidR="00FA5279">
        <w:t xml:space="preserve"> which likely supports this process</w:t>
      </w:r>
      <w:r w:rsidR="007A6840">
        <w:t xml:space="preserve"> (Fig 4A)</w:t>
      </w:r>
      <w:r w:rsidR="00FA5279">
        <w:t xml:space="preserve">. However, </w:t>
      </w:r>
      <w:r w:rsidR="00FE5B3B">
        <w:t>these changes may be insufficient to maintain membrane integrity during prolonged periods of high temperature</w:t>
      </w:r>
      <w:r w:rsidR="00FE5B3B">
        <w:t>s because</w:t>
      </w:r>
      <w:r w:rsidR="00B902F7">
        <w:t xml:space="preserve"> </w:t>
      </w:r>
      <w:r w:rsidR="00FE5B3B">
        <w:t xml:space="preserve">the concurrent </w:t>
      </w:r>
      <w:r w:rsidR="00FA5279">
        <w:t xml:space="preserve">decline </w:t>
      </w:r>
      <w:r w:rsidR="00FE5B3B">
        <w:t xml:space="preserve">in pathways </w:t>
      </w:r>
      <w:r w:rsidR="00FA5279">
        <w:t>involved in lipid catabolism and recycling</w:t>
      </w:r>
      <w:r w:rsidR="00B902F7">
        <w:t xml:space="preserve"> </w:t>
      </w:r>
      <w:r w:rsidR="00FE5B3B">
        <w:t>likel</w:t>
      </w:r>
      <w:r w:rsidR="00B902F7">
        <w:t>y compromises</w:t>
      </w:r>
      <w:r w:rsidR="00FE5B3B">
        <w:t xml:space="preserve"> </w:t>
      </w:r>
      <w:r w:rsidR="00FE5B3B">
        <w:t>membrane repair mechanisms</w:t>
      </w:r>
      <w:r w:rsidR="00FE5B3B">
        <w:t xml:space="preserve"> </w:t>
      </w:r>
      <w:r w:rsidR="00FE5B3B">
        <w:fldChar w:fldCharType="begin"/>
      </w:r>
      <w:r w:rsidR="00F865AD">
        <w:instrText xml:space="preserve"> ADDIN ZOTERO_ITEM CSL_CITATION {"citationID":"0Z2ejPon","properties":{"formattedCitation":"(Zhang &amp; Rock, 2008)","plainCitation":"(Zhang &amp; Rock, 2008)","noteIndex":0},"citationItems":[{"id":3286,"uris":["http://zotero.org/users/13901503/items/VXSZL448"],"itemData":{"id":3286,"type":"article-journal","abstract":"The ability of bacteria to control the biophysical properties of their membrane phospholipids allows them to thrive in a wide range of physical environments.Fatty acid biosynthesis is an energy-intensive biosynthetic pathway, and the production of the building blocks for membrane phospholipids is precisely regulated to match the rate of cell division.Bacteria control the homeostasis of membrane lipid biophysical properties by altering the chain length of fatty acids, as well as the ratio of saturated:unsaturated fatty acids. The de novo, type II fatty acid biosynthetic pathway is a major focal point for the regulation of fatty acid composition.Bacteria can alter the physical properties of existing phospholipids by introducing cis double bonds into saturated acyl chains, thereby converting cis double bonds into cyclopropane rings and catalysing the isomerization of cis fatty acids to their trans conformations.Phospholipids are used as intermediates in the formation of major structural constituents of the cell. Managing the metabolism of the lipid by-products of these biosynthetic pathways is important to prevent the accumulation of membrane-disruptive lipids and to conserve the energy that is invested in the biosynthesis of the fatty acids.Modification of phosphatidylglycerol by the attachment of a lysine residue to the glycerol head group is an adaptive response that is used by pathogens to increase their resistance to cationic antibacterial peptides (defensins) that are produced by the innate immune system.","container-title":"Nature Reviews Microbiology","DOI":"10.1038/nrmicro1839","ISSN":"1740-1534","issue":"3","journalAbbreviation":"Nat Rev Microbiol","language":"en","license":"2008 Springer Nature Limited","note":"publisher: Nature Publishing Group","page":"222-233","source":"www-nature-com.proxy.lib.umich.edu","title":"Membrane lipid homeostasis in bacteria","volume":"6","author":[{"family":"Zhang","given":"Yong-Mei"},{"family":"Rock","given":"Charles O."}],"issued":{"date-parts":[["2008",3]]}}}],"schema":"https://github.com/citation-style-language/schema/raw/master/csl-citation.json"} </w:instrText>
      </w:r>
      <w:r w:rsidR="00FE5B3B">
        <w:fldChar w:fldCharType="separate"/>
      </w:r>
      <w:r w:rsidR="00FE5B3B">
        <w:rPr>
          <w:noProof/>
        </w:rPr>
        <w:t>(Zhang &amp; Rock, 2008)</w:t>
      </w:r>
      <w:r w:rsidR="00FE5B3B">
        <w:fldChar w:fldCharType="end"/>
      </w:r>
      <w:r w:rsidR="00FE5B3B">
        <w:t xml:space="preserve">. </w:t>
      </w:r>
      <w:r w:rsidR="00B902F7">
        <w:t xml:space="preserve">A </w:t>
      </w:r>
      <w:r w:rsidR="00FE5B3B">
        <w:t xml:space="preserve">reduction in repair capacity </w:t>
      </w:r>
      <w:r w:rsidR="00B902F7">
        <w:t>could</w:t>
      </w:r>
      <w:r w:rsidR="00FE5B3B">
        <w:t xml:space="preserve"> leave gut microbes more </w:t>
      </w:r>
      <w:r w:rsidR="00FE5B3B">
        <w:t xml:space="preserve">vulnerable to </w:t>
      </w:r>
      <w:r w:rsidR="00FE5B3B">
        <w:lastRenderedPageBreak/>
        <w:t>peroxidative damage</w:t>
      </w:r>
      <w:r w:rsidR="00136BD0">
        <w:t xml:space="preserve">, </w:t>
      </w:r>
      <w:r w:rsidR="00FE5B3B">
        <w:t>a</w:t>
      </w:r>
      <w:r w:rsidR="00FE5B3B">
        <w:t xml:space="preserve"> common consequence of</w:t>
      </w:r>
      <w:r w:rsidR="00136BD0">
        <w:t xml:space="preserve"> prolonged</w:t>
      </w:r>
      <w:r w:rsidR="00FE5B3B">
        <w:t xml:space="preserve"> </w:t>
      </w:r>
      <w:r w:rsidR="00FE5B3B">
        <w:t>heat exposure ()</w:t>
      </w:r>
      <w:r w:rsidR="00FE5B3B">
        <w:t xml:space="preserve">. </w:t>
      </w:r>
      <w:r w:rsidR="00613EEE">
        <w:t>Similarly, the</w:t>
      </w:r>
      <w:r w:rsidR="00B902F7">
        <w:t xml:space="preserve"> observed</w:t>
      </w:r>
      <w:r w:rsidR="00613EEE">
        <w:t xml:space="preserve"> </w:t>
      </w:r>
      <w:r w:rsidR="00041D3D">
        <w:t xml:space="preserve">increase </w:t>
      </w:r>
      <w:r w:rsidR="00707EA7">
        <w:t xml:space="preserve">in </w:t>
      </w:r>
      <w:r w:rsidR="00041D3D">
        <w:t>anaerobic</w:t>
      </w:r>
      <w:r w:rsidR="00041D3D">
        <w:t xml:space="preserve"> metaboli</w:t>
      </w:r>
      <w:r w:rsidR="002A1D45">
        <w:t>c pathways</w:t>
      </w:r>
      <w:r w:rsidR="00041D3D">
        <w:t xml:space="preserve"> and </w:t>
      </w:r>
      <w:r w:rsidR="002A1D45">
        <w:t>the parallel decline</w:t>
      </w:r>
      <w:r w:rsidR="00041D3D">
        <w:t xml:space="preserve"> </w:t>
      </w:r>
      <w:r w:rsidR="00707EA7">
        <w:t xml:space="preserve">in </w:t>
      </w:r>
      <w:r w:rsidR="00041D3D">
        <w:t>aerobi</w:t>
      </w:r>
      <w:r w:rsidR="002A1D45">
        <w:t>c pathways</w:t>
      </w:r>
      <w:r w:rsidR="00041D3D">
        <w:t xml:space="preserve"> likely reflect a response </w:t>
      </w:r>
      <w:r w:rsidR="00B902F7">
        <w:t xml:space="preserve">to </w:t>
      </w:r>
      <w:r w:rsidR="00613EEE">
        <w:t>gastrointestinal hypoxia caused by redirected blood flow for thermoregulation</w:t>
      </w:r>
      <w:r w:rsidR="00912B8D">
        <w:t xml:space="preserve"> </w:t>
      </w:r>
      <w:r w:rsidR="007A6840">
        <w:t>(Fig 4B)</w:t>
      </w:r>
      <w:r w:rsidR="00041D3D">
        <w:fldChar w:fldCharType="begin"/>
      </w:r>
      <w:r w:rsidR="00041D3D">
        <w:instrText xml:space="preserve"> ADDIN ZOTERO_ITEM CSL_CITATION {"citationID":"MA64tDiH","properties":{"formattedCitation":"(Hall et al., 1999)","plainCitation":"(Hall et al., 1999)","noteIndex":0},"citationItems":[{"id":3205,"uris":["http://zotero.org/users/13901503/items/CADITA73"],"itemData":{"id":3205,"type":"article-journal","abstract":"Exposure of conscious animals to environmental heat stress increases portal venous radical content. The nature of the observed heat stress-inducible radical molecules suggests that hyperthermia produces cellular hypoxic stress in liver and intestine. To investigate this hypothesis, conscious rats bearing in-dwelling portal venous and femoral artery catheters were exposed to normothermic or hyperthermic conditions. Blood gas levels were monitored during heat stress and for 24 h following heat exposure. Hyperthermia significantly increased arterial O2 saturation, splanchnic arterial-venous O2 difference, and venous</w:instrText>
      </w:r>
      <w:r w:rsidR="00041D3D">
        <w:rPr>
          <w:rFonts w:ascii="Cambria Math" w:hAnsi="Cambria Math" w:cs="Cambria Math"/>
        </w:rPr>
        <w:instrText>𝑃</w:instrText>
      </w:r>
      <w:r w:rsidR="00041D3D">
        <w:instrText xml:space="preserve">⁢CO2P⁢CO2, while decreasing venous O2 saturation and venous pH. One hour after heat exposure, liver glycogen levels were decreased </w:instrText>
      </w:r>
      <w:r w:rsidR="00041D3D">
        <w:rPr>
          <w:rFonts w:ascii="Cambria Math" w:hAnsi="Cambria Math" w:cs="Cambria Math"/>
        </w:rPr>
        <w:instrText>∼</w:instrText>
      </w:r>
      <w:r w:rsidR="00041D3D">
        <w:instrText xml:space="preserve">20%. Two hours after heat exposure, the splanchnic arterial-venous O2 difference remained elevated in heat-stressed animals despite normal Tc. A second group of rats was exposed to similar conditions while receiving intra-arterial injections of the hypoxic cell marker [3H]misonidazole. Liver and intestine were biopsied, and [3H]misonidazole content was quantified. Heat stress increased tissue [3H]misonidazole retention 80% in the liver and 29% in the small intestine. Cellular [3H]misonidazole levels were significantly elevated in intestinal epithelial cells and liver zone 2 and 3 hepatocytes and Kupffer cells. This effect was most prominent in the proximal small intestine and small liver lobi. These data provide evidence that hyperthermia produces cellular hypoxia and metabolic stress in splanchnic tissues and suggest that cellular metabolic stress may contribute to radical generation during heat stress.","container-title":"American Journal of Physiology-Gastrointestinal and Liver Physiology","DOI":"10.1152/ajpgi.1999.276.5.G1195","ISSN":"0193-1857","issue":"5","note":"publisher: American Physiological Society","page":"G1195-G1203","source":"journals.physiology.org (Atypon)","title":"Splanchnic tissues undergo hypoxic stress  during whole body hyperthermia","volume":"276","author":[{"family":"Hall","given":"David M."},{"family":"Baumgardner","given":"Kirk R."},{"family":"Oberley","given":"Terry D."},{"family":"Gisolfi","given":"Carl V."}],"issued":{"date-parts":[["1999",5]]}}}],"schema":"https://github.com/citation-style-language/schema/raw/master/csl-citation.json"} </w:instrText>
      </w:r>
      <w:r w:rsidR="00041D3D">
        <w:fldChar w:fldCharType="separate"/>
      </w:r>
      <w:r w:rsidR="00041D3D">
        <w:rPr>
          <w:noProof/>
        </w:rPr>
        <w:t>(Hall et al., 1999)</w:t>
      </w:r>
      <w:r w:rsidR="00041D3D">
        <w:fldChar w:fldCharType="end"/>
      </w:r>
      <w:r w:rsidR="003762F9">
        <w:t>.</w:t>
      </w:r>
      <w:r w:rsidR="00041D3D">
        <w:t xml:space="preserve"> </w:t>
      </w:r>
      <w:r w:rsidR="003762F9">
        <w:t>This</w:t>
      </w:r>
      <w:r w:rsidR="00613EEE">
        <w:t xml:space="preserve"> m</w:t>
      </w:r>
      <w:r w:rsidR="009933D0">
        <w:t xml:space="preserve">ay represent a </w:t>
      </w:r>
      <w:r w:rsidR="002A1D45">
        <w:t xml:space="preserve">short-term </w:t>
      </w:r>
      <w:r w:rsidR="009933D0">
        <w:t>compensatory shift to maintain energy production under increased oxygen limitations</w:t>
      </w:r>
      <w:r w:rsidR="00041D3D">
        <w:t xml:space="preserve"> at high temperatures</w:t>
      </w:r>
      <w:r w:rsidR="009933D0">
        <w:t>.</w:t>
      </w:r>
      <w:r w:rsidR="00CE20EC">
        <w:t xml:space="preserve"> </w:t>
      </w:r>
      <w:r w:rsidR="002A1D45">
        <w:t xml:space="preserve">However, the </w:t>
      </w:r>
      <w:r w:rsidR="002A1D45">
        <w:t>anaerobic pathways</w:t>
      </w:r>
      <w:r w:rsidR="002A1D45">
        <w:t xml:space="preserve"> </w:t>
      </w:r>
      <w:r w:rsidR="00707EA7">
        <w:t xml:space="preserve">that increase </w:t>
      </w:r>
      <w:r w:rsidR="002A1D45">
        <w:t xml:space="preserve">are </w:t>
      </w:r>
      <w:r w:rsidR="00707EA7">
        <w:t xml:space="preserve">primarily </w:t>
      </w:r>
      <w:r w:rsidR="002A1D45">
        <w:t xml:space="preserve">involved in </w:t>
      </w:r>
      <w:r w:rsidR="002A1D45">
        <w:t>simple carbohydrate metabolism</w:t>
      </w:r>
      <w:r w:rsidR="002A1D45">
        <w:t xml:space="preserve">, while pathways </w:t>
      </w:r>
      <w:r w:rsidR="00707EA7">
        <w:t xml:space="preserve">associated with </w:t>
      </w:r>
      <w:r w:rsidR="002A1D45">
        <w:t xml:space="preserve">fiber fermentation decline. This pattern suggests that the shift is </w:t>
      </w:r>
      <w:r w:rsidR="00707EA7">
        <w:t>largely</w:t>
      </w:r>
      <w:r w:rsidR="002A1D45">
        <w:t xml:space="preserve"> </w:t>
      </w:r>
      <w:r w:rsidR="002A1D45">
        <w:t xml:space="preserve">driven </w:t>
      </w:r>
      <w:r w:rsidR="002A1D45">
        <w:t>by facultative anaerobes</w:t>
      </w:r>
      <w:r w:rsidR="00707EA7">
        <w:t xml:space="preserve">, </w:t>
      </w:r>
      <w:r w:rsidR="002A1D45">
        <w:t xml:space="preserve">who typically ferment simple sugars and have limited capacity </w:t>
      </w:r>
      <w:r w:rsidR="00707EA7">
        <w:t xml:space="preserve">to degrade </w:t>
      </w:r>
      <w:r w:rsidR="002A1D45">
        <w:t>complex polysaccharide</w:t>
      </w:r>
      <w:r w:rsidR="00707EA7">
        <w:t>s</w:t>
      </w:r>
      <w:r w:rsidR="002A1D45">
        <w:t xml:space="preserve"> </w:t>
      </w:r>
      <w:r w:rsidR="00707EA7">
        <w:t>()</w:t>
      </w:r>
      <w:r w:rsidR="002A1D45">
        <w:t xml:space="preserve">. The shift away from </w:t>
      </w:r>
      <w:r w:rsidR="002A1D45">
        <w:t>fiber fermentation is likely to have downstream consequences for host energy balance and immune regulation</w:t>
      </w:r>
      <w:r w:rsidR="002A1D45">
        <w:t xml:space="preserve"> because </w:t>
      </w:r>
      <w:r w:rsidR="00136BD0">
        <w:t xml:space="preserve">fiber fermentation </w:t>
      </w:r>
      <w:r w:rsidR="002A1D45">
        <w:t>generates short-ch</w:t>
      </w:r>
      <w:r w:rsidR="002A1D45">
        <w:t>ain</w:t>
      </w:r>
      <w:r w:rsidR="00686DA4">
        <w:t xml:space="preserve"> fatty </w:t>
      </w:r>
      <w:r w:rsidR="002A1D45">
        <w:t xml:space="preserve">acids </w:t>
      </w:r>
      <w:r w:rsidR="002A1D45">
        <w:t>(SCFA) that</w:t>
      </w:r>
      <w:r w:rsidR="002A1D45">
        <w:t xml:space="preserve"> are the main energy sources for gut epithelial cells </w:t>
      </w:r>
      <w:r w:rsidR="00707EA7">
        <w:t xml:space="preserve">() </w:t>
      </w:r>
      <w:r w:rsidR="002A1D45">
        <w:t>and importan</w:t>
      </w:r>
      <w:r w:rsidR="002A1D45">
        <w:t>t</w:t>
      </w:r>
      <w:r w:rsidR="002A1D45">
        <w:t xml:space="preserve"> immunomodulators</w:t>
      </w:r>
      <w:r w:rsidR="00707EA7">
        <w:t xml:space="preserve"> ()</w:t>
      </w:r>
      <w:r w:rsidR="002A1D45">
        <w:t xml:space="preserve">. </w:t>
      </w:r>
      <w:r w:rsidR="000A35B4">
        <w:t>Therefore</w:t>
      </w:r>
      <w:r w:rsidR="003B549A">
        <w:t xml:space="preserve">, </w:t>
      </w:r>
      <w:r w:rsidR="004F7F03">
        <w:t xml:space="preserve">the observed </w:t>
      </w:r>
      <w:r w:rsidR="000A35B4">
        <w:t xml:space="preserve">shifts in oxygen-dependent and lipid metabolic pathways may be </w:t>
      </w:r>
      <w:r w:rsidR="000A35B4">
        <w:t>insufficient to maintain</w:t>
      </w:r>
      <w:r w:rsidR="000A35B4">
        <w:t xml:space="preserve"> microbiome</w:t>
      </w:r>
      <w:r w:rsidR="000A35B4">
        <w:t xml:space="preserve"> </w:t>
      </w:r>
      <w:r w:rsidR="003B549A">
        <w:t xml:space="preserve">stability during prolonged periods of high temperatures </w:t>
      </w:r>
      <w:r w:rsidR="000A35B4">
        <w:t>and could lead to downstream consequences for host health.</w:t>
      </w:r>
    </w:p>
    <w:p w14:paraId="6DB78BEB" w14:textId="77777777" w:rsidR="000A35B4" w:rsidRDefault="000A35B4" w:rsidP="00A566A6"/>
    <w:p w14:paraId="47C731DC" w14:textId="1E5EC0E1" w:rsidR="00F80F43" w:rsidRDefault="00396018" w:rsidP="00D15F03">
      <w:r>
        <w:t xml:space="preserve">Some of the taxonomic and metabolic changes </w:t>
      </w:r>
      <w:r w:rsidR="0062146A">
        <w:t>associated with</w:t>
      </w:r>
      <w:r w:rsidR="00686DA4">
        <w:t xml:space="preserve"> rising temperatures </w:t>
      </w:r>
      <w:r w:rsidR="00BE33CE">
        <w:t>suggest that the capuchins may be experiencing</w:t>
      </w:r>
      <w:r w:rsidR="00686DA4">
        <w:t xml:space="preserve"> periods of</w:t>
      </w:r>
      <w:r w:rsidR="00BE33CE">
        <w:t xml:space="preserve"> heat stress</w:t>
      </w:r>
      <w:r w:rsidR="0062146A">
        <w:t xml:space="preserve">. </w:t>
      </w:r>
      <w:r w:rsidR="00686DA4">
        <w:t xml:space="preserve">Broad declines in the abundance of genera </w:t>
      </w:r>
      <w:r w:rsidR="0062146A">
        <w:t>from the</w:t>
      </w:r>
      <w:r w:rsidR="00686DA4">
        <w:t xml:space="preserve"> phyla </w:t>
      </w:r>
      <w:proofErr w:type="spellStart"/>
      <w:r w:rsidR="00686DA4">
        <w:t>Bacteroidota</w:t>
      </w:r>
      <w:proofErr w:type="spellEnd"/>
      <w:r w:rsidR="00686DA4">
        <w:t xml:space="preserve"> and Firmicutes</w:t>
      </w:r>
      <w:r w:rsidR="00686DA4">
        <w:t xml:space="preserve"> compared to the relative stability </w:t>
      </w:r>
      <w:r w:rsidR="0062146A">
        <w:t xml:space="preserve">of </w:t>
      </w:r>
      <w:r w:rsidR="00686DA4">
        <w:t xml:space="preserve">Proteobacteria </w:t>
      </w:r>
      <w:r w:rsidR="003253D7">
        <w:t xml:space="preserve">(Fig 3) </w:t>
      </w:r>
      <w:r w:rsidR="0062146A">
        <w:t xml:space="preserve">mirror patterns observed in experimental studies of heat-stress in a </w:t>
      </w:r>
      <w:r w:rsidR="00686DA4">
        <w:t xml:space="preserve">wide range of </w:t>
      </w:r>
      <w:r w:rsidR="0062146A">
        <w:t>vertebrates</w:t>
      </w:r>
      <w:r w:rsidR="00686DA4">
        <w:t xml:space="preserve"> </w:t>
      </w:r>
      <w:r w:rsidR="00686DA4">
        <w:t xml:space="preserve">[e.g., fish </w:t>
      </w:r>
      <w:r w:rsidR="00686DA4">
        <w:fldChar w:fldCharType="begin"/>
      </w:r>
      <w:r w:rsidR="00686DA4">
        <w:instrText xml:space="preserve"> ADDIN ZOTERO_ITEM CSL_CITATION {"citationID":"25zGiPQC","properties":{"formattedCitation":"(Neuman et al., 2016; Soriano et al., 2018)","plainCitation":"(Neuman et al., 2016; Soriano et al., 2018)","noteIndex":0},"citationItems":[{"id":2229,"uris":["http://zotero.org/users/13901503/items/J3568CMW"],"itemData":{"id":2229,"type":"article-journal","abstract":"We investigated the changes in the faecal microbial population of the hindgut of farmed Atlantic salmon fed two commercial diets (A and B) over a 10-month period. At each sampling round, hindgut contents of 40 fish (20 per diet) were pooled according to diet and cultivated on selective agar. The functional status of all microbiota was assessed against 48 substrates using the PhPlate generalized microplate, which also yielded a metabolic capacity (MC) value for each microbiota. Virulence gene profiles of each microbiota were also investigated. The number of different bacterial groups between two diets varied slightly and increased as water temperature peaked at 18.5°C during summer. This however, was associated with an increase in Vibrio numbers and a decrease in lactic acid bacterial numbers. A shift in the functional status of gut microbiota was observed as temperature increased, which was coupled with a decrease in the MC-value of the microbiota in both diets. Of the 35 virulence genes tested from total DNA extract of the microbiota, only cdt and east1 were detected. Results indicate that temperature is the main driver of changes to the gut microbiota in farmed Tasmanian Atlantic salmon receiving these two diets.","container-title":"Aquaculture Research","DOI":"10.1111/are.12522","ISSN":"1365-2109","issue":"2","language":"en","license":"© 2014 John Wiley &amp; Sons Ltd","note":"_eprint: https://onlinelibrary.wiley.com/doi/pdf/10.1111/are.12522","page":"660-672","source":"Wiley Online Library","title":"The effect of diet and environmental temperature on the faecal microbiota of farmed Tasmanian Atlantic Salmon (almo salar L.)","volume":"47","author":[{"family":"Neuman","given":"Christina"},{"family":"Hatje","given":"Eva"},{"family":"Zarkasi","given":"Kamarul Z"},{"family":"Smullen","given":"Richard"},{"family":"Bowman","given":"John P"},{"family":"Katouli","given":"Mohammad"}],"issued":{"date-parts":[["2016"]]}}},{"id":2232,"uris":["http://zotero.org/users/13901503/items/TL348YX4"],"itemData":{"id":2232,"type":"article-journal","abstract":"Gut microbiota plays a determining role in the health status of the host. In general, a beneficial bacterial community, associated with a greater metabolic capacity and wellbeing, shows high values of species richness and relative abundance. Because environmental temperature is a regulating factor in fish physiological and metabolic processes, it is very important to understand the effect of environmental temperature on diversity and richness of gut microbiota in poikilothermic organisms. This study analysed the reciprocal diet-temperature correlations in the faecal microbiota diversity in Seriola lalandi. Juveniles were acclimated at 20 °C and 26 °C for 30 days; in addition, the fish were fed three diets with three levels of lipid inclusion (7%, 14% and 21%). Faecal microbiota in S. lalandi was characterized using the high-throughput sequencing approach based on the V3 region of the 16S rRNA gene. The most abundant phyla identified in this study were Proteobacteria, Actinobacteria, Bacteroidetes and Firmicutes. A significant change was observed in faecal microbiota in relation to acclimation temperature. The results indicated that species richness was modified in relation to the environmental temperatures; the Operational Taxonomic Units (OTUs) identified in fish acclimated at 26 °C belonged to the families Pseudomonadacea, Alcaligenaceae and Microbacteriaceae whereas those identified at 20 °C were Micavibrio, Comamonadaceae and Saprospiraceae. Furthermore, significant differences were observed between the OTUs identified in the dietary treatments, in which Actinobacteria (7% lipid), Gammaproteobacteria (14% lipid), Betaproteobacteria (21% lipid), and Flavobacteria (skretting diet) were the phyla preferentially identified from each treatment. The results obtained in this study demonstrated the importance of environmental temperature to maintain a balance in intestinal microbiota, as well as the effects of diet composition on proliferation of different microbial groups with respect to thermal induction.","container-title":"Aquaculture","DOI":"10.1016/j.aquaculture.2018.07.065","ISSN":"0044-8486","journalAbbreviation":"Aquaculture","page":"269-277","source":"ScienceDirect","title":"Effect of temperature and dietary lipid proportion on gut microbiota in yellowtail kingfish &lt;i&gt;Seriola lalandi&lt;/i&gt; juveniles","volume":"497","author":[{"family":"Soriano","given":"Ernesto Larios"},{"family":"Ramírez","given":"Dariel Tovar"},{"family":"Araujo","given":"Denise Re"},{"family":"Gómez-Gil","given":"Bruno"},{"family":"Castro","given":"Leonardo Ibarra"},{"family":"Sánchez","given":"Clara Galindo"}],"issued":{"date-parts":[["2018",12,1]]}}}],"schema":"https://github.com/citation-style-language/schema/raw/master/csl-citation.json"} </w:instrText>
      </w:r>
      <w:r w:rsidR="00686DA4">
        <w:fldChar w:fldCharType="separate"/>
      </w:r>
      <w:r w:rsidR="00686DA4">
        <w:rPr>
          <w:noProof/>
        </w:rPr>
        <w:t>(Neuman et al., 2016; Soriano et al., 2018)</w:t>
      </w:r>
      <w:r w:rsidR="00686DA4">
        <w:fldChar w:fldCharType="end"/>
      </w:r>
      <w:r w:rsidR="00686DA4">
        <w:t xml:space="preserve">, reptiles </w:t>
      </w:r>
      <w:r w:rsidR="00686DA4">
        <w:fldChar w:fldCharType="begin"/>
      </w:r>
      <w:r w:rsidR="00686DA4">
        <w:instrText xml:space="preserve"> ADDIN ZOTERO_ITEM CSL_CITATION {"citationID":"XZMcVBqo","properties":{"formattedCitation":"(Bestion et al., 2017; Moeller et al., 2020)","plainCitation":"(Bestion et al., 2017; Moeller et al., 2020)","noteIndex":0},"citationItems":[{"id":1961,"uris":["http://zotero.org/users/13901503/items/UL2CLBKR"],"itemData":{"id":1961,"type":"article-journal","abstract":"Climate change is now considered to be the greatest threat to biodiversity and ecological networks, but its impacts on the bacterial communities associated with plants and animals remain largely unknown. Here, we studied the consequences of climate warming on the gut bacterial communities of an ectotherm, the common lizard (Zootoca vivipara), using a semi-natural experimental approach. We found that 2–3 °C warmer climates cause a 34% loss of populations’ microbiota diversity, with possible negative consequences for host survival.","container-title":"Nature Ecology &amp; Evolution","DOI":"10.1038/s41559-017-0161","ISSN":"2397-334X","issue":"6","journalAbbreviation":"Nat Ecol Evol","language":"en","license":"2017 Macmillan Publishers Limited, part of Springer Nature.","note":"publisher: Nature Publishing Group","page":"1-3","source":"www-nature-com.proxy.lib.umich.edu","title":"Climate warming reduces gut microbiota diversity in a vertebrate ectotherm","volume":"1","author":[{"family":"Bestion","given":"Elvire"},{"family":"Jacob","given":"Staffan"},{"family":"Zinger","given":"Lucie"},{"family":"Di Gesu","given":"Lucie"},{"family":"Richard","given":"Murielle"},{"family":"White","given":"Joël"},{"family":"Cote","given":"Julien"}],"issued":{"date-parts":[["2017",5,8]]}}},{"id":1022,"uris":["http://zotero.org/users/13901503/items/BYK4NQF8"],"itemData":{"id":1022,"type":"article-journal","abstract":"Vertebrates harbor trillions of microorganisms in the gut, collectively termed the gut microbiota, which affect a wide range of host functions. Recent experiments in lab-reared vertebrates have shown that changes in environmental temperature can induce shifts in the gut microbiota, and in some cases these shifts have been shown to affect host thermal physiology. However, there is a lack of information about the effects of temperature on the gut microbiota of wild-caught vertebrates. Moreover, in ectotherms, which are particularly vulnerable to changing temperature regimens, the extent to which microbiota composition is shaped by temperature and associated with host thermal tolerance has not been investigated. To address these issues, we monitored the gut microbiota composition of wild-caught western fence lizards (Sceloporus occidentalis) experimentally exposed to a cool-to-warm temperature transition. Comparing experimentally exposed and control lizards indicated that warm temperatures altered and destabilized the composition of the S. occidentalis gut microbiota. Warming drove a significant reduction in the relative abundances of a clade of Firmicutes, a significant increase in the rate of compositional turnover in the gut microbiota within individual lizards, and increases in the abundances of bacteria from predicted pathogenic clades. In addition, the composition of the microbiota was significantly associated with the thermal tolerance of lizards measured at the end of the experiment. These results suggest that temperature can alter the lizard gut microbiota, with potential implications for the physiological performance and fitness of natural populations.IMPORTANCE Gut microbial communities affect their animal hosts in numerous ways, motivating investigations of the factors that shape the gut microbiota and the consequences of gut microbiota variation for host traits. In this study, we tested the effects of increases in environmental temperatures on the gut microbiota of fence lizards, a vertebrate ectotherm threatened by warming climates. By monitoring lizards and their gut microbes during an experimental temperature treatment, we showed that the warming altered and destabilized the lizard gut microbiota. Moreover, measuring thermal performance of lizard hosts at the end of the experiment indicated that the composition of the gut microbiota was associated with host thermal tolerance. These results indicate that warming temperatures can alter the gut microbiota of vertebrate ectotherms and suggest relationships between variation in the gut microbiota and the thermal physiology of natural host populations.","container-title":"Applied and Environmental Microbiology","DOI":"10.1128/AEM.01181-20","issue":"17","note":"publisher: American Society for Microbiology","page":"e01181-20","source":"journals.asm.org (Atypon)","title":"The Lizard Gut Microbiome Changes with Temperature and Is Associated with Heat Tolerance","volume":"86","author":[{"family":"Moeller","given":"Andrew H."},{"family":"Ivey","given":"Kathleen"},{"family":"Cornwall","given":"Margaret B."},{"family":"Herr","given":"Kathryn"},{"family":"Rede","given":"Jordan"},{"family":"Taylor","given":"Emily N."},{"family":"Gunderson","given":"Alex R."}],"issued":{"date-parts":[["2020",8,18]]}}}],"schema":"https://github.com/citation-style-language/schema/raw/master/csl-citation.json"} </w:instrText>
      </w:r>
      <w:r w:rsidR="00686DA4">
        <w:fldChar w:fldCharType="separate"/>
      </w:r>
      <w:r w:rsidR="00686DA4">
        <w:rPr>
          <w:noProof/>
        </w:rPr>
        <w:t>(Bestion et al., 2017; Moeller et al., 2020)</w:t>
      </w:r>
      <w:r w:rsidR="00686DA4">
        <w:fldChar w:fldCharType="end"/>
      </w:r>
      <w:r w:rsidR="00686DA4">
        <w:t xml:space="preserve">, amphibians </w:t>
      </w:r>
      <w:r w:rsidR="00686DA4">
        <w:fldChar w:fldCharType="begin"/>
      </w:r>
      <w:r w:rsidR="00686DA4">
        <w:instrText xml:space="preserve"> ADDIN ZOTERO_ITEM CSL_CITATION {"citationID":"QftC6azE","properties":{"formattedCitation":"(Kohl &amp; Yahn, 2016)","plainCitation":"(Kohl &amp; Yahn, 2016)","noteIndex":0},"citationItems":[{"id":1959,"uris":["http://zotero.org/users/13901503/items/ZXQ5TW3X"],"itemData":{"id":1959,"type":"article-journal","abstract":"Summary Numerous studies have investigated the effects of diet, phylogeny and immune status on the gut microbial communities of animals. Most of these studies are conducted on endotherms, especially mammals, which maintain constant body temperature in the face of environmental temperature variability. However, the majority of animals and vertebrates are ectotherms, which often experience fluctuations in body temperature as a result of their environment. While there have been several studies investigating the gut microbial diversity of ectotherms, we lack an understanding of how environmental temperature affects these communities. Here, we used high-throughput sequencing to inventory the gut microbial communities of tadpoles exposed to cool (18°C) or warm (28°C) temperature treatments. We found that temperature significantly impacted the community structure and membership of the tadpole gut. Specifically, tadpoles in the warm treatment exhibited higher abundances of the phylum Planctomycetes and the genus Mycobacterium. These results may be due to the direct effects of temperature, or mediated through changes in host physiology. Given that environmental temperatures are expected to increase due to global climate change, understanding the effects of temperature on the diversity and function of gut microbial communities is critical.","container-title":"Environmental Microbiology","DOI":"10.1111/1462-2920.13255","ISSN":"1462-2912","issue":"5","note":"publisher: John Wiley &amp; Sons, Ltd","page":"1561-1565","source":"enviromicro-journals-onlinelibrary-wiley-com.proxy.lib.umich.edu (Atypon)","title":"Effects of environmental temperature on the gut microbial communities of tadpoles","volume":"18","author":[{"family":"Kohl","given":"Kevin D."},{"family":"Yahn","given":"Jeremiah"}],"issued":{"date-parts":[["2016",5]]}}}],"schema":"https://github.com/citation-style-language/schema/raw/master/csl-citation.json"} </w:instrText>
      </w:r>
      <w:r w:rsidR="00686DA4">
        <w:fldChar w:fldCharType="separate"/>
      </w:r>
      <w:r w:rsidR="00686DA4">
        <w:rPr>
          <w:noProof/>
        </w:rPr>
        <w:t>(Kohl &amp; Yahn, 2016)</w:t>
      </w:r>
      <w:r w:rsidR="00686DA4">
        <w:fldChar w:fldCharType="end"/>
      </w:r>
      <w:r w:rsidR="00686DA4">
        <w:t xml:space="preserve">, mammals </w:t>
      </w:r>
      <w:r w:rsidR="00686DA4">
        <w:fldChar w:fldCharType="begin"/>
      </w:r>
      <w:r w:rsidR="00686DA4">
        <w:instrText xml:space="preserve"> ADDIN ZOTERO_ITEM CSL_CITATION {"citationID":"Li5YwQ3H","properties":{"formattedCitation":"(Bai et al., 2022; Tajima et al., 2007)","plainCitation":"(Bai et al., 2022; Tajima et al., 2007)","noteIndex":0},"citationItems":[{"id":3042,"uris":["http://zotero.org/users/13901503/items/AZMFVA5Z"],"itemData":{"id":3042,"type":"article-journal","abstract":"Heat stress can impair the rabbit immune system, induce oxidative stress, and cause many complications. These diseases are characterized by metabolic disorders, but the underlying mechanism is unknown. As a result, the current research determines the effects of HS on intestinal microorganisms in rabbits and the metabolic pathway disorders caused by HS. Twelve rabbits were randomly assigned to one of two groups: CON (22–24°C) and HS (30°C–32°C). Both the groups were treated for 15 days. Blood and fecal samples were collected on day 15. Serum immune oxidation indices were determined using a commercial ELISA kit, and the microbiome of rabbit feces was studied using 16S rRNA gene sequencing. Non-targeted metabolomics was analyzed using ultra-high-performance liquid chromatography-mass spectrometry (UHPC MS/MS). The findings revealed that HS significantly increased IgG and T-AOC levels in serum, whereas it decreased TNF-α and IL-10. NMDS analysis revealed a substantial difference in bacterial community composition between HS and CON groups. At the phylum level, the abundance of Firmicutes, Protobacteria, and Verrucomicrobiota was significantly higher in the HS group, whereas the abundance of Bacteriodota was reduced in the CON group. V9D2013 group, Haloplasma, Comamonas, Clostridium sensu stricto 1, Ruminiclostridium, Syntrophus Lutispora, at the genus level Syntrophorhabdus, Paeniclostridium, Clostridium sensu stricto 6, Candidatus Caldatribacterium, Spirochaeta Synergistaceae, Syner-01, [Eubacterium] xylanophilum group, Cellulosilyticum, ADurb.Bin120, and Devosia were significantly upregulated in the HS group. The metabolism of the HS group was considerably upregulated compared with the metabolism of the CON group, according to principal component analysis (PCA) and least-squares discriminant analysis (PLS-DA). HS increased the concentrations of 4-pyridoxic acid, kynurenine, 20-OH-leukotriene B4, and dopamine and decreased the concentration of pyridoxal. In the rabbit gut, these compounds primarily impact the metabolic pathways of vitamin B6, tryptophan, neutrophil activation, and prolactin. 4-Pyridoxic acid, pyridoxal, kynurenine, 20-OH-leukotriene B4, and dopamine are essential inflammatory response markers and oxidative stress.","container-title":"Frontiers in Microbiology","DOI":"10.3389/fmicb.2021.817615","ISSN":"1664-302X","journalAbbreviation":"Front. Microbiol.","language":"English","note":"publisher: Frontiers","source":"Frontiers","title":"Heat Stress Affects Faecal Microbial and Metabolic Alterations of Rabbits","URL":"https://www.frontiersin.orghttps//www.frontiersin.org/journals/microbiology/articles/10.3389/fmicb.2021.817615/full","volume":"12","author":[{"family":"Bai","given":"Xue"},{"family":"Shi","given":"Yu"},{"family":"Tang","given":"Lipeng"},{"family":"Chen","given":"Li"},{"family":"Fan","given":"Huimei"},{"family":"Wang","given":"Haoding"},{"family":"Wang","given":"Jie"},{"family":"Jia","given":"Xianbo"},{"family":"Chen","given":"Shiyi"},{"family":"Lai","given":"Songjia"}],"accessed":{"date-parts":[["2025",5,1]]},"issued":{"date-parts":[["2022",2,28]]}}},{"id":1974,"uris":["http://zotero.org/users/13901503/items/TEZ5HVYB"],"itemData":{"id":1974,"type":"article-journal","abstract":"The effect of heat and humidity stresses on the rumen bacterial molecular diversity of heifers was studied. No statistically significant changes in the rumen microbiota composition were found in the first experiment (average body mass 250kg) while in the second and third experiments (additional variables included the relative humidity and body weight), the microbiota composition was significantly different at elevated environmental temperatures and humidity. These shifts were accompanied by the decrease in concentration of short-chain fatty acids in the rumen.","container-title":"Anaerobe","DOI":"10.1016/j.anaerobe.2006.12.001","ISSN":"1075-9964","issue":"2","journalAbbreviation":"Anaerobe","page":"57-64","source":"ScienceDirect","title":"Influence of high temperature and humidity on rumen bacterial diversity in Holstein heifers","volume":"13","author":[{"family":"Tajima","given":"Kiyoshi"},{"family":"Nonaka","given":"Itoko"},{"family":"Higuchi","given":"Kouji"},{"family":"Takusari","given":"Naozumi"},{"family":"Kurihara","given":"Mitsunori"},{"family":"Takenaka","given":"Akio"},{"family":"Mitsumori","given":"Makoto"},{"family":"Kajikawa","given":"Hiroshi"},{"family":"Aminov","given":"Rustam I."}],"issued":{"date-parts":[["2007",4,1]]}}}],"schema":"https://github.com/citation-style-language/schema/raw/master/csl-citation.json"} </w:instrText>
      </w:r>
      <w:r w:rsidR="00686DA4">
        <w:fldChar w:fldCharType="separate"/>
      </w:r>
      <w:r w:rsidR="00686DA4">
        <w:rPr>
          <w:noProof/>
        </w:rPr>
        <w:t>(Bai et al., 2022; Tajima et al., 2007)</w:t>
      </w:r>
      <w:r w:rsidR="00686DA4">
        <w:fldChar w:fldCharType="end"/>
      </w:r>
      <w:r w:rsidR="00686DA4">
        <w:t xml:space="preserve">, and birds </w:t>
      </w:r>
      <w:r w:rsidR="00686DA4">
        <w:fldChar w:fldCharType="begin"/>
      </w:r>
      <w:r w:rsidR="00686DA4">
        <w:instrText xml:space="preserve"> ADDIN ZOTERO_ITEM CSL_CITATION {"citationID":"mZcxo5Qi","properties":{"formattedCitation":"(Zhu et al., 2019)","plainCitation":"(Zhu et al., 2019)","noteIndex":0},"citationItems":[{"id":1972,"uris":["http://zotero.org/users/13901503/items/Z3WTZJPU"],"itemData":{"id":1972,"type":"article-journal","abstract":"Chicken gastrointestinal microbiota plays important roles in health, productivity, and disease. However, knowledge of the relationship between heat stress and the gut microbial ecosystem of poultry, especially laying hens, is still limited. Here, we aimed to provide important knowledge for heat stress intervention in the egg industry. We performed high-throughput sequencing metagenomics on fecal contents to unravel the microbial taxa and functional capacity of the gut microbiome of caged laying hens under heat stress. Results showed that the fecal microbial communities of laying hens were dominated by Firmicutes, Bacteroidetes, and Proteobacteria phyla. The Firmicutes were significantly decreased, and Bacteroidetes were increased in the fecal microbiota under heat stress. Functional prediction of these changes in microbiota revealed that metabolism-related pathways, including cysteine and methionine metabolism and benzoate degradation, were more abundant. Conversely, retinol metabolism and phenylpropanoid biosynthesis were decreased by heat stress, suggesting differences in metabolism between layers in different temperature environments. Clear contributions were identified between active taxa (genus level) and metabolic pathways, which were associated with the liver and intestinal dysfunction in layers. These data revealed that heat stress induced a significant taxonomic perturbation in the gut microbiome of caged laying hens. This was related to the negative effects of heat stress in poultry and provided important basic knowledge for heat stress intervention.","container-title":"Applied Microbiology and Biotechnology","DOI":"10.1007/s00253-018-9465-8","ISSN":"1432-0614","issue":"1","journalAbbreviation":"Appl Microbiol Biotechnol","language":"en","license":"2018 Springer-Verlag GmbH Germany, part of Springer Nature","note":"Company: Springer\nDistributor: Springer\nInstitution: Springer\nLabel: Springer\nnumber: 1\npublisher: Springer Berlin Heidelberg","page":"461-472","source":"link-springer-com.proxy.lib.umich.edu","title":"Heat stress mediates changes in fecal microbiome and functional pathways of laying hens","volume":"103","author":[{"family":"Zhu","given":"Lihui"},{"family":"Liao","given":"Rongrong"},{"family":"Wu","given":"Ning"},{"family":"Zhu","given":"Gensheng"},{"family":"Yang","given":"Changsuo"}],"issued":{"date-parts":[["2019",1,1]]}}}],"schema":"https://github.com/citation-style-language/schema/raw/master/csl-citation.json"} </w:instrText>
      </w:r>
      <w:r w:rsidR="00686DA4">
        <w:fldChar w:fldCharType="separate"/>
      </w:r>
      <w:r w:rsidR="00686DA4">
        <w:rPr>
          <w:noProof/>
        </w:rPr>
        <w:t>(Zhu et al., 2019)</w:t>
      </w:r>
      <w:r w:rsidR="00686DA4">
        <w:fldChar w:fldCharType="end"/>
      </w:r>
      <w:r w:rsidR="00686DA4">
        <w:t>].</w:t>
      </w:r>
      <w:r w:rsidR="00CB1E1C">
        <w:t xml:space="preserve"> </w:t>
      </w:r>
      <w:r w:rsidR="0062146A">
        <w:t>Importantly,</w:t>
      </w:r>
      <w:r w:rsidR="0062146A">
        <w:t xml:space="preserve"> the taxa</w:t>
      </w:r>
      <w:r w:rsidR="003D2BD5">
        <w:t xml:space="preserve"> that</w:t>
      </w:r>
      <w:r w:rsidR="0062146A">
        <w:t xml:space="preserve"> decline with rising temperatures include key obligate anaerobes </w:t>
      </w:r>
      <w:r w:rsidR="0062146A">
        <w:t>(</w:t>
      </w:r>
      <w:r w:rsidR="0062146A">
        <w:t>i.e.</w:t>
      </w:r>
      <w:r w:rsidR="0062146A">
        <w:t xml:space="preserve">, </w:t>
      </w:r>
      <w:r w:rsidR="0062146A" w:rsidRPr="006915F0">
        <w:rPr>
          <w:i/>
          <w:iCs/>
        </w:rPr>
        <w:t xml:space="preserve">Bacteroides, Parabacteroides, Clostridium, </w:t>
      </w:r>
      <w:proofErr w:type="spellStart"/>
      <w:r w:rsidR="0062146A" w:rsidRPr="006915F0">
        <w:rPr>
          <w:i/>
          <w:iCs/>
        </w:rPr>
        <w:t>Ruminococcus</w:t>
      </w:r>
      <w:proofErr w:type="spellEnd"/>
      <w:r w:rsidR="0062146A" w:rsidRPr="006915F0">
        <w:rPr>
          <w:i/>
          <w:iCs/>
        </w:rPr>
        <w:t xml:space="preserve">, Eubacterium, </w:t>
      </w:r>
      <w:proofErr w:type="spellStart"/>
      <w:r w:rsidR="0062146A" w:rsidRPr="006915F0">
        <w:rPr>
          <w:i/>
          <w:iCs/>
        </w:rPr>
        <w:t>Blautia</w:t>
      </w:r>
      <w:proofErr w:type="spellEnd"/>
      <w:r w:rsidR="0062146A" w:rsidRPr="006915F0">
        <w:rPr>
          <w:i/>
          <w:iCs/>
        </w:rPr>
        <w:t xml:space="preserve">, </w:t>
      </w:r>
      <w:proofErr w:type="spellStart"/>
      <w:r w:rsidR="0062146A" w:rsidRPr="006915F0">
        <w:rPr>
          <w:i/>
          <w:iCs/>
        </w:rPr>
        <w:t>Anaerostipes</w:t>
      </w:r>
      <w:proofErr w:type="spellEnd"/>
      <w:r w:rsidR="0062146A" w:rsidRPr="006915F0">
        <w:rPr>
          <w:i/>
          <w:iCs/>
        </w:rPr>
        <w:t xml:space="preserve">, </w:t>
      </w:r>
      <w:r w:rsidR="0062146A" w:rsidRPr="006915F0">
        <w:t>and</w:t>
      </w:r>
      <w:r w:rsidR="0062146A" w:rsidRPr="006915F0">
        <w:rPr>
          <w:i/>
          <w:iCs/>
        </w:rPr>
        <w:t xml:space="preserve"> </w:t>
      </w:r>
      <w:proofErr w:type="spellStart"/>
      <w:r w:rsidR="0062146A" w:rsidRPr="006915F0">
        <w:rPr>
          <w:i/>
          <w:iCs/>
        </w:rPr>
        <w:t>Alistipes</w:t>
      </w:r>
      <w:proofErr w:type="spellEnd"/>
      <w:r w:rsidR="0062146A">
        <w:t>)</w:t>
      </w:r>
      <w:r w:rsidR="0062146A">
        <w:t xml:space="preserve"> that play critical roles in </w:t>
      </w:r>
      <w:r w:rsidR="0062146A">
        <w:t xml:space="preserve">fiber fermentation and </w:t>
      </w:r>
      <w:r w:rsidR="002F10EE">
        <w:t xml:space="preserve">maintenance </w:t>
      </w:r>
      <w:r w:rsidR="003B549A">
        <w:t>of host immune tolerance towards the microbiome</w:t>
      </w:r>
      <w:r w:rsidR="0062146A">
        <w:t xml:space="preserve"> (). These changes align with the observed decrease in pathways </w:t>
      </w:r>
      <w:r w:rsidR="0062146A">
        <w:t>involved in fiber degradation and</w:t>
      </w:r>
      <w:r w:rsidR="003D2BD5">
        <w:t xml:space="preserve"> anti-inflammatory mechanisms </w:t>
      </w:r>
      <w:r w:rsidR="006D09B6">
        <w:t xml:space="preserve">(Fig 4B,E) </w:t>
      </w:r>
      <w:r w:rsidR="006D09B6">
        <w:t xml:space="preserve">and suggest that high temperatures may disrupt </w:t>
      </w:r>
      <w:r w:rsidR="006D3E98">
        <w:t>essential</w:t>
      </w:r>
      <w:r w:rsidR="00E82160">
        <w:t xml:space="preserve"> </w:t>
      </w:r>
      <w:r w:rsidR="006D09B6">
        <w:t>microbial functions</w:t>
      </w:r>
      <w:r w:rsidR="006D09B6">
        <w:t xml:space="preserve"> b</w:t>
      </w:r>
      <w:r w:rsidR="00E82160">
        <w:t xml:space="preserve">y </w:t>
      </w:r>
      <w:r w:rsidR="003D2BD5">
        <w:t xml:space="preserve">creating a gut environment </w:t>
      </w:r>
      <w:r w:rsidR="002F10EE">
        <w:t xml:space="preserve">that </w:t>
      </w:r>
      <w:r w:rsidR="00223596">
        <w:t>is less</w:t>
      </w:r>
      <w:r w:rsidR="006D3E98">
        <w:t xml:space="preserve"> suitable</w:t>
      </w:r>
      <w:r w:rsidR="002F10EE">
        <w:t xml:space="preserve"> </w:t>
      </w:r>
      <w:r w:rsidR="006D3E98">
        <w:t xml:space="preserve">for </w:t>
      </w:r>
      <w:r w:rsidR="002F10EE">
        <w:t>obligate anaerobes</w:t>
      </w:r>
      <w:r w:rsidR="002F10EE">
        <w:t>.</w:t>
      </w:r>
      <w:r w:rsidR="00F80F43">
        <w:t xml:space="preserve"> </w:t>
      </w:r>
    </w:p>
    <w:p w14:paraId="6B014E43" w14:textId="77777777" w:rsidR="003B549A" w:rsidRDefault="003B549A" w:rsidP="00D15F03"/>
    <w:p w14:paraId="397CCB70" w14:textId="55FA3554" w:rsidR="006B0A27" w:rsidRDefault="00223596" w:rsidP="00D15F03">
      <w:r>
        <w:t xml:space="preserve">Redox imbalance, </w:t>
      </w:r>
      <w:r w:rsidR="003B549A">
        <w:t>defined</w:t>
      </w:r>
      <w:r>
        <w:t xml:space="preserve"> as when the</w:t>
      </w:r>
      <w:r>
        <w:t xml:space="preserve"> generation of </w:t>
      </w:r>
      <w:r w:rsidR="0091179A">
        <w:t xml:space="preserve">reactive oxygen species </w:t>
      </w:r>
      <w:r w:rsidR="0091179A">
        <w:t>(</w:t>
      </w:r>
      <w:r>
        <w:t>ROS</w:t>
      </w:r>
      <w:r w:rsidR="0091179A">
        <w:t>)</w:t>
      </w:r>
      <w:r>
        <w:t xml:space="preserve"> exceeds their elimination</w:t>
      </w:r>
      <w:r>
        <w:t xml:space="preserve">, is a </w:t>
      </w:r>
      <w:r>
        <w:t>well-documented consequence of heat stress</w:t>
      </w:r>
      <w:r w:rsidR="002C2FBC">
        <w:t xml:space="preserve"> </w:t>
      </w:r>
      <w:r>
        <w:t xml:space="preserve">and may contribute to the decrease in obligate anaerobes with rising temperatures. </w:t>
      </w:r>
      <w:r w:rsidR="003B549A">
        <w:t xml:space="preserve">The gut microbiome plays an important role in maintaining redox balance in the gut environment </w:t>
      </w:r>
      <w:r w:rsidR="002C2FBC">
        <w:fldChar w:fldCharType="begin"/>
      </w:r>
      <w:r w:rsidR="002C2FBC">
        <w:instrText xml:space="preserve"> ADDIN ZOTERO_ITEM CSL_CITATION {"citationID":"2Q6hubpf","properties":{"formattedCitation":"(Kunst et al., 2023; Sun et al., 2024)","plainCitation":"(Kunst et al., 2023; Sun et al., 2024)","noteIndex":0},"citationItems":[{"id":3255,"uris":["http://zotero.org/users/13901503/items/FQ9APYWZ"],"itemData":{"id":3255,"type":"article-journal","abstract":"The human gastrointestinal tract is home to a complex microbial community that plays an important role in the general well-being of the entire organism. The gut microbiota generates a variety of metabolites and thereby regulates many biological processes, such as the regulation of the immune system. In the gut, bacteria are in direct contact with the host. The major challenge here is to prevent unwanted inflammatory reactions on one hand and on the other hand to ensure that the immune system can be activated when pathogens invade. Here the REDOX equilibrium is of utmost importance. This REDOX equilibrium is controlled by the microbiota either directly or indirectly via bacterial-derived metabolites. A balanced microbiome sorts for a stable REDOX balance, whereas dysbiosis destabilizes this equilibrium. An imbalanced REDOX status directly affects the immune system by disrupting intracellular signaling and promoting inflammatory responses. Here we (i) focus on the most common reactive oxygen species (ROS) and (ii) define the transition from a balanced REDOX state to oxidative stress. Further, we (iii) describe the role of ROS in regulating the immune system and inflammatory responses. Thereafter, we (iv) examine the influence of microbiota on REDOX homeostasis and how shifts in pro- and anti-oxidative cellular conditions can suppress or promote immune responses or inflammation.","container-title":"Biomedicines","DOI":"10.3390/biomedicines11051388","ISSN":"2227-9059","issue":"5","journalAbbreviation":"Biomedicines","note":"PMID: 37239059\nPMCID: PMC10216031","page":"1388","source":"PubMed Central","title":"The Influence of Gut Microbiota on Oxidative Stress and the Immune System","volume":"11","author":[{"family":"Kunst","given":"Claudia"},{"family":"Schmid","given":"Stephan"},{"family":"Michalski","given":"Marlen"},{"family":"Tümen","given":"Deniz"},{"family":"Buttenschön","given":"Jonas"},{"family":"Müller","given":"Martina"},{"family":"Gülow","given":"Karsten"}],"issued":{"date-parts":[["2023",5,8]]}}},{"id":3297,"uris":["http://zotero.org/users/13901503/items/LKCDGAMP"],"itemData":{"id":3297,"type":"article-journal","abstract":"Recent studies have indicated that gut microbiota-mediated oxidative stress is significantly associated with intestinal diseases such as colorectal cancer, ulcerative colitis, and Crohn’s disease. The level of reactive oxygen species (ROS) has been reported to increase when the gut microbiota is dysregulated, especially when several gut bacterial metabolites are present. Although healthy gut microbiota plays a vital role in defending against excessive oxidative stress, intestinal disease is significantly influenced by excessive ROS, and this process is controlled by gut microbiota-mediated immunological responses, DNA damage, and intestinal inflammation. In this review, we discuss the relationship between gut microbiota and intestinal disease from an oxidative stress perspective. In addition, we also provide a summary of the most recent therapeutic approaches for preventing or treating intestinal diseases by modifying gut microbiota.","container-title":"Frontiers in Microbiology","DOI":"10.3389/fmicb.2024.1328324","ISSN":"1664-302X","journalAbbreviation":"Front. Microbiol.","language":"English","note":"publisher: Frontiers","source":"Frontiers","title":"The role of gut microbiota in intestinal disease: from an oxidative stress perspective","title-short":"The role of gut microbiota in intestinal disease","URL":"https://www.frontiersin.org/journals/microbiology/articles/10.3389/fmicb.2024.1328324/full","volume":"15","author":[{"family":"Sun","given":"Yiqi"},{"family":"Wang","given":"Xurui"},{"family":"Li","given":"Lei"},{"family":"Zhong","given":"Chao"},{"family":"Zhang","given":"Yu"},{"family":"Yang","given":"Xiangdong"},{"family":"Li","given":"Mingyue"},{"family":"Yang","given":"Chao"}],"accessed":{"date-parts":[["2025",5,12]]},"issued":{"date-parts":[["2024",2,14]]}}}],"schema":"https://github.com/citation-style-language/schema/raw/master/csl-citation.json"} </w:instrText>
      </w:r>
      <w:r w:rsidR="002C2FBC">
        <w:fldChar w:fldCharType="separate"/>
      </w:r>
      <w:r w:rsidR="002C2FBC">
        <w:rPr>
          <w:noProof/>
        </w:rPr>
        <w:t>(Kunst et al., 2023; Sun et al., 2024)</w:t>
      </w:r>
      <w:r w:rsidR="002C2FBC">
        <w:fldChar w:fldCharType="end"/>
      </w:r>
      <w:r w:rsidR="003B549A">
        <w:t xml:space="preserve">, and </w:t>
      </w:r>
      <w:r>
        <w:t xml:space="preserve">observed </w:t>
      </w:r>
      <w:r>
        <w:t>a decline in pathways involved in</w:t>
      </w:r>
      <w:r w:rsidR="003B549A">
        <w:t xml:space="preserve"> diverse mechanisms that contribute to</w:t>
      </w:r>
      <w:r>
        <w:t xml:space="preserve"> redox maintenance</w:t>
      </w:r>
      <w:r w:rsidR="003B549A">
        <w:t>. This</w:t>
      </w:r>
      <w:r>
        <w:t xml:space="preserve"> sugges</w:t>
      </w:r>
      <w:r w:rsidR="003B549A">
        <w:t>ts</w:t>
      </w:r>
      <w:r>
        <w:t xml:space="preserve"> that rising temperatures may reduce the gut microbiome’s ability to neutralize ROS</w:t>
      </w:r>
      <w:r>
        <w:t xml:space="preserve"> and contribute to redox imbalance </w:t>
      </w:r>
      <w:r w:rsidR="003B549A">
        <w:t xml:space="preserve">in the gut </w:t>
      </w:r>
      <w:r>
        <w:t xml:space="preserve">at high temperatures. </w:t>
      </w:r>
      <w:r>
        <w:t>Although some redox-maintaining pathways do increase, the concurrent increase in pathways involved in DNA repair mechanisms likely reflects a response to redox imbalance because the accumulation of reactive oxygen species (ROS) can cause DNA damage</w:t>
      </w:r>
      <w:r w:rsidR="008A5CA6">
        <w:t xml:space="preserve"> </w:t>
      </w:r>
      <w:r w:rsidR="003B549A">
        <w:fldChar w:fldCharType="begin"/>
      </w:r>
      <w:r w:rsidR="003B549A">
        <w:instrText xml:space="preserve"> ADDIN ZOTERO_ITEM CSL_CITATION {"citationID":"krmJEebQ","properties":{"formattedCitation":"(Imlay, 2013)","plainCitation":"(Imlay, 2013)","noteIndex":0},"citationItems":[{"id":3368,"uris":["http://zotero.org/users/13901503/items/R3YTNYU9"],"itemData":{"id":3368,"type":"article-journal","abstract":"Excess oxygen can disrupt the growth of most organisms, but the underlying mechanisms of damage have proved difficult to unravel. The model bacterium Escherichia coli represents the best understood organism in terms of the effects of and response to oxidative stress.Superoxide (O2−) and hydrogen peroxide (H2O2) are formed within cells when molecular oxygen (O2) adventitiously acquires electrons from the reduced cofactors of flavoproteins.Both O2− and H2O2 can oxidize the exposed Fe–S clusters of a family of dehydratases. This event destabilizes the clusters, and their consequent disintegration eliminates enzyme activity.O2− and H2O2 also inactivate a variety of non-redox enzymes that use single Fe2+ ions as catalytic cofactors.DNA is damaged when H2O2 reacts with the intracellular pool of unincorporated iron. The iron that is released from oxidized metalloproteins enlarges this pool and accelerates this process.The transcription factor OxyR detects modest increments in intracellular H2O2. It activates several responses that help preserve the activities of Fe–S and mononuclear metalloenzymes.The SoxRS system detects redox-active compounds that are released by plants and some bacteria. These compounds can generate toxic doses of O2−, and the SoxRS system acts primarily to minimize the amounts of these compounds inside the cell.Future studies should aim to determine whether the knowledge gained from studying oxidative stress in the facultative anaerobe E. coli is applicable to other organisms, such as strictly aerobic and microaerophilic bacteria.","container-title":"Nature Reviews Microbiology","DOI":"10.1038/nrmicro3032","ISSN":"1740-1534","issue":"7","journalAbbreviation":"Nat Rev Microbiol","language":"en","license":"2013 Springer Nature Limited","note":"publisher: Nature Publishing Group","page":"443-454","source":"www.nature.com","title":"The molecular mechanisms and physiological consequences of oxidative stress: lessons from a model bacterium","title-short":"The molecular mechanisms and physiological consequences of oxidative stress","volume":"11","author":[{"family":"Imlay","given":"James A."}],"issued":{"date-parts":[["2013",7]]}}}],"schema":"https://github.com/citation-style-language/schema/raw/master/csl-citation.json"} </w:instrText>
      </w:r>
      <w:r w:rsidR="003B549A">
        <w:fldChar w:fldCharType="separate"/>
      </w:r>
      <w:r w:rsidR="003B549A">
        <w:rPr>
          <w:noProof/>
        </w:rPr>
        <w:t>(Imlay, 2013)</w:t>
      </w:r>
      <w:r w:rsidR="003B549A">
        <w:fldChar w:fldCharType="end"/>
      </w:r>
      <w:r>
        <w:t>.</w:t>
      </w:r>
      <w:r w:rsidRPr="00223596">
        <w:t xml:space="preserve"> </w:t>
      </w:r>
      <w:r>
        <w:t xml:space="preserve">Obligate anaerobes may be particularly vulnerable to redox imbalance because their enzymatic defenses are less efficient at protecting against ROS than facultative anaerobes </w:t>
      </w:r>
      <w:r>
        <w:fldChar w:fldCharType="begin"/>
      </w:r>
      <w:r w:rsidR="003B549A">
        <w:instrText xml:space="preserve"> ADDIN ZOTERO_ITEM CSL_CITATION {"citationID":"li75gYnN","properties":{"formattedCitation":"(Z. Lu et al., 2018; McCord et al., 1971)","plainCitation":"(Z. Lu et al., 2018; McCord et al., 1971)","noteIndex":0},"citationItems":[{"id":3598,"uris":["http://zotero.org/users/13901503/items/AT42KT3B"],"itemData":{"id":3598,"type":"article-journal","abstract":"It has been unclear whether superoxide and/or hydrogen peroxide play important roles in the phenomenon of obligate anaerobiosis. This question was explored using Bacteroides thetaiotaomicron, a major fermentative bacterium in the human gastrointestinal tract. Aeration inactivated two enzyme families—[4Fe-4S] dehydratases and nonredox mononuclear iron enzymes—whose homologs, in contrast, remain active in aerobic Escherichia coli. Inactivation-rate measurements of one such enzyme, B. thetaiotaomicron fumarase, showed that it is no more intrinsically sensitive to oxidants than is an E. coli fumarase. Indeed, when the E. coli enzymes were expressed in B. thetaiotaomicron, they no longer could tolerate aeration; conversely, the B. thetaiotaomicron enzymes maintained full activity when expressed in aerobic E. coli. Thus, the aerobic inactivation of the B. thetaiotaomicron enzymes is a feature of their intracellular environment rather than of the enzymes themselves. B. thetaiotaomicron possesses superoxide dismutase and peroxidases, and it can repair damaged enzymes. However, measurements confirmed that the rate of reactive oxygen species production inside aerated B. thetaiotaomicron is far higher than in E. coli. Analysis of the damaged enzymes recovered from aerated B. thetaiotaomicron suggested that they had been inactivated by superoxide rather than by hydrogen peroxide. Accordingly, overproduction of superoxide dismutase substantially protected the enzymes from aeration. We conclude that when this anaerobe encounters oxygen, its internal superoxide levels rise high enough to inactivate key catabolic and biosynthetic enzymes. Superoxide thus comprises a major element of the oxygen sensitivity of this anaerobe. The extent to which molecular oxygen exerts additional direct effects remains to be determined.","container-title":"Proceedings of the National Academy of Sciences","DOI":"10.1073/pnas.1800120115","issue":"14","note":"publisher: Proceedings of the National Academy of Sciences","page":"E3266-E3275","source":"www-pnas-org.proxy.lib.umich.edu (Atypon)","title":"Endogenous superoxide is a key effector of the oxygen sensitivity of a model obligate anaerobe","volume":"115","author":[{"family":"Lu","given":"Zheng"},{"family":"Sethu","given":"Ramakrishnan"},{"family":"Imlay","given":"James A."}],"issued":{"date-parts":[["2018",4,3]]}}},{"id":3602,"uris":["http://zotero.org/users/13901503/items/XVIRKXQ2"],"itemData":{"id":3602,"type":"article-journal","abstract":"The distribution of catalase and superoxide dismutase has been examined in various micro-organisms. Strict anaerobes exhibited no superoxide dismutase and, generally, no catalase activity. All aerobic organisms containing cytochrome systems were found to contain both superoxide dismutase and catalase. Aerotolerant anaerobes, which survive exposure to air and metabolize oxygen to a limited extent but do not contain cytochrome systems, were found to be devoid of catalase activity but did exhibit superoxide dismutase activity. This distribution is consistent with the proposal that the prime physiological function of superoxide dismutase is protection of oxygen-metabolizing organisms against the potentially detrimental effects of the superoxide free radical, a biologically produced intermediate resulting from the univalent reduction of molecular oxygen.","container-title":"Proceedings of the National Academy of Sciences","DOI":"10.1073/pnas.68.5.1024","issue":"5","note":"publisher: Proceedings of the National Academy of Sciences","page":"1024-1027","source":"www-pnas-org.proxy.lib.umich.edu (Atypon)","title":"An Enzyme-Based Theory of Obligate Anaerobiosis: The Physiological Function of Superoxide Dismutase","title-short":"An Enzyme-Based Theory of Obligate Anaerobiosis","volume":"68","author":[{"family":"McCord","given":"Joe M."},{"family":"Keele","given":"Bernard B."},{"family":"Fridovich","given":"Irwin"}],"issued":{"date-parts":[["1971",5]]}}}],"schema":"https://github.com/citation-style-language/schema/raw/master/csl-citation.json"} </w:instrText>
      </w:r>
      <w:r>
        <w:fldChar w:fldCharType="separate"/>
      </w:r>
      <w:r w:rsidR="003B549A">
        <w:rPr>
          <w:noProof/>
        </w:rPr>
        <w:t>(Z. Lu et al., 2018; McCord et al., 1971)</w:t>
      </w:r>
      <w:r>
        <w:fldChar w:fldCharType="end"/>
      </w:r>
      <w:r>
        <w:t>.</w:t>
      </w:r>
      <w:r w:rsidR="008A5CA6">
        <w:t xml:space="preserve"> </w:t>
      </w:r>
      <w:commentRangeStart w:id="0"/>
      <w:r w:rsidR="008A5CA6">
        <w:t>Together,</w:t>
      </w:r>
      <w:r w:rsidR="006B0A27">
        <w:t xml:space="preserve"> these findings mirror </w:t>
      </w:r>
      <w:r w:rsidR="003B549A">
        <w:t>physiological</w:t>
      </w:r>
      <w:r w:rsidR="006B0A27">
        <w:t xml:space="preserve"> changes characteristic of heat stress </w:t>
      </w:r>
      <w:r w:rsidR="003B549A">
        <w:t xml:space="preserve">() </w:t>
      </w:r>
      <w:r w:rsidR="006B0A27">
        <w:t>and suggest that redox imbalance may compromise the microbiome’s ability to sustain essential functions at high temperatures by contributing to the loss of obligate anaerobes</w:t>
      </w:r>
      <w:r w:rsidR="003B549A">
        <w:t>.</w:t>
      </w:r>
      <w:r w:rsidR="006B0A27">
        <w:t xml:space="preserve"> </w:t>
      </w:r>
      <w:r w:rsidR="00136BD0">
        <w:t xml:space="preserve">Sentence about varying oxygen gradients under heat stress even though we see a decrease in aerobic paths? </w:t>
      </w:r>
      <w:commentRangeEnd w:id="0"/>
      <w:r w:rsidR="003B549A">
        <w:rPr>
          <w:rStyle w:val="CommentReference"/>
        </w:rPr>
        <w:commentReference w:id="0"/>
      </w:r>
    </w:p>
    <w:p w14:paraId="13CE5519" w14:textId="77777777" w:rsidR="006B0A27" w:rsidRDefault="006B0A27" w:rsidP="00D15F03"/>
    <w:p w14:paraId="58194A44" w14:textId="58A03108" w:rsidR="0099486B" w:rsidRPr="00F858BA" w:rsidRDefault="00136BD0" w:rsidP="0099486B">
      <w:pPr>
        <w:rPr>
          <w:b/>
          <w:bCs/>
        </w:rPr>
      </w:pPr>
      <w:r>
        <w:t xml:space="preserve">Redox imbalance triggered by high temperatures may </w:t>
      </w:r>
      <w:r w:rsidR="00E42C53">
        <w:t>ini</w:t>
      </w:r>
      <w:r w:rsidR="000A5FCD">
        <w:t>ti</w:t>
      </w:r>
      <w:r w:rsidR="00E42C53">
        <w:t xml:space="preserve">ate </w:t>
      </w:r>
      <w:r>
        <w:t xml:space="preserve">a negative feedback loop that disrupts the abundance of obligate anaerobes and </w:t>
      </w:r>
      <w:r w:rsidR="003B549A">
        <w:t>results in the</w:t>
      </w:r>
      <w:r>
        <w:t xml:space="preserve"> breakdown of gut microbiome-immune homeostasis (Fig 4F). </w:t>
      </w:r>
      <w:r w:rsidR="0099486B">
        <w:t>SCFA’s produced by o</w:t>
      </w:r>
      <w:r w:rsidR="0099486B">
        <w:t>bligate anaerobes</w:t>
      </w:r>
      <w:r w:rsidR="0099486B" w:rsidRPr="0099486B">
        <w:t xml:space="preserve"> </w:t>
      </w:r>
      <w:r w:rsidR="0099486B">
        <w:t>play essential roles in regulating intestinal immunity</w:t>
      </w:r>
      <w:r w:rsidR="0099486B">
        <w:t xml:space="preserve"> to maintain host tolerance towards gut microbiomes</w:t>
      </w:r>
      <w:r w:rsidR="0099486B">
        <w:t>, including the promotion of anti-inflammatory regulatory T cell activity</w:t>
      </w:r>
      <w:r w:rsidR="0099486B" w:rsidRPr="00E42C53">
        <w:t xml:space="preserve"> </w:t>
      </w:r>
      <w:r w:rsidR="0099486B">
        <w:fldChar w:fldCharType="begin"/>
      </w:r>
      <w:r w:rsidR="0099486B">
        <w:instrText xml:space="preserve"> ADDIN ZOTERO_ITEM CSL_CITATION {"citationID":"F0dZSKDI","properties":{"formattedCitation":"(Arpaia et al., 2013; Furusawa et al., 2013)","plainCitation":"(Arpaia et al., 2013; Furusawa et al., 2013)","noteIndex":0},"citationItems":[{"id":3266,"uris":["http://zotero.org/users/13901503/items/ZX3K6GKV"],"itemData":{"id":3266,"type":"article-journal","abstract":"In mice, provision of butyrate—a short-chain fatty acid produced by commensal microorganisms during starch fermentation—facilitates extrathymic generation and differentiation of Foxp3+ regulatory T cells, demonstrating that metabolic by-products are sensed by cells of the immune system and affect the balance between pro- and anti-inflammatory cells.","container-title":"Nature","DOI":"10.1038/nature12726","ISSN":"1476-4687","issue":"7480","language":"en","license":"2013 Springer Nature Limited","note":"publisher: Nature Publishing Group","page":"451-455","source":"www.nature.com","title":"Metabolites produced by commensal bacteria promote peripheral regulatory T-cell generation","volume":"504","author":[{"family":"Arpaia","given":"Nicholas"},{"family":"Campbell","given":"Clarissa"},{"family":"Fan","given":"Xiying"},{"family":"Dikiy","given":"Stanislav"},{"family":"Veeken","given":"Joris","non-dropping-particle":"van der"},{"family":"deRoos","given":"Paul"},{"family":"Liu","given":"Hui"},{"family":"Cross","given":"Justin R."},{"family":"Pfeffer","given":"Klaus"},{"family":"Coffer","given":"Paul J."},{"family":"Rudensky","given":"Alexander Y."}],"issued":{"date-parts":[["2013",12]]}}},{"id":3264,"uris":["http://zotero.org/users/13901503/items/8XXJ4CBR"],"itemData":{"id":3264,"type":"article-journal","abstract":"The gut microbial metabolite butyrate is shown to induce the differentiation of colonic T regulatory cells in mice and to ameliorate the development of colitis; it also increases histone H3 acetylation at the Foxp3 promoter.","container-title":"Nature","DOI":"10.1038/nature12721","ISSN":"1476-4687","issue":"7480","language":"en","license":"2013 Springer Nature Limited","note":"publisher: Nature Publishing Group","page":"446-450","source":"www.nature.com","title":"Commensal microbe-derived butyrate induces the differentiation of colonic regulatory T cells","volume":"504","author":[{"family":"Furusawa","given":"Yukihiro"},{"family":"Obata","given":"Yuuki"},{"family":"Fukuda","given":"Shinji"},{"family":"Endo","given":"Takaho A."},{"family":"Nakato","given":"Gaku"},{"family":"Takahashi","given":"Daisuke"},{"family":"Nakanishi","given":"Yumiko"},{"family":"Uetake","given":"Chikako"},{"family":"Kato","given":"Keiko"},{"family":"Kato","given":"Tamotsu"},{"family":"Takahashi","given":"Masumi"},{"family":"Fukuda","given":"Noriko N."},{"family":"Murakami","given":"Shinnosuke"},{"family":"Miyauchi","given":"Eiji"},{"family":"Hino","given":"Shingo"},{"family":"Atarashi","given":"Koji"},{"family":"Onawa","given":"Satoshi"},{"family":"Fujimura","given":"Yumiko"},{"family":"Lockett","given":"Trevor"},{"family":"Clarke","given":"Julie M."},{"family":"Topping","given":"David L."},{"family":"Tomita","given":"Masaru"},{"family":"Hori","given":"Shohei"},{"family":"Ohara","given":"Osamu"},{"family":"Morita","given":"Tatsuya"},{"family":"Koseki","given":"Haruhiko"},{"family":"Kikuchi","given":"Jun"},{"family":"Honda","given":"Kenya"},{"family":"Hase","given":"Koji"},{"family":"Ohno","given":"Hiroshi"}],"issued":{"date-parts":[["2013",12]]}}}],"schema":"https://github.com/citation-style-language/schema/raw/master/csl-citation.json"} </w:instrText>
      </w:r>
      <w:r w:rsidR="0099486B">
        <w:fldChar w:fldCharType="separate"/>
      </w:r>
      <w:r w:rsidR="0099486B">
        <w:rPr>
          <w:noProof/>
        </w:rPr>
        <w:t>(Arpaia et al., 2013; Furusawa et al., 2013)</w:t>
      </w:r>
      <w:r w:rsidR="0099486B">
        <w:fldChar w:fldCharType="end"/>
      </w:r>
      <w:r w:rsidR="0099486B">
        <w:t xml:space="preserve"> and the suppression of proinflammatory cytokine signaling </w:t>
      </w:r>
      <w:r w:rsidR="0099486B">
        <w:fldChar w:fldCharType="begin"/>
      </w:r>
      <w:r w:rsidR="0099486B">
        <w:instrText xml:space="preserve"> ADDIN ZOTERO_ITEM CSL_CITATION {"citationID":"NLmuonGp","properties":{"formattedCitation":"(Hung et al., 2023; Klampfer et al., 2003)","plainCitation":"(Hung et al., 2023; Klampfer et al., 2003)","noteIndex":0},"citationItems":[{"id":3176,"uris":["http://zotero.org/users/13901503/items/HTMPX6GE"],"itemData":{"id":3176,"type":"article-journal","abstract":"Monocytes are a major population of circulating immune cells that play a crucial role in producing pro-inflammatory cytokines in the body. The actions of monocytes are known to be influenced by the combinations and concentrations of certain fatty acids (FAs) in blood and dietary fats. However, systemic comparisons of the effects of FAs on cytokine secretion by monocytes have not be performed. In this study, we compared how six saturated FAs (SFAs), two monounsaturated FAs (MUFAs), and seven polyunsaturated FAs (PUFAs) modulate human THP-1 monocyte secretion of TNF, IL-1β, and IL-6 in the absence or presence of lipopolysaccharide. SFAs generally stimulated resting THP-1 cells to secrete pro-inflammatory cytokines, with stearic acid being the most potent species. In contrast, MUFAs and PUFAs inhibited lipopolysaccharide-induced secretion of pro-inflammatory cytokines. Interestingly, the inhibitory potentials of MUFAs and PUFAs followed U-shaped (TNF and IL-1β) or inverted U-shaped (IL-6) dose–response curves. Among the MUFAs and PUFAs that were analyzed, docosahexaenoic acid (C22:6 n-3) exhibited the largest number of double bonds and was found to be the most potent anti-inflammatory compound. Together, our findings reveal that the chemical compositions and concentrations of dietary FAs are key factors in the intricate regulation of monocyte-mediated inflammation.","container-title":"Scientific Reports","DOI":"10.1038/s41598-023-32710-5","ISSN":"2045-2322","issue":"1","journalAbbreviation":"Sci Rep","language":"en","license":"2023 The Author(s)","note":"publisher: Nature Publishing Group","page":"5511","source":"www.nature.com","title":"Dietary fatty acids differentially affect secretion of pro-inflammatory cytokines in human THP-1 monocytes","volume":"13","author":[{"family":"Hung","given":"Hao-Chang"},{"family":"Tsai","given":"Sheng-Feng"},{"family":"Chou","given":"Hsuan-Wen"},{"family":"Tsai","given":"Ming-Jun"},{"family":"Hsu","given":"Pei-Ling"},{"family":"Kuo","given":"Yu-Min"}],"issued":{"date-parts":[["2023",4,4]]}}},{"id":2208,"uris":["http://zotero.org/users/13901503/items/CGJLGGCV"],"itemData":{"id":2208,"type":"article-journal","abstract":"The short chain fatty acid butyrate promotes proliferation and survival of normal epithelial cells, but induces G1 or G2-M arrest in transformed cells, which is coupled to differentiation and apoptosis. Local administration of butyrate has been shown to ameliorate inflammation in ulcerative colitis; however, the precise mechanism of its anti-inflammatory activity is not known. IFN-γ is one of the principle cytokines secreted by lamina propria cells in inflamed mucosa and elevated levels of the transcription factor required for IFN-γ signaling, STAT1 (signal transducer and activator of transcription 1), are present in the colonic mucosa of patients with ulcerative colitis and Crohn's disease. Here we report that butyrate is a strong inhibitor of signaling by IFN-γ. We demonstrated that this short chain fatty acid inhibits IFN-γ-induced tyrosine and serine phosphorylation of STAT1. IFN-γ-induced JAK2 activation was inhibited by butyrate, implicating JAK2 as a target of butyrate action. Accordingly, STAT1 nuclear translocation and its DNA binding were completely inhibited in butyrate-treated cells. Transient transfection experiments using a reporter gene construct containing eight GAS sites (γ-activated sites) revealed that butyrate inhibits IFN-γ induced, STAT1-dependent, transcriptional activation. Proinflammatory cytokines, including IFN-γ, play an important role in the pathogenesis of inflammatory bowel disease, and abnormal activity of STAT1 is associated with human malignancies and intestinal inflammatory diseases. Thus, our data suggest that butyrate negatively regulates mucosal inflammation through the inhibition of IFN-γ/STAT1 signaling.","container-title":"Molecular Cancer Research","ISSN":"1541-7786","issue":"11","journalAbbreviation":"Molecular Cancer Research","page":"855-862","source":"Silverchair","title":"Inhibition of Interferon γ Signaling by the Short Chain Fatty Acid Butyrate1","volume":"1","author":[{"family":"Klampfer","given":"Lidija"},{"family":"Huang","given":"Jie"},{"family":"Sasazuki","given":"Takehiko"},{"family":"Shirasawa","given":"Senji"},{"family":"Augenlicht","given":"Leonard"}],"issued":{"date-parts":[["2003",9,1]]}}}],"schema":"https://github.com/citation-style-language/schema/raw/master/csl-citation.json"} </w:instrText>
      </w:r>
      <w:r w:rsidR="0099486B">
        <w:fldChar w:fldCharType="separate"/>
      </w:r>
      <w:r w:rsidR="0099486B">
        <w:rPr>
          <w:noProof/>
        </w:rPr>
        <w:t>(Hung et al., 2023; Klampfer et al., 2003)</w:t>
      </w:r>
      <w:r w:rsidR="0099486B">
        <w:fldChar w:fldCharType="end"/>
      </w:r>
      <w:r w:rsidR="0099486B">
        <w:t>.</w:t>
      </w:r>
      <w:r w:rsidR="0099486B" w:rsidRPr="0099486B">
        <w:t xml:space="preserve"> </w:t>
      </w:r>
      <w:r w:rsidR="0099486B">
        <w:t>Thus, the observed decrease in SCFA-producing pathways under high temperatures</w:t>
      </w:r>
      <w:r w:rsidR="0099486B">
        <w:t xml:space="preserve"> (Fig 3E)</w:t>
      </w:r>
      <w:r w:rsidR="0099486B">
        <w:t xml:space="preserve"> likely reflects the loss of obligate anaerobes due to </w:t>
      </w:r>
      <w:r w:rsidR="0099486B">
        <w:t>redox imbalance</w:t>
      </w:r>
      <w:r w:rsidR="0099486B">
        <w:t xml:space="preserve"> </w:t>
      </w:r>
      <w:r w:rsidR="0099486B">
        <w:t xml:space="preserve">and may decrease host tolerance towards gut microbiomes. The resulting increased immune activation can continue to </w:t>
      </w:r>
      <w:r w:rsidR="0099486B">
        <w:t>exacerbate redox imbalance because activated immune cells, particularly phagocytes, release ROS as part of the inflammatory response ().</w:t>
      </w:r>
      <w:r w:rsidR="0099486B">
        <w:t xml:space="preserve"> </w:t>
      </w:r>
      <w:r w:rsidR="0099486B">
        <w:t xml:space="preserve">Together, these interactions form a feedback loop, linking redox imbalance to disruption of microbiome composition and breakdown of </w:t>
      </w:r>
      <w:r w:rsidR="0099486B">
        <w:t xml:space="preserve">gut-immune homeostasis (Fig 4F). </w:t>
      </w:r>
      <w:r w:rsidR="0099486B">
        <w:t xml:space="preserve">Although these relationships are well-documented in experimental and clinical research </w:t>
      </w:r>
      <w:r w:rsidR="0099486B">
        <w:fldChar w:fldCharType="begin"/>
      </w:r>
      <w:r w:rsidR="0099486B">
        <w:instrText xml:space="preserve"> ADDIN ZOTERO_ITEM CSL_CITATION {"citationID":"ZVo4Iuph","properties":{"formattedCitation":"(Li et al., 2023; Mostafavi Abdolmaleky &amp; Zhou, 2024)","plainCitation":"(Li et al., 2023; Mostafavi Abdolmaleky &amp; Zhou, 2024)","noteIndex":0},"citationItems":[{"id":3497,"uris":["http://zotero.org/users/13901503/items/RMY7RJ4R"],"itemData":{"id":3497,"type":"article-journal","abstract":"Inflammatory bowel disease (IBD) is a long-term, progressive, and recurrent intestinal inflammatory disorder. The pathogenic mechanisms of IBD are multifaceted and associated with oxidative stress, unbalanced gut microbiota, and aberrant immune response. Indeed, oxidative stress can affect the progression and development of IBD by regulating the homeostasis of the gut microbiota and immune response. Therefore, redox-targeted therapy is a promising treatment option for IBD. Recent evidence has verified that Chinese herbal medicine (CHM)-derived polyphenols, natural antioxidants, are able to maintain redox equilibrium in the intestinal tract to prevent abnormal gut microbiota and radical inflammatory responses. Here, we provide a comprehensive perspective for implementing natural antioxidants as potential IBD candidate medications. In addition, we demonstrate novel technologies and stratagems for promoting the antioxidative properties of CHM-derived polyphenols, including novel delivery systems, chemical modifications, and combination strategies.","container-title":"Antioxidants","DOI":"10.3390/antiox12040967","ISSN":"2076-3921","issue":"4","language":"en","license":"http://creativecommons.org/licenses/by/3.0/","note":"number: 4\npublisher: Multidisciplinary Digital Publishing Institute","page":"967","source":"www-mdpi-com.proxy.lib.umich.edu","title":"Oxidative Stress, Inflammation, Gut Dysbiosis: What Can Polyphenols Do in Inflammatory Bowel Disease?","title-short":"Oxidative Stress, Inflammation, Gut Dysbiosis","volume":"12","author":[{"family":"Li","given":"Lei"},{"family":"Peng","given":"Peilan"},{"family":"Ding","given":"Ning"},{"family":"Jia","given":"Wenhui"},{"family":"Huang","given":"Canhua"},{"family":"Tang","given":"Yong"}],"issued":{"date-parts":[["2023",4]]}}},{"id":3251,"uris":["http://zotero.org/users/13901503/items/RA2W4N37"],"itemData":{"id":3251,"type":"article-journal","abstract":"Gut dysbiosis, resulting from an imbalance in the gut microbiome, can induce excessive production of reactive oxygen species (ROS), leading to inflammation, DNA damage, activation of the immune system, and epigenetic alterations of critical genes involved in the metabolic pathways. Gut dysbiosis-induced inflammation can also disrupt the gut barrier integrity and increase intestinal permeability, which allows gut-derived toxic products to enter the liver and systemic circulation, further triggering oxidative stress, inflammation, and epigenetic alterations associated with metabolic diseases. However, specific gut-derived metabolites, such as short-chain fatty acids (SCFAs), lactate, and vitamins, can modulate oxidative stress and the immune system through epigenetic mechanisms, thereby improving metabolic function. Gut microbiota and diet-induced metabolic diseases, such as obesity, insulin resistance, dyslipidemia, and hypertension, can transfer to the next generation, involving epigenetic mechanisms. In this review, we will introduce the key epigenetic alterations that, along with gut dysbiosis and ROS, are engaged in developing metabolic diseases. Finally, we will discuss potential therapeutic interventions such as dietary modifications, prebiotics, probiotics, postbiotics, and fecal microbiota transplantation, which may reduce oxidative stress and inflammation associated with metabolic syndrome by altering gut microbiota and epigenetic alterations. In summary, this review highlights the crucial role of gut microbiota dysbiosis, oxidative stress, and inflammation in the pathogenesis of metabolic diseases, with a particular focus on epigenetic alterations (including histone modifications, DNA methylomics, and RNA interference) and potential interventions that may prevent or improve metabolic diseases.","container-title":"Antioxidants","DOI":"10.3390/antiox13080985","ISSN":"2076-3921","issue":"8","language":"en","license":"http://creativecommons.org/licenses/by/3.0/","note":"number: 8\npublisher: Multidisciplinary Digital Publishing Institute","page":"985","source":"www-mdpi-com.proxy.lib.umich.edu","title":"Gut Microbiota Dysbiosis, Oxidative Stress, Inflammation, and Epigenetic Alterations in Metabolic Diseases","volume":"13","author":[{"family":"Mostafavi Abdolmaleky","given":"Hamid"},{"family":"Zhou","given":"Jin-Rong"}],"issued":{"date-parts":[["2024",8]]}}}],"schema":"https://github.com/citation-style-language/schema/raw/master/csl-citation.json"} </w:instrText>
      </w:r>
      <w:r w:rsidR="0099486B">
        <w:fldChar w:fldCharType="separate"/>
      </w:r>
      <w:r w:rsidR="0099486B">
        <w:rPr>
          <w:noProof/>
        </w:rPr>
        <w:t>(Li et al., 2023; Mostafavi Abdolmaleky &amp; Zhou, 2024)</w:t>
      </w:r>
      <w:r w:rsidR="0099486B">
        <w:fldChar w:fldCharType="end"/>
      </w:r>
      <w:r w:rsidR="0099486B">
        <w:t>, our findings provide the first evidence of this mechanism operating in a wild species exposed to environmental change, providing novel insight into how high temperatures may affect gut-immune axis function in natural populations.</w:t>
      </w:r>
      <w:r w:rsidR="0099486B" w:rsidRPr="0099486B">
        <w:t xml:space="preserve"> </w:t>
      </w:r>
      <w:r w:rsidR="0099486B">
        <w:t>These findings suggest that high temperatures</w:t>
      </w:r>
      <w:r w:rsidR="00AA501D">
        <w:t xml:space="preserve"> may</w:t>
      </w:r>
      <w:r w:rsidR="0099486B">
        <w:t xml:space="preserve"> initiate physiological cascades that increase </w:t>
      </w:r>
      <w:r w:rsidR="0099486B">
        <w:t>inflammatory disease risk</w:t>
      </w:r>
      <w:r w:rsidR="0099486B">
        <w:t xml:space="preserve"> </w:t>
      </w:r>
      <w:r w:rsidR="00AA501D">
        <w:t xml:space="preserve">and </w:t>
      </w:r>
      <w:r w:rsidR="0099486B">
        <w:t xml:space="preserve">could have long-term effects on host health and fitness. </w:t>
      </w:r>
      <w:r w:rsidR="00440810" w:rsidRPr="00440810">
        <w:rPr>
          <w:highlight w:val="yellow"/>
        </w:rPr>
        <w:t>Something about this becoming more extreme with increasing temps from climate change?</w:t>
      </w:r>
      <w:r w:rsidR="00440810">
        <w:t xml:space="preserve"> </w:t>
      </w:r>
      <w:r w:rsidR="00F858BA">
        <w:t>Given the steady increase in temperatures in Costa Rica over the past 40 years (), the capuchins will continue to experience longer periods of even hotter conditions, increasing their risk of negative health outcomes from gut microbiome sensitivity to temperatures.</w:t>
      </w:r>
    </w:p>
    <w:p w14:paraId="23625E75" w14:textId="77777777" w:rsidR="004C76DC" w:rsidRDefault="004C76DC" w:rsidP="000A5FCD"/>
    <w:p w14:paraId="3CBB31FC" w14:textId="4ADE16DC" w:rsidR="009E0836" w:rsidRDefault="00B74D78" w:rsidP="00B74D78">
      <w:pPr>
        <w:rPr>
          <w:u w:val="single"/>
        </w:rPr>
      </w:pPr>
      <w:r w:rsidRPr="00C64C3B">
        <w:rPr>
          <w:u w:val="single"/>
        </w:rPr>
        <w:t xml:space="preserve">Gut microbiome </w:t>
      </w:r>
      <w:r>
        <w:rPr>
          <w:u w:val="single"/>
        </w:rPr>
        <w:t>response</w:t>
      </w:r>
      <w:r w:rsidR="00C5576E">
        <w:rPr>
          <w:u w:val="single"/>
        </w:rPr>
        <w:t xml:space="preserve"> to temperature</w:t>
      </w:r>
      <w:r>
        <w:rPr>
          <w:u w:val="single"/>
        </w:rPr>
        <w:t xml:space="preserve"> </w:t>
      </w:r>
      <w:r>
        <w:rPr>
          <w:u w:val="single"/>
        </w:rPr>
        <w:t>is related to host immunity</w:t>
      </w:r>
    </w:p>
    <w:p w14:paraId="4E282C9E" w14:textId="6D8A6731" w:rsidR="00031DA9" w:rsidRPr="00FF73B4" w:rsidRDefault="001D5B6D" w:rsidP="00031DA9">
      <w:pPr>
        <w:rPr>
          <w:u w:val="single"/>
        </w:rPr>
      </w:pPr>
      <w:r>
        <w:t>The interaction between temperature and neopterin suggests that the decline in obligate anaerobes disrupt</w:t>
      </w:r>
      <w:r w:rsidR="00E822F4">
        <w:t>s</w:t>
      </w:r>
      <w:r>
        <w:t xml:space="preserve"> </w:t>
      </w:r>
      <w:r>
        <w:t>gut-</w:t>
      </w:r>
      <w:r>
        <w:t>immune homeostasis</w:t>
      </w:r>
      <w:r>
        <w:t xml:space="preserve"> </w:t>
      </w:r>
      <w:r>
        <w:t>by reducing anti-inflammatory signaling that normally promotes immune tolerance toward the microbiome</w:t>
      </w:r>
      <w:r>
        <w:t xml:space="preserve">. </w:t>
      </w:r>
      <w:r w:rsidR="00E822F4">
        <w:t xml:space="preserve">For example, stronger declines in obligate genera </w:t>
      </w:r>
      <w:r w:rsidR="00E822F4">
        <w:rPr>
          <w:rStyle w:val="Emphasis"/>
          <w:rFonts w:eastAsiaTheme="majorEastAsia"/>
        </w:rPr>
        <w:t>Parabacteroides</w:t>
      </w:r>
      <w:r w:rsidR="00E822F4">
        <w:t xml:space="preserve"> and </w:t>
      </w:r>
      <w:proofErr w:type="spellStart"/>
      <w:r w:rsidR="00E822F4">
        <w:rPr>
          <w:rStyle w:val="Emphasis"/>
          <w:rFonts w:eastAsiaTheme="majorEastAsia"/>
        </w:rPr>
        <w:t>Alistipes</w:t>
      </w:r>
      <w:proofErr w:type="spellEnd"/>
      <w:r w:rsidR="00E822F4">
        <w:rPr>
          <w:rStyle w:val="Emphasis"/>
          <w:rFonts w:eastAsiaTheme="majorEastAsia"/>
          <w:i w:val="0"/>
          <w:iCs w:val="0"/>
        </w:rPr>
        <w:t xml:space="preserve"> </w:t>
      </w:r>
      <w:r w:rsidR="00607ACC">
        <w:rPr>
          <w:rStyle w:val="Emphasis"/>
          <w:rFonts w:eastAsiaTheme="majorEastAsia"/>
          <w:i w:val="0"/>
          <w:iCs w:val="0"/>
        </w:rPr>
        <w:t xml:space="preserve">that are both involved in anti-inflammatory signaling </w:t>
      </w:r>
      <w:r w:rsidR="00607ACC">
        <w:fldChar w:fldCharType="begin"/>
      </w:r>
      <w:r w:rsidR="00607ACC">
        <w:instrText xml:space="preserve"> ADDIN ZOTERO_ITEM CSL_CITATION {"citationID":"wESsU6it","properties":{"formattedCitation":"(Hiippala et al., 2020; Parker et al., 2020)","plainCitation":"(Hiippala et al., 2020; Parker et al., 2020)","noteIndex":0},"citationItems":[{"id":2193,"uris":["http://zotero.org/users/13901503/items/TK9QBJNS"],"itemData":{"id":2193,"type":"article-journal","abstract":"Altered intestinal microbiota is associated with systemic and intestinal diseases, such as inflammatory bowel disease (IBD). Dysbiotic microbiota with enhanced proinflammatory capacity is characterized by depletion of anaerobic commensals, increased proportion of facultatively anaerobic bacteria, as well as reduced diversity and stability. In this study, we developed a high-throughput in vitro screening assay to isolate intestinal commensal bacteria with anti-inflammatory capacity from a healthy fecal microbiota transplantation donor. Freshly isolated gut bacteria were screened for their capacity to attenuate Escherichia coli lipopolysaccharide (LPS)-induced interleukin 8 (IL-8) release from HT-29 cells. The screen yielded a number of Bacteroides and Parabacteroides isolates, which were identified as P. distasonis, B. caccae, B. intestinalis, B. uniformis, B. fragilis, B. vulgatus and B. ovatus using whole genome sequencing. We observed that a cell-cell contact with the epithelium was not necessary to alleviate in vitro inflammation as spent culture media from the isolates were also effective and the anti-inflammatory action did not correlate with the enterocyte adherence capacity of the isolates. The anti-inflammatory isolates also exerted enterocyte monolayer reinforcing action and lacked essential genes to synthetize hexa-acylated, proinflammatory lipid A, part of LPS. Yet, the anti-inflammatory effector molecules remain to be identified. The Bacteroides strains isolated and characterized in this study have potential to be used as so-called next-generation probiotics.","container-title":"Nutrients","DOI":"10.3390/nu12040935","ISSN":"2072-6643","issue":"4","language":"en","license":"http://creativecommons.org/licenses/by/3.0/","note":"number: 4\npublisher: Multidisciplinary Digital Publishing Institute","page":"935","source":"www-mdpi-com.proxy.lib.umich.edu","title":"Isolation of Anti-Inflammatory and Epithelium Reinforcing Bacteroides and Parabacteroides Spp. from A Healthy Fecal Donor","volume":"12","author":[{"family":"Hiippala","given":"Kaisa"},{"family":"Kainulainen","given":"Veera"},{"family":"Suutarinen","given":"Maiju"},{"family":"Heini","given":"Tuomas"},{"family":"Bowers","given":"Jolene R."},{"family":"Jasso-Selles","given":"Daniel"},{"family":"Lemmer","given":"Darrin"},{"family":"Valentine","given":"Michael"},{"family":"Barnes","given":"Riley"},{"family":"Engelthaler","given":"David M."},{"family":"Satokari","given":"Reetta"}],"issued":{"date-parts":[["2020",4]]}}},{"id":2197,"uris":["http://zotero.org/users/13901503/items/QJXBZMS7"],"itemData":{"id":2197,"type":"article-journal","abstract":"&lt;p&gt;&lt;italic&gt;Alistipes&lt;/italic&gt; is a relatively new genus of bacteria isolated primarily from medical clinical samples, although at a low rate compared to other genus members of the &lt;italic&gt;Bacteroidetes&lt;/italic&gt; phylum, which are highly relevant in dysbiosis and disease. According to the taxonomy database at The National Center for Biotechnology Information, the genus consists of 13 species: &lt;italic&gt;Alistipes finegoldii, Alistipes putredinis, Alistipes onderdonkii, Alistipes shahii, Alistipes indistinctus, Alistipes senegalensis, Alistipes timonensis, Alistipes obesi, Alistipes ihumii, Alistipes inops, Alistipes megaguti, Alistipes provencensis&lt;/italic&gt;, and &lt;italic&gt;Alistipes massiliensis. Alistipes communis&lt;/italic&gt; and &lt;italic&gt;A. dispar&lt;/italic&gt;, and the subspecies &lt;italic&gt;A. Onderdonkii&lt;/italic&gt; subspecies vulgaris (vs. &lt;italic&gt;onderdonkii&lt;/italic&gt; subsp.) are the newest strains featured outside that list. Although typically isolated from the human gut microbiome various species of this genus have been isolated from patients suffering from appendicitis, and abdominal and rectal abscess. It is possible that as &lt;italic&gt;Alistipes&lt;/italic&gt; spp. emerge, their identification in clinical samples may be underrepresented as novel MS-TOF methods may not be fully capable to discriminate distinct species as separate since it will require the upgrading of MS-TOF identification databases. In terms of pathogenicity, there is contrasting evidence indicating that &lt;italic&gt;Alistipes&lt;/italic&gt; may have protective effects against some diseases, including liver fibrosis, colitis, cancer immunotherapy, and cardiovascular disease. In contrast, other studies indicate &lt;italic&gt;Alistipes&lt;/italic&gt; is pathogenic in colorectal cancer and is associated with mental signs of depression. Gut dysbiosis seems to play a role in determining the compositional abundance of &lt;italic&gt;Alistipes&lt;/italic&gt; in the feces (&lt;italic&gt;e.g&lt;/italic&gt;., in non-alcoholic steatohepatitis, hepatic encephalopathy, and liver fibrosis). Since &lt;italic&gt;Alistipes&lt;/italic&gt; is a relatively recent sub-branch genus of the &lt;italic&gt;Bacteroidetes&lt;/italic&gt; phylum, and since &lt;italic&gt;Bacteroidetes&lt;/italic&gt; are commonly associated with chronic intestinal inflammation, this narrative review illustrates emerging immunological and mechanistic implications by which &lt;italic&gt;Alistipes&lt;/italic&gt; spp. correlate with human health.&lt;/p&gt;","container-title":"Frontiers in Immunology","DOI":"10.3389/fimmu.2020.00906","ISSN":"1664-3224","journalAbbreviation":"Front. Immunol.","language":"English","note":"publisher: Frontiers","source":"Frontiers","title":"The Genus Alistipes: Gut Bacteria With Emerging Implications to Inflammation, Cancer, and Mental Health","title-short":"The Genus Alistipes","URL":"https://www.frontiersin.org/journals/immunology/articles/10.3389/fimmu.2020.00906/full","volume":"11","author":[{"family":"Parker","given":"Bianca J."},{"family":"Wearsch","given":"Pamela A."},{"family":"Veloo","given":"Alida C. M."},{"family":"Rodriguez-Palacios","given":"Alex"}],"accessed":{"date-parts":[["2025",3,31]]},"issued":{"date-parts":[["2020",6,9]]}}}],"schema":"https://github.com/citation-style-language/schema/raw/master/csl-citation.json"} </w:instrText>
      </w:r>
      <w:r w:rsidR="00607ACC">
        <w:fldChar w:fldCharType="separate"/>
      </w:r>
      <w:r w:rsidR="00607ACC">
        <w:rPr>
          <w:noProof/>
        </w:rPr>
        <w:t>(Hiippala et al., 2020; Parker et al., 2020)</w:t>
      </w:r>
      <w:r w:rsidR="00607ACC">
        <w:fldChar w:fldCharType="end"/>
      </w:r>
      <w:r w:rsidR="00607ACC">
        <w:t xml:space="preserve"> </w:t>
      </w:r>
      <w:r w:rsidR="00E822F4">
        <w:rPr>
          <w:rStyle w:val="Emphasis"/>
          <w:rFonts w:eastAsiaTheme="majorEastAsia"/>
          <w:i w:val="0"/>
          <w:iCs w:val="0"/>
        </w:rPr>
        <w:t>are associated with higher neopterin</w:t>
      </w:r>
      <w:r w:rsidR="00031DA9">
        <w:rPr>
          <w:rStyle w:val="Emphasis"/>
          <w:rFonts w:eastAsiaTheme="majorEastAsia"/>
          <w:i w:val="0"/>
          <w:iCs w:val="0"/>
        </w:rPr>
        <w:t xml:space="preserve"> levels</w:t>
      </w:r>
      <w:r w:rsidR="00B13641">
        <w:rPr>
          <w:rStyle w:val="Emphasis"/>
          <w:rFonts w:eastAsiaTheme="majorEastAsia"/>
          <w:i w:val="0"/>
          <w:iCs w:val="0"/>
        </w:rPr>
        <w:t xml:space="preserve"> (Fig 4A)</w:t>
      </w:r>
      <w:r w:rsidR="00E822F4">
        <w:rPr>
          <w:rStyle w:val="Emphasis"/>
          <w:rFonts w:eastAsiaTheme="majorEastAsia"/>
          <w:i w:val="0"/>
          <w:iCs w:val="0"/>
        </w:rPr>
        <w:t>, suggesting that their loss may reduce immune tolerance towards the gut microbiome and trigger increased macrophage activity. Similarly, stronger declines in metabolic pathways that produce anti-inflammatory immunomodulators</w:t>
      </w:r>
      <w:r w:rsidR="00031DA9">
        <w:rPr>
          <w:rStyle w:val="Emphasis"/>
          <w:rFonts w:eastAsiaTheme="majorEastAsia"/>
          <w:i w:val="0"/>
          <w:iCs w:val="0"/>
        </w:rPr>
        <w:t>,</w:t>
      </w:r>
      <w:r w:rsidR="00E822F4">
        <w:rPr>
          <w:rStyle w:val="Emphasis"/>
          <w:rFonts w:eastAsiaTheme="majorEastAsia"/>
          <w:i w:val="0"/>
          <w:iCs w:val="0"/>
        </w:rPr>
        <w:t xml:space="preserve"> including</w:t>
      </w:r>
      <w:r w:rsidR="00031DA9">
        <w:rPr>
          <w:rStyle w:val="Emphasis"/>
          <w:rFonts w:eastAsiaTheme="majorEastAsia"/>
          <w:i w:val="0"/>
          <w:iCs w:val="0"/>
        </w:rPr>
        <w:t xml:space="preserve"> the</w:t>
      </w:r>
      <w:r w:rsidR="00E822F4">
        <w:rPr>
          <w:rStyle w:val="Emphasis"/>
          <w:rFonts w:eastAsiaTheme="majorEastAsia"/>
          <w:i w:val="0"/>
          <w:iCs w:val="0"/>
        </w:rPr>
        <w:t xml:space="preserve"> </w:t>
      </w:r>
      <w:r w:rsidR="00E822F4">
        <w:t xml:space="preserve">synthesis of monounsaturated fatty acids </w:t>
      </w:r>
      <w:r w:rsidR="00607ACC">
        <w:fldChar w:fldCharType="begin"/>
      </w:r>
      <w:r w:rsidR="00607ACC">
        <w:instrText xml:space="preserve"> ADDIN ZOTERO_ITEM CSL_CITATION {"citationID":"Yyg97aqJ","properties":{"formattedCitation":"(Hung et al., 2023)","plainCitation":"(Hung et al., 2023)","noteIndex":0},"citationItems":[{"id":3176,"uris":["http://zotero.org/users/13901503/items/HTMPX6GE"],"itemData":{"id":3176,"type":"article-journal","abstract":"Monocytes are a major population of circulating immune cells that play a crucial role in producing pro-inflammatory cytokines in the body. The actions of monocytes are known to be influenced by the combinations and concentrations of certain fatty acids (FAs) in blood and dietary fats. However, systemic comparisons of the effects of FAs on cytokine secretion by monocytes have not be performed. In this study, we compared how six saturated FAs (SFAs), two monounsaturated FAs (MUFAs), and seven polyunsaturated FAs (PUFAs) modulate human THP-1 monocyte secretion of TNF, IL-1β, and IL-6 in the absence or presence of lipopolysaccharide. SFAs generally stimulated resting THP-1 cells to secrete pro-inflammatory cytokines, with stearic acid being the most potent species. In contrast, MUFAs and PUFAs inhibited lipopolysaccharide-induced secretion of pro-inflammatory cytokines. Interestingly, the inhibitory potentials of MUFAs and PUFAs followed U-shaped (TNF and IL-1β) or inverted U-shaped (IL-6) dose–response curves. Among the MUFAs and PUFAs that were analyzed, docosahexaenoic acid (C22:6 n-3) exhibited the largest number of double bonds and was found to be the most potent anti-inflammatory compound. Together, our findings reveal that the chemical compositions and concentrations of dietary FAs are key factors in the intricate regulation of monocyte-mediated inflammation.","container-title":"Scientific Reports","DOI":"10.1038/s41598-023-32710-5","ISSN":"2045-2322","issue":"1","journalAbbreviation":"Sci Rep","language":"en","license":"2023 The Author(s)","note":"publisher: Nature Publishing Group","page":"5511","source":"www.nature.com","title":"Dietary fatty acids differentially affect secretion of pro-inflammatory cytokines in human THP-1 monocytes","volume":"13","author":[{"family":"Hung","given":"Hao-Chang"},{"family":"Tsai","given":"Sheng-Feng"},{"family":"Chou","given":"Hsuan-Wen"},{"family":"Tsai","given":"Ming-Jun"},{"family":"Hsu","given":"Pei-Ling"},{"family":"Kuo","given":"Yu-Min"}],"issued":{"date-parts":[["2023",4,4]]}}}],"schema":"https://github.com/citation-style-language/schema/raw/master/csl-citation.json"} </w:instrText>
      </w:r>
      <w:r w:rsidR="00607ACC">
        <w:fldChar w:fldCharType="separate"/>
      </w:r>
      <w:r w:rsidR="00607ACC">
        <w:rPr>
          <w:noProof/>
        </w:rPr>
        <w:t>(Hung et al., 2023)</w:t>
      </w:r>
      <w:r w:rsidR="00607ACC">
        <w:fldChar w:fldCharType="end"/>
      </w:r>
      <w:r w:rsidR="00031DA9">
        <w:t xml:space="preserve"> </w:t>
      </w:r>
      <w:r w:rsidR="00E822F4">
        <w:t xml:space="preserve">and </w:t>
      </w:r>
      <w:r w:rsidR="00E96E2C">
        <w:t xml:space="preserve">the </w:t>
      </w:r>
      <w:r w:rsidR="00E822F4">
        <w:t>amino acid</w:t>
      </w:r>
      <w:r w:rsidR="00607ACC">
        <w:t xml:space="preserve"> derivatives</w:t>
      </w:r>
      <w:r w:rsidR="00031DA9">
        <w:t xml:space="preserve"> </w:t>
      </w:r>
      <w:r w:rsidR="00E96E2C">
        <w:t>tryptophan</w:t>
      </w:r>
      <w:r w:rsidR="00E96E2C">
        <w:t xml:space="preserve"> </w:t>
      </w:r>
      <w:r w:rsidR="00033DF6">
        <w:fldChar w:fldCharType="begin"/>
      </w:r>
      <w:r w:rsidR="00033DF6">
        <w:instrText xml:space="preserve"> ADDIN ZOTERO_ITEM CSL_CITATION {"citationID":"kcrryZeu","properties":{"formattedCitation":"(Zelante et al., 2013)","plainCitation":"(Zelante et al., 2013)","noteIndex":0},"citationItems":[{"id":3657,"uris":["http://zotero.org/users/13901503/items/6BWMVY9X"],"itemData":{"id":3657,"type":"article-journal","container-title":"Immunity","DOI":"10.1016/j.immuni.2013.08.003","ISSN":"1074-7613","issue":"2","journalAbbreviation":"Immunity","language":"English","note":"publisher: Elsevier","page":"372-385","source":"www-cell-com.proxy.lib.umich.edu","title":"Tryptophan Catabolites from Microbiota Engage Aryl Hydrocarbon Receptor and Balance Mucosal Reactivity via Interleukin-22","volume":"39","author":[{"family":"Zelante","given":"Teresa"},{"family":"Iannitti","given":"Rossana G."},{"family":"Cunha","given":"Cristina"},{"family":"De Luca","given":"Antonella"},{"family":"Giovannini","given":"Gloria"},{"family":"Pieraccini","given":"Giuseppe"},{"family":"Zecchi","given":"Riccardo"},{"family":"D’Angelo","given":"Carmen"},{"family":"Massi-Benedetti","given":"Cristina"},{"family":"Fallarino","given":"Francesca"},{"family":"Carvalho","given":"Agostinho"},{"family":"Puccetti","given":"Paolo"},{"family":"Romani","given":"Luigina"}],"issued":{"date-parts":[["2013",8,22]]}}}],"schema":"https://github.com/citation-style-language/schema/raw/master/csl-citation.json"} </w:instrText>
      </w:r>
      <w:r w:rsidR="00033DF6">
        <w:fldChar w:fldCharType="separate"/>
      </w:r>
      <w:r w:rsidR="00033DF6">
        <w:rPr>
          <w:noProof/>
        </w:rPr>
        <w:t>(Zelante et al., 2013)</w:t>
      </w:r>
      <w:r w:rsidR="00033DF6">
        <w:fldChar w:fldCharType="end"/>
      </w:r>
      <w:r w:rsidR="00031DA9">
        <w:t>,</w:t>
      </w:r>
      <w:r w:rsidR="00E822F4">
        <w:t xml:space="preserve"> are also associated with high neopterin</w:t>
      </w:r>
      <w:r w:rsidR="00B13641">
        <w:t xml:space="preserve"> (Fig 5)</w:t>
      </w:r>
      <w:r w:rsidR="00E822F4">
        <w:t xml:space="preserve">. This suggests that a </w:t>
      </w:r>
      <w:r w:rsidR="00031DA9">
        <w:t>decline in</w:t>
      </w:r>
      <w:r w:rsidR="00E822F4">
        <w:t xml:space="preserve"> microbial anti-inflammatory signaling in response to rising temperature may </w:t>
      </w:r>
      <w:r w:rsidR="00031DA9">
        <w:t>contribute to increased</w:t>
      </w:r>
      <w:r w:rsidR="00E822F4">
        <w:t xml:space="preserve"> immune activation. </w:t>
      </w:r>
      <w:r w:rsidR="00E822F4">
        <w:t>Notably,</w:t>
      </w:r>
      <w:r w:rsidR="00031DA9">
        <w:t xml:space="preserve"> </w:t>
      </w:r>
      <w:r w:rsidR="00E96E2C">
        <w:t>the synthesis of</w:t>
      </w:r>
      <w:r w:rsidR="00031DA9">
        <w:t xml:space="preserve"> </w:t>
      </w:r>
      <w:r w:rsidR="00E96E2C">
        <w:t xml:space="preserve">tryptophan </w:t>
      </w:r>
      <w:r w:rsidR="00E96E2C">
        <w:t xml:space="preserve">is </w:t>
      </w:r>
      <w:r w:rsidR="00031DA9">
        <w:t xml:space="preserve">characteristic of obligate taxa </w:t>
      </w:r>
      <w:r w:rsidR="00E96E2C">
        <w:fldChar w:fldCharType="begin"/>
      </w:r>
      <w:r w:rsidR="00E96E2C">
        <w:instrText xml:space="preserve"> ADDIN ZOTERO_ITEM CSL_CITATION {"citationID":"nHC3GdEJ","properties":{"formattedCitation":"(Dodd et al., 2017)","plainCitation":"(Dodd et al., 2017)","noteIndex":0},"citationItems":[{"id":3659,"uris":["http://zotero.org/users/13901503/items/WFUC2V8A"],"itemData":{"id":3659,"type":"article-journal","abstract":"A pathway for the production of aromatic amino acid metabolites in Clostridium sporogenes is described; modulation of serum levels of these metabolites in gnotobiotic mice affects intestinal permeability and systemic immunity.","container-title":"Nature","DOI":"10.1038/nature24661","ISSN":"1476-4687","issue":"7682","language":"en","license":"2017 Macmillan Publishers Limited, part of Springer Nature. All rights reserved.","note":"publisher: Nature Publishing Group","page":"648-652","source":"www-nature-com.proxy.lib.umich.edu","title":"A gut bacterial pathway metabolizes aromatic amino acids into nine circulating metabolites","volume":"551","author":[{"family":"Dodd","given":"Dylan"},{"family":"Spitzer","given":"Matthew H."},{"family":"Van Treuren","given":"William"},{"family":"Merrill","given":"Bryan D."},{"family":"Hryckowian","given":"Andrew J."},{"family":"Higginbottom","given":"Steven K."},{"family":"Le","given":"Anthony"},{"family":"Cowan","given":"Tina M."},{"family":"Nolan","given":"Garry P."},{"family":"Fischbach","given":"Michael A."},{"family":"Sonnenburg","given":"Justin L."}],"issued":{"date-parts":[["2017",11]]}}}],"schema":"https://github.com/citation-style-language/schema/raw/master/csl-citation.json"} </w:instrText>
      </w:r>
      <w:r w:rsidR="00E96E2C">
        <w:fldChar w:fldCharType="separate"/>
      </w:r>
      <w:r w:rsidR="00E96E2C">
        <w:rPr>
          <w:noProof/>
        </w:rPr>
        <w:t>(Dodd et al., 2017)</w:t>
      </w:r>
      <w:r w:rsidR="00E96E2C">
        <w:fldChar w:fldCharType="end"/>
      </w:r>
      <w:r w:rsidR="00031DA9">
        <w:t>, reinforcing the idea</w:t>
      </w:r>
      <w:r w:rsidR="00031DA9">
        <w:t xml:space="preserve"> that t</w:t>
      </w:r>
      <w:r w:rsidR="00033DF6">
        <w:t>he</w:t>
      </w:r>
      <w:r w:rsidR="00031DA9">
        <w:t xml:space="preserve"> loss</w:t>
      </w:r>
      <w:r w:rsidR="00033DF6">
        <w:t xml:space="preserve"> of obligates</w:t>
      </w:r>
      <w:r w:rsidR="00031DA9">
        <w:t xml:space="preserve"> at high temperatures reduces</w:t>
      </w:r>
      <w:r w:rsidR="00031DA9">
        <w:t xml:space="preserve"> </w:t>
      </w:r>
      <w:r w:rsidR="00031DA9">
        <w:t>immune tolerance toward the gut microbiome.</w:t>
      </w:r>
      <w:r w:rsidR="00031DA9" w:rsidRPr="00031DA9">
        <w:t xml:space="preserve"> </w:t>
      </w:r>
      <w:r w:rsidR="00031DA9">
        <w:t>Together, these findings suggest that temperature-driven loss of obligate taxa may disrupt gut</w:t>
      </w:r>
      <w:r w:rsidR="00031DA9">
        <w:t>-</w:t>
      </w:r>
      <w:r w:rsidR="00031DA9">
        <w:t xml:space="preserve">immune </w:t>
      </w:r>
      <w:r w:rsidR="00031DA9">
        <w:t>homeostasis</w:t>
      </w:r>
      <w:r w:rsidR="00031DA9">
        <w:t xml:space="preserve"> and </w:t>
      </w:r>
      <w:r w:rsidR="00031DA9">
        <w:t>contribute to</w:t>
      </w:r>
      <w:r w:rsidR="00031DA9">
        <w:t xml:space="preserve"> the risk of chronic inflammation</w:t>
      </w:r>
      <w:r w:rsidR="00031DA9">
        <w:t xml:space="preserve"> through increased immune activation. </w:t>
      </w:r>
    </w:p>
    <w:p w14:paraId="47D7E9A9" w14:textId="779EB8CD" w:rsidR="00B13641" w:rsidRDefault="00B13641" w:rsidP="00B74D78"/>
    <w:p w14:paraId="28A34DCC" w14:textId="496AFA7C" w:rsidR="009647C8" w:rsidRDefault="00164DAE" w:rsidP="009647C8">
      <w:r>
        <w:t xml:space="preserve">(This </w:t>
      </w:r>
      <w:proofErr w:type="spellStart"/>
      <w:r>
        <w:t>pargraph</w:t>
      </w:r>
      <w:proofErr w:type="spellEnd"/>
      <w:r>
        <w:t xml:space="preserve"> needs help </w:t>
      </w:r>
      <w:proofErr w:type="spellStart"/>
      <w:r>
        <w:t>wit</w:t>
      </w:r>
      <w:proofErr w:type="spellEnd"/>
      <w:r>
        <w:t xml:space="preserve"> the citations </w:t>
      </w:r>
      <w:proofErr w:type="spellStart"/>
      <w:r>
        <w:t>considerintaking</w:t>
      </w:r>
      <w:proofErr w:type="spellEnd"/>
      <w:r>
        <w:t xml:space="preserve"> </w:t>
      </w:r>
      <w:proofErr w:type="spellStart"/>
      <w:r>
        <w:t>aout</w:t>
      </w:r>
      <w:proofErr w:type="spellEnd"/>
      <w:r>
        <w:t xml:space="preserve"> the gram </w:t>
      </w:r>
      <w:proofErr w:type="spellStart"/>
      <w:r>
        <w:t>posoitve</w:t>
      </w:r>
      <w:proofErr w:type="spellEnd"/>
      <w:r>
        <w:t xml:space="preserve"> and </w:t>
      </w:r>
      <w:proofErr w:type="spellStart"/>
      <w:r>
        <w:t>melvonate</w:t>
      </w:r>
      <w:proofErr w:type="spellEnd"/>
      <w:r>
        <w:t xml:space="preserve"> examples and stick with fiber) </w:t>
      </w:r>
      <w:r w:rsidR="00B13641">
        <w:t xml:space="preserve">The interaction between temperature and neopterin also suggests that the combined effects of high temperatures and immune activation create </w:t>
      </w:r>
      <w:r w:rsidR="00B13641">
        <w:lastRenderedPageBreak/>
        <w:t xml:space="preserve">particularly </w:t>
      </w:r>
      <w:r w:rsidR="00B13641">
        <w:t>unfavorable</w:t>
      </w:r>
      <w:r w:rsidR="00B13641">
        <w:t xml:space="preserve"> conditions for obligate anaerobes</w:t>
      </w:r>
      <w:r w:rsidR="00A41196">
        <w:t xml:space="preserve">. </w:t>
      </w:r>
      <w:r w:rsidR="007F60C5">
        <w:t>T</w:t>
      </w:r>
      <w:r w:rsidR="00A41196">
        <w:t xml:space="preserve">axa that exhibit stronger declines when neopterin is high </w:t>
      </w:r>
      <w:r w:rsidR="007F60C5">
        <w:t xml:space="preserve">are </w:t>
      </w:r>
      <w:r w:rsidR="00A41196">
        <w:t>primarily</w:t>
      </w:r>
      <w:r w:rsidR="007F60C5">
        <w:t xml:space="preserve"> from the</w:t>
      </w:r>
      <w:r w:rsidR="00A41196">
        <w:t xml:space="preserve"> </w:t>
      </w:r>
      <w:r w:rsidR="00A41196">
        <w:t xml:space="preserve">phyla </w:t>
      </w:r>
      <w:proofErr w:type="spellStart"/>
      <w:r w:rsidR="00A41196" w:rsidRPr="00A41196">
        <w:rPr>
          <w:rStyle w:val="Strong"/>
          <w:rFonts w:eastAsiaTheme="majorEastAsia"/>
          <w:b w:val="0"/>
          <w:bCs w:val="0"/>
        </w:rPr>
        <w:t>Bacteroidota</w:t>
      </w:r>
      <w:proofErr w:type="spellEnd"/>
      <w:r w:rsidR="00A41196" w:rsidRPr="00A41196">
        <w:rPr>
          <w:b/>
          <w:bCs/>
        </w:rPr>
        <w:t xml:space="preserve"> </w:t>
      </w:r>
      <w:r w:rsidR="00A41196" w:rsidRPr="00A41196">
        <w:t>and</w:t>
      </w:r>
      <w:r w:rsidR="00A41196" w:rsidRPr="00A41196">
        <w:rPr>
          <w:b/>
          <w:bCs/>
        </w:rPr>
        <w:t xml:space="preserve"> </w:t>
      </w:r>
      <w:r w:rsidR="00A41196" w:rsidRPr="00A41196">
        <w:rPr>
          <w:rStyle w:val="Strong"/>
          <w:rFonts w:eastAsiaTheme="majorEastAsia"/>
          <w:b w:val="0"/>
          <w:bCs w:val="0"/>
        </w:rPr>
        <w:t>Firmicutes</w:t>
      </w:r>
      <w:r w:rsidR="00A41196">
        <w:t xml:space="preserve"> which </w:t>
      </w:r>
      <w:r w:rsidR="007F60C5">
        <w:t>include</w:t>
      </w:r>
      <w:r w:rsidR="00A41196">
        <w:t xml:space="preserve"> many obligate anaerobes. </w:t>
      </w:r>
      <w:r w:rsidR="007F60C5">
        <w:t>We also observed</w:t>
      </w:r>
      <w:r w:rsidR="00A41196">
        <w:t xml:space="preserve"> a stronger decline in pathways </w:t>
      </w:r>
      <w:r w:rsidR="00A41196">
        <w:t>commonly associated with obligate taxa</w:t>
      </w:r>
      <w:r w:rsidR="00A41196" w:rsidRPr="00A41196">
        <w:t xml:space="preserve"> </w:t>
      </w:r>
      <w:r w:rsidR="00A41196">
        <w:t xml:space="preserve">including </w:t>
      </w:r>
      <w:r w:rsidR="007F60C5">
        <w:t xml:space="preserve">complex carb </w:t>
      </w:r>
      <w:r w:rsidR="00A41196" w:rsidRPr="00A41196">
        <w:rPr>
          <w:rStyle w:val="Strong"/>
          <w:rFonts w:eastAsiaTheme="majorEastAsia"/>
          <w:b w:val="0"/>
          <w:bCs w:val="0"/>
        </w:rPr>
        <w:t>fermentation</w:t>
      </w:r>
      <w:r w:rsidR="00285DF4">
        <w:rPr>
          <w:rStyle w:val="Strong"/>
          <w:rFonts w:eastAsiaTheme="majorEastAsia"/>
          <w:b w:val="0"/>
          <w:bCs w:val="0"/>
        </w:rPr>
        <w:t xml:space="preserve"> </w:t>
      </w:r>
      <w:r w:rsidR="00FC7394">
        <w:rPr>
          <w:rStyle w:val="Strong"/>
          <w:rFonts w:eastAsiaTheme="majorEastAsia"/>
          <w:b w:val="0"/>
          <w:bCs w:val="0"/>
        </w:rPr>
        <w:fldChar w:fldCharType="begin"/>
      </w:r>
      <w:r w:rsidR="00FC7394">
        <w:rPr>
          <w:rStyle w:val="Strong"/>
          <w:rFonts w:eastAsiaTheme="majorEastAsia"/>
          <w:b w:val="0"/>
          <w:bCs w:val="0"/>
        </w:rPr>
        <w:instrText xml:space="preserve"> ADDIN ZOTERO_ITEM CSL_CITATION {"citationID":"tuESI0A9","properties":{"formattedCitation":"(Flint et al., 2012)","plainCitation":"(Flint et al., 2012)","noteIndex":0},"citationItems":[{"id":3409,"uris":["http://zotero.org/users/13901503/items/73VRZX5M"],"itemData":{"id":3409,"type":"article-journal","abstract":"Bacteria that colonize the mammalian intestine collectively possess a far larger repertoire of degradative enzymes and metabolic capabilities than their hosts. Microbial fermentation of complex non-digestible dietary carbohydrates and host–derived glycans in the human intestine has important consequences for health. Certain dominant species, notably among the Bacteroidetes, are known to possess very large numbers of genes that encode carbohydrate active enzymes and can switch readily between different energy sources in the gut depending on availability. Nevertheless, more nutritionally specialized bacteria appear to play critical roles in the community by initiating the degradation of complex substrates such as plant cell walls, starch particles and mucin. Examples are emerging from the Firmicutes, Actinobacteria and Verrucomicrobium phyla, but more information is needed on these little studied groups. The impact of dietary carbohydrates, including prebiotics, on human health requires understanding of the complex relationship between diet composition, the gut microbiota and metabolic outputs.","container-title":"Gut Microbes","DOI":"10.4161/gmic.19897","ISSN":"1949-0976","issue":"4","note":"publisher: Taylor &amp; Francis\n_eprint: https://doi.org/10.4161/gmic.19897\nPMID: 22572875","page":"289-306","source":"Taylor and Francis+NEJM","title":"Microbial degradation of complex carbohydrates in the gut","volume":"3","author":[{"family":"Flint","given":"Harry J."},{"family":"","given":"Scott ,Karen P."},{"family":"","given":"Duncan ,Sylvia H."},{"family":"","given":"Louis ,Petra"},{"family":"Forano","given":"Evelyne","non-dropping-particle":"and"}],"issued":{"date-parts":[["2012",7,14]]}}}],"schema":"https://github.com/citation-style-language/schema/raw/master/csl-citation.json"} </w:instrText>
      </w:r>
      <w:r w:rsidR="00FC7394">
        <w:rPr>
          <w:rStyle w:val="Strong"/>
          <w:rFonts w:eastAsiaTheme="majorEastAsia"/>
          <w:b w:val="0"/>
          <w:bCs w:val="0"/>
        </w:rPr>
        <w:fldChar w:fldCharType="separate"/>
      </w:r>
      <w:r w:rsidR="00FC7394">
        <w:rPr>
          <w:rStyle w:val="Strong"/>
          <w:rFonts w:eastAsiaTheme="majorEastAsia"/>
          <w:b w:val="0"/>
          <w:bCs w:val="0"/>
          <w:noProof/>
        </w:rPr>
        <w:t>(Flint et al., 2012)</w:t>
      </w:r>
      <w:r w:rsidR="00FC7394">
        <w:rPr>
          <w:rStyle w:val="Strong"/>
          <w:rFonts w:eastAsiaTheme="majorEastAsia"/>
          <w:b w:val="0"/>
          <w:bCs w:val="0"/>
        </w:rPr>
        <w:fldChar w:fldCharType="end"/>
      </w:r>
      <w:r w:rsidR="00A41196" w:rsidRPr="00A41196">
        <w:rPr>
          <w:b/>
          <w:bCs/>
        </w:rPr>
        <w:t xml:space="preserve">, </w:t>
      </w:r>
      <w:r w:rsidR="00A41196" w:rsidRPr="00A41196">
        <w:rPr>
          <w:rStyle w:val="Strong"/>
          <w:rFonts w:eastAsiaTheme="majorEastAsia"/>
          <w:b w:val="0"/>
          <w:bCs w:val="0"/>
        </w:rPr>
        <w:t>Gram-positive cell wall biosynthesis</w:t>
      </w:r>
      <w:r w:rsidR="00285DF4">
        <w:rPr>
          <w:rStyle w:val="Strong"/>
          <w:rFonts w:eastAsiaTheme="majorEastAsia"/>
          <w:b w:val="0"/>
          <w:bCs w:val="0"/>
        </w:rPr>
        <w:t xml:space="preserve"> ()</w:t>
      </w:r>
      <w:r w:rsidR="00A41196" w:rsidRPr="00A41196">
        <w:rPr>
          <w:b/>
          <w:bCs/>
        </w:rPr>
        <w:t xml:space="preserve">, </w:t>
      </w:r>
      <w:r w:rsidR="00A41196" w:rsidRPr="007F60C5">
        <w:t>and the</w:t>
      </w:r>
      <w:r w:rsidR="00A41196" w:rsidRPr="00A41196">
        <w:rPr>
          <w:b/>
          <w:bCs/>
        </w:rPr>
        <w:t xml:space="preserve"> </w:t>
      </w:r>
      <w:r w:rsidR="00A41196" w:rsidRPr="00A41196">
        <w:rPr>
          <w:rStyle w:val="Strong"/>
          <w:rFonts w:eastAsiaTheme="majorEastAsia"/>
          <w:b w:val="0"/>
          <w:bCs w:val="0"/>
        </w:rPr>
        <w:t>non-mevalonate (MEP) pathway</w:t>
      </w:r>
      <w:r w:rsidR="00A41196" w:rsidRPr="00A41196">
        <w:rPr>
          <w:b/>
          <w:bCs/>
        </w:rPr>
        <w:t xml:space="preserve"> </w:t>
      </w:r>
      <w:r w:rsidR="00A41196">
        <w:t>for isoprenoid production</w:t>
      </w:r>
      <w:r w:rsidR="007F60C5">
        <w:t xml:space="preserve"> (Fig 5)</w:t>
      </w:r>
      <w:r w:rsidR="00285DF4">
        <w:t>()</w:t>
      </w:r>
      <w:r w:rsidR="007F60C5">
        <w:t xml:space="preserve">. Together these patterns suggest that the combination of high temperatures and macrophage </w:t>
      </w:r>
      <w:r w:rsidR="009647C8">
        <w:t>activity</w:t>
      </w:r>
      <w:r w:rsidR="007F60C5">
        <w:t xml:space="preserve"> contribute</w:t>
      </w:r>
      <w:r w:rsidR="009647C8">
        <w:t>s</w:t>
      </w:r>
      <w:r w:rsidR="007F60C5">
        <w:t xml:space="preserve"> to the loss of obligate taxa, likely because </w:t>
      </w:r>
      <w:r w:rsidR="007F60C5">
        <w:t>immune activation</w:t>
      </w:r>
      <w:r w:rsidR="007F60C5">
        <w:t xml:space="preserve"> </w:t>
      </w:r>
      <w:r w:rsidR="007F60C5">
        <w:t>exacerbate</w:t>
      </w:r>
      <w:r w:rsidR="007F60C5">
        <w:t>s</w:t>
      </w:r>
      <w:r w:rsidR="007F60C5">
        <w:t xml:space="preserve"> the redox imbalance initiated by </w:t>
      </w:r>
      <w:r w:rsidR="007F60C5">
        <w:t>high temperatures</w:t>
      </w:r>
      <w:r w:rsidR="007F60C5">
        <w:t>.</w:t>
      </w:r>
      <w:r w:rsidR="00C24FA0">
        <w:t xml:space="preserve"> </w:t>
      </w:r>
      <w:r w:rsidR="00396322">
        <w:t xml:space="preserve">In contrast, facultative anaerobes </w:t>
      </w:r>
      <w:r w:rsidR="009647C8">
        <w:t>appear</w:t>
      </w:r>
      <w:r w:rsidR="00396322">
        <w:t xml:space="preserve"> more resilient to these conditions and may persist where obligate</w:t>
      </w:r>
      <w:r w:rsidR="009647C8">
        <w:t>s</w:t>
      </w:r>
      <w:r w:rsidR="00396322">
        <w:t xml:space="preserve"> decline.</w:t>
      </w:r>
      <w:r w:rsidR="00396322">
        <w:t xml:space="preserve"> Several facultative taxa including </w:t>
      </w:r>
      <w:proofErr w:type="spellStart"/>
      <w:r w:rsidR="00396322" w:rsidRPr="00396322">
        <w:rPr>
          <w:rStyle w:val="Strong"/>
          <w:rFonts w:eastAsiaTheme="majorEastAsia"/>
          <w:b w:val="0"/>
          <w:bCs w:val="0"/>
          <w:i/>
          <w:iCs/>
        </w:rPr>
        <w:t>Helicobacteraceae</w:t>
      </w:r>
      <w:proofErr w:type="spellEnd"/>
      <w:r w:rsidR="00396322">
        <w:rPr>
          <w:b/>
          <w:bCs/>
        </w:rPr>
        <w:t>,</w:t>
      </w:r>
      <w:r w:rsidR="00396322" w:rsidRPr="00D95B6A">
        <w:rPr>
          <w:b/>
          <w:bCs/>
          <w:i/>
          <w:iCs/>
        </w:rPr>
        <w:t xml:space="preserve"> </w:t>
      </w:r>
      <w:proofErr w:type="spellStart"/>
      <w:r w:rsidR="00396322" w:rsidRPr="00396322">
        <w:rPr>
          <w:rStyle w:val="Strong"/>
          <w:rFonts w:eastAsiaTheme="majorEastAsia"/>
          <w:b w:val="0"/>
          <w:bCs w:val="0"/>
          <w:i/>
          <w:iCs/>
        </w:rPr>
        <w:t>Erysipelotrichaceae</w:t>
      </w:r>
      <w:proofErr w:type="spellEnd"/>
      <w:r w:rsidR="00396322">
        <w:rPr>
          <w:rStyle w:val="Strong"/>
          <w:rFonts w:eastAsiaTheme="majorEastAsia"/>
          <w:b w:val="0"/>
          <w:bCs w:val="0"/>
        </w:rPr>
        <w:t xml:space="preserve">, and </w:t>
      </w:r>
      <w:proofErr w:type="spellStart"/>
      <w:r w:rsidR="00396322" w:rsidRPr="00396322">
        <w:rPr>
          <w:i/>
          <w:iCs/>
        </w:rPr>
        <w:t>Anaerobiospirillum</w:t>
      </w:r>
      <w:proofErr w:type="spellEnd"/>
      <w:r w:rsidR="00396322">
        <w:t xml:space="preserve"> </w:t>
      </w:r>
      <w:r w:rsidR="00C24FA0">
        <w:t xml:space="preserve">() </w:t>
      </w:r>
      <w:r w:rsidR="00396322">
        <w:t>exhibit stronger increases in abundance when neopterin is high</w:t>
      </w:r>
      <w:r w:rsidR="00C24FA0">
        <w:t xml:space="preserve">, </w:t>
      </w:r>
      <w:r w:rsidR="00C24FA0">
        <w:t xml:space="preserve">suggesting they are better able to tolerate redox imbalance, and may exploit niches </w:t>
      </w:r>
      <w:r w:rsidR="00C24FA0">
        <w:t xml:space="preserve">vacated </w:t>
      </w:r>
      <w:r w:rsidR="00C24FA0">
        <w:t>by the loss of obligates.</w:t>
      </w:r>
      <w:r w:rsidR="00C24FA0" w:rsidRPr="00C24FA0">
        <w:t xml:space="preserve"> </w:t>
      </w:r>
      <w:r w:rsidR="00C24FA0">
        <w:t>Similarly</w:t>
      </w:r>
      <w:r w:rsidR="00C24FA0">
        <w:t>, several pathways commonly associated with facultative taxa exhibit a stronger increase at high neopterin levels</w:t>
      </w:r>
      <w:r w:rsidR="009647C8">
        <w:t xml:space="preserve">, </w:t>
      </w:r>
      <w:r w:rsidR="009647C8">
        <w:t xml:space="preserve">suggesting that these </w:t>
      </w:r>
      <w:r w:rsidR="009647C8">
        <w:t>taxa</w:t>
      </w:r>
      <w:r w:rsidR="009647C8">
        <w:t xml:space="preserve"> may be actively responding </w:t>
      </w:r>
      <w:r w:rsidR="009647C8">
        <w:t>to changes in the gut environment</w:t>
      </w:r>
      <w:r w:rsidR="009647C8">
        <w:t xml:space="preserve">. For example, the glyoxylate cycle and Rubisco shunt both increase under high neopterin </w:t>
      </w:r>
      <w:r w:rsidR="009647C8">
        <w:t xml:space="preserve">which likely supports </w:t>
      </w:r>
      <w:r w:rsidR="009647C8">
        <w:t>energy conservation</w:t>
      </w:r>
      <w:r w:rsidR="009647C8" w:rsidRPr="009647C8">
        <w:t xml:space="preserve"> </w:t>
      </w:r>
      <w:r w:rsidR="009647C8">
        <w:t>under oxygen and energy-limited conditions</w:t>
      </w:r>
      <w:r w:rsidR="0039706F">
        <w:t xml:space="preserve"> </w:t>
      </w:r>
      <w:r w:rsidR="0039706F">
        <w:fldChar w:fldCharType="begin"/>
      </w:r>
      <w:r w:rsidR="00D04663">
        <w:instrText xml:space="preserve"> ADDIN ZOTERO_ITEM CSL_CITATION {"citationID":"PvilTIb8","properties":{"formattedCitation":"(Ahn et al., 2016; Badger &amp; Bek, 2008)","plainCitation":"(Ahn et al., 2016; Badger &amp; Bek, 2008)","noteIndex":0},"citationItems":[{"id":3666,"uris":["http://zotero.org/users/13901503/items/787C6UND"],"itemData":{"id":3666,"type":"article-journal","abstract":"&lt;p&gt;The glyoxylate shunt (GS) is a two-step metabolic pathway (isocitrate lyase, &lt;i&gt;aceA&lt;/i&gt;; and malate synthase, &lt;i&gt;glcB&lt;/i&gt;) that serves as an alternative to the tricarboxylic acid cycle. The GS bypasses the carbon dioxide-producing steps of the tricarboxylic acid cycle and is essential for acetate and fatty acid metabolism in bacteria. GS can be up-regulated under conditions of oxidative stress, antibiotic stress, and host infection, which implies that it plays important but poorly explored roles in stress defense and pathogenesis. In many bacterial species, including &lt;i&gt;Pseudomonas aeruginosa&lt;/i&gt;, &lt;i&gt;aceA&lt;/i&gt; and &lt;i&gt;glcB&lt;/i&gt; are not in an operon, unlike in &lt;i&gt;Escherichia coli&lt;/i&gt;. In &lt;i&gt;P. aeruginosa&lt;/i&gt;, we explored relationships between GS genes and growth, transcription profiles, and biofilm formation. Contrary to our expectations, deletion of &lt;i&gt;aceA&lt;/i&gt; in &lt;i&gt;P. aeruginosa&lt;/i&gt; improved cell growth under conditions of oxidative and antibiotic stress. Transcriptome data suggested that &lt;i&gt;aceA&lt;/i&gt; mutants underwent a metabolic shift toward aerobic denitrification; this was supported by additional evidence, including up-regulation of denitrification-related genes, decreased oxygen consumption without lowering ATP yield, increased production of denitrification intermediates (NO and N&lt;sub&gt;2&lt;/sub&gt;O), and increased cyanide resistance. The &lt;i&gt;aceA&lt;/i&gt; mutants also produced a thicker exopolysaccharide layer; that is, a phenotype consistent with aerobic denitrification. A bioinformatic survey across known bacterial genomes showed that only microorganisms capable of aerobic metabolism possess the glyoxylate shunt. This trend is consistent with the hypothesis that the GS plays a previously unrecognized role in allowing bacteria to tolerate oxidative stress.&lt;/p&gt;","container-title":"Journal of Biological Chemistry","DOI":"10.1074/jbc.M115.708149","ISSN":"0021-9258, 1083-351X","issue":"22","journalAbbreviation":"Journal of Biological Chemistry","language":"English","note":"publisher: Elsevier","page":"11928-11938","source":"www-jbc-org.proxy.lib.umich.edu","title":"Role of Glyoxylate Shunt in Oxidative Stress Response","volume":"291","author":[{"family":"Ahn","given":"Sungeun"},{"family":"Jung","given":"Jaejoon"},{"family":"Jang","given":"In-Ae"},{"family":"Madsen","given":"Eugene L."},{"family":"Park","given":"Woojun"}],"issued":{"date-parts":[["2016",5,27]]}}},{"id":3661,"uris":["http://zotero.org/users/13901503/items/7EH7QSRX"],"itemData":{"id":3661,"type":"article-journal","abstract":"Rubisco is the predominant enzymatic mechanism in the biosphere by which autotrophic bacteria, algae, and terrestrial plants fix CO2 into organic biomass via the Calvin–Benson–Basham reductive pentose phosphate pathway. Rubisco is not a perfect catalyst, suffering from low turnover rates, a low affinity for its CO2 substrate, and a competitive inhibition by O2 as an alternative substrate. As a consequence of changing environmental conditions over the past 3.5 billion years, with decreasing CO2 and increasing O2 in the atmosphere, Rubisco has evolved into multiple enzymatic forms with a range of kinetic properties, as well as co-evolving with CO2-concentrating mechanisms to cope with the different environmental contexts in which it must operate. The most dramatic evidence of this is the occurrence of multiple forms of Rubisco within autotrophic proteobacteria, where Forms II, IC, IBc, IAc, and IAq can be found either singly or in multiple combinations within a particular bacterial genome. Over the past few years there has been increasing availability of genomic sequence data for bacteria and this has allowed us to gain more extensive insights into the functional significance of this diversification. This paper is focused on summarizing what is known about the diversity of Rubisco forms, their kinetic properties, development of bacterial CO2-concentrating mechanisms, and correlations with metabolic flexibility and inorganic carbon environments in which proteobacteria perform various types of obligate and facultative chemo- and photoautotrophic CO2 fixation.","container-title":"Journal of Experimental Botany","DOI":"10.1093/jxb/erm297","ISSN":"0022-0957","issue":"7","journalAbbreviation":"Journal of Experimental Botany","page":"1525-1541","source":"Silverchair","title":"Multiple Rubisco forms in proteobacteria: their functional significance in relation to CO2 acquisition by the CBB cycle","title-short":"Multiple Rubisco forms in proteobacteria","volume":"59","author":[{"family":"Badger","given":"Murray Ronald"},{"family":"Bek","given":"Emily Jane"}],"issued":{"date-parts":[["2008",5,1]]}}}],"schema":"https://github.com/citation-style-language/schema/raw/master/csl-citation.json"} </w:instrText>
      </w:r>
      <w:r w:rsidR="0039706F">
        <w:fldChar w:fldCharType="separate"/>
      </w:r>
      <w:r w:rsidR="00D04663">
        <w:rPr>
          <w:noProof/>
        </w:rPr>
        <w:t>(Ahn et al., 2016; Badger &amp; Bek, 2008)</w:t>
      </w:r>
      <w:r w:rsidR="0039706F">
        <w:fldChar w:fldCharType="end"/>
      </w:r>
      <w:r w:rsidR="0039706F">
        <w:t>.</w:t>
      </w:r>
      <w:r w:rsidR="009647C8">
        <w:t xml:space="preserve"> </w:t>
      </w:r>
      <w:r w:rsidR="009647C8">
        <w:t>In addition, redox maintenance pathways such as ubiquinone biosynthesis also increase</w:t>
      </w:r>
      <w:r w:rsidR="009647C8">
        <w:t xml:space="preserve"> which helps </w:t>
      </w:r>
      <w:r w:rsidR="009647C8">
        <w:t>facultative anaerobes neutralize ROS</w:t>
      </w:r>
      <w:r w:rsidR="001A50AD">
        <w:t xml:space="preserve"> </w:t>
      </w:r>
      <w:r w:rsidR="0039706F">
        <w:fldChar w:fldCharType="begin"/>
      </w:r>
      <w:r w:rsidR="0039706F">
        <w:instrText xml:space="preserve"> ADDIN ZOTERO_ITEM CSL_CITATION {"citationID":"Fk5o5734","properties":{"formattedCitation":"(Bekker et al., 2007)","plainCitation":"(Bekker et al., 2007)","noteIndex":0},"citationItems":[{"id":3665,"uris":["http://zotero.org/users/13901503/items/NVUGIX64"],"itemData":{"id":3665,"type":"article-journal","container-title":"Microbiology","DOI":"10.1099/mic.0.2007/006098-0","ISSN":"1350-0872, 1465-2080","issue":"6","language":"en","page":"1974-1980","source":"DOI.org (Crossref)","title":"Changes in the redox state and composition of the quinone pool of Escherichia coli during aerobic batch-culture growth","volume":"153","author":[{"family":"Bekker","given":"M"},{"family":"Kramer","given":"G"},{"family":"Hartog","given":"A. F"},{"family":"Wagner","given":"M. J"},{"family":"De Koster","given":"C. G"},{"family":"Hellingwerf","given":"K. J"},{"family":"Teixeira De Mattos","given":"M. J"}],"issued":{"date-parts":[["2007",6,1]]}}}],"schema":"https://github.com/citation-style-language/schema/raw/master/csl-citation.json"} </w:instrText>
      </w:r>
      <w:r w:rsidR="0039706F">
        <w:fldChar w:fldCharType="separate"/>
      </w:r>
      <w:r w:rsidR="0039706F">
        <w:rPr>
          <w:noProof/>
        </w:rPr>
        <w:t>(Bekker et al., 2007)</w:t>
      </w:r>
      <w:r w:rsidR="0039706F">
        <w:fldChar w:fldCharType="end"/>
      </w:r>
      <w:r w:rsidR="009647C8">
        <w:t>.</w:t>
      </w:r>
      <w:r w:rsidR="009647C8" w:rsidRPr="009647C8">
        <w:t xml:space="preserve"> </w:t>
      </w:r>
      <w:r w:rsidR="009647C8">
        <w:t>Together these patterns support the idea that high temperatures and increased immune activity reinforce one another by shifting gut microbiome composition away from obligates and towards facultative taxa</w:t>
      </w:r>
      <w:r w:rsidR="009647C8">
        <w:t xml:space="preserve"> capable of tolerating and potentially exploiting these conditions. </w:t>
      </w:r>
    </w:p>
    <w:p w14:paraId="3CBBE9A9" w14:textId="3C291E45" w:rsidR="0074666C" w:rsidRDefault="00746DBF" w:rsidP="00A7049B">
      <w:pPr>
        <w:pStyle w:val="NormalWeb"/>
      </w:pPr>
      <w:r>
        <w:t>T</w:t>
      </w:r>
      <w:r w:rsidR="00C24FA0">
        <w:t xml:space="preserve">he shift towards facultative taxa </w:t>
      </w:r>
      <w:r w:rsidR="00D847BF">
        <w:t xml:space="preserve">at high temperatures </w:t>
      </w:r>
      <w:r w:rsidR="00C24FA0">
        <w:t xml:space="preserve">likely contributes to </w:t>
      </w:r>
      <w:r w:rsidR="00C61B69">
        <w:t xml:space="preserve">increased immune activation </w:t>
      </w:r>
      <w:r>
        <w:t>and further disrupt</w:t>
      </w:r>
      <w:r w:rsidR="00821E2E">
        <w:t>s</w:t>
      </w:r>
      <w:r w:rsidR="00C61B69">
        <w:t xml:space="preserve"> gut-immune homeostasis. </w:t>
      </w:r>
      <w:r>
        <w:t xml:space="preserve">For example, </w:t>
      </w:r>
      <w:proofErr w:type="spellStart"/>
      <w:r>
        <w:rPr>
          <w:rStyle w:val="Emphasis"/>
          <w:rFonts w:eastAsiaTheme="majorEastAsia"/>
        </w:rPr>
        <w:t>Helicobacteraceae</w:t>
      </w:r>
      <w:proofErr w:type="spellEnd"/>
      <w:r>
        <w:rPr>
          <w:rStyle w:val="Emphasis"/>
          <w:rFonts w:eastAsiaTheme="majorEastAsia"/>
          <w:i w:val="0"/>
          <w:iCs w:val="0"/>
        </w:rPr>
        <w:t>, which exhibits a stronger increase at higher neopterin,</w:t>
      </w:r>
      <w:r>
        <w:rPr>
          <w:rStyle w:val="Emphasis"/>
          <w:rFonts w:eastAsiaTheme="majorEastAsia"/>
        </w:rPr>
        <w:t xml:space="preserve"> </w:t>
      </w:r>
      <w:r>
        <w:rPr>
          <w:rStyle w:val="Emphasis"/>
          <w:rFonts w:eastAsiaTheme="majorEastAsia"/>
          <w:i w:val="0"/>
          <w:iCs w:val="0"/>
        </w:rPr>
        <w:t xml:space="preserve">is associated with </w:t>
      </w:r>
      <w:r>
        <w:t>inflammatory disease</w:t>
      </w:r>
      <w:r>
        <w:t xml:space="preserve">s </w:t>
      </w:r>
      <w:r>
        <w:t xml:space="preserve">and may </w:t>
      </w:r>
      <w:r w:rsidR="00821E2E">
        <w:t>promote</w:t>
      </w:r>
      <w:r>
        <w:t xml:space="preserve"> </w:t>
      </w:r>
      <w:r w:rsidR="00D847BF">
        <w:t>macrophage</w:t>
      </w:r>
      <w:r>
        <w:t xml:space="preserve"> activation by </w:t>
      </w:r>
      <w:r>
        <w:t>damaging</w:t>
      </w:r>
      <w:r>
        <w:t xml:space="preserve"> the gut epithelium </w:t>
      </w:r>
      <w:r>
        <w:t xml:space="preserve">and disrupting the mucosal barrier </w:t>
      </w:r>
      <w:r w:rsidR="003D142F">
        <w:fldChar w:fldCharType="begin"/>
      </w:r>
      <w:r w:rsidR="003D142F">
        <w:instrText xml:space="preserve"> ADDIN ZOTERO_ITEM CSL_CITATION {"citationID":"cZJ2yfWg","properties":{"formattedCitation":"(Chu et al., 2003)","plainCitation":"(Chu et al., 2003)","noteIndex":0},"citationItems":[{"id":3644,"uris":["http://zotero.org/users/13901503/items/GZ2VQ6TK"],"itemData":{"id":3644,"type":"article-journal","abstract":"Abstract: Helicobacter pylori (H. pylori) has been considered as an important pathogen of gastroduodenal inflammation and gastric carcinogenesis. However, the pathogenic mechanisms including H. pylori-induced apoptosis and subsequent molecular mechanisms have not been clarified yet. The present study examined the role of Bcl-2 and its relation to NF-κB in H. pylori-induced apoptosis in human gastric epithelial AGS cells. AGS cells were cultured in the presence of H. pylori, at a bacterium/cell ratio of 300:1, for the determination of apoptosis, NF-κB activation with IkBa degradation, and Bcl-2 level. AGS cells were transfected with a control vector (pCMV cells) or a full-length human Bcl-2 expression vector (Bcl-2 cells). H. pylori-induced apoptosis and NF-κB activation were compared in the wild-type cells and the transfected cells. As a result, H. pylori increased apoptotic cells with chromatin condensation and reduced Bcl-2 levels, which were accompanied with NF-κB activation. H. pylori induced sixfold increase in the number of apoptotic cells in wild-type cells and pCMV cells. H. pylori-induced increment of apoptotic cells were relatively lower in Bcl-2 cells than pCMV cells. H. pylori-induced NF-κB activation and IkBa degradation were not different in the wild-type cells, pCMV cells, and Bcl-2 cells. In conclusion, the reduced gastric Bcl-2 level may be the main pathogenic mechanism of H. pylori-induced apoptosis in gastric epithelial cells.","container-title":"Annals of the New York Academy of Sciences","DOI":"10.1196/annals.1299.106","ISSN":"1749-6632","issue":"1","language":"en","note":"_eprint: https://onlinelibrary.wiley.com/doi/pdf/10.1196/annals.1299.106","page":"568-572","source":"Wiley Online Library","title":"NF-κB and Bcl-2 in Helicobacter pylori-Induced Apoptosis in Gastric Epithelial Cells","volume":"1010","author":[{"family":"Chu","given":"Sang Hui"},{"family":"Lim","given":"Joo Weon"},{"family":"Kim","given":"Kyung Hwan"},{"family":"Kim","given":"Hyeyoung"}],"issued":{"date-parts":[["2003"]]}}}],"schema":"https://github.com/citation-style-language/schema/raw/master/csl-citation.json"} </w:instrText>
      </w:r>
      <w:r w:rsidR="003D142F">
        <w:fldChar w:fldCharType="separate"/>
      </w:r>
      <w:r w:rsidR="003D142F">
        <w:rPr>
          <w:noProof/>
        </w:rPr>
        <w:t>(Chu et al., 2003)</w:t>
      </w:r>
      <w:r w:rsidR="003D142F">
        <w:fldChar w:fldCharType="end"/>
      </w:r>
      <w:r>
        <w:t xml:space="preserve">. </w:t>
      </w:r>
      <w:proofErr w:type="spellStart"/>
      <w:r w:rsidR="00821E2E" w:rsidRPr="00821E2E">
        <w:rPr>
          <w:i/>
          <w:iCs/>
        </w:rPr>
        <w:t>Erysipelotrichaceae</w:t>
      </w:r>
      <w:proofErr w:type="spellEnd"/>
      <w:r w:rsidR="00821E2E">
        <w:t>, another facultative tax</w:t>
      </w:r>
      <w:r w:rsidR="002D093F">
        <w:t>on</w:t>
      </w:r>
      <w:r w:rsidR="00821E2E">
        <w:t xml:space="preserve"> that shows a stronger increase, is also commonly associated with inflammatory disease</w:t>
      </w:r>
      <w:r w:rsidR="002D093F">
        <w:t xml:space="preserve"> and may directly contribute to immune activation </w:t>
      </w:r>
      <w:fldSimple w:instr=" ADDIN ZOTERO_TEMP ">
        <w:r w:rsidR="003D142F">
          <w:rPr>
            <w:noProof/>
          </w:rPr>
          <w:t>(Kaakoush, 2015)</w:t>
        </w:r>
      </w:fldSimple>
      <w:r w:rsidR="002D093F">
        <w:t xml:space="preserve">. </w:t>
      </w:r>
      <w:r w:rsidR="002D093F">
        <w:t xml:space="preserve">In addition, we observed increases in pathways typical of facultative anaerobes involved in </w:t>
      </w:r>
      <w:r w:rsidR="002D093F">
        <w:t xml:space="preserve">the synthesis of </w:t>
      </w:r>
      <w:r w:rsidR="002D093F">
        <w:t>enterobacterial common antigen (ECA) and lipid A</w:t>
      </w:r>
      <w:r w:rsidR="002D093F">
        <w:t xml:space="preserve"> which form </w:t>
      </w:r>
      <w:r w:rsidR="002D093F">
        <w:t>pathogen-associated molecular patterns (PAMPs) that are recognized by Toll-like receptors (TLRs) and can initiate pro-inflammatory signaling</w:t>
      </w:r>
      <w:r w:rsidR="00731350">
        <w:t xml:space="preserve"> ()</w:t>
      </w:r>
      <w:r w:rsidR="002D093F">
        <w:t>.</w:t>
      </w:r>
      <w:r w:rsidR="002D093F">
        <w:t xml:space="preserve"> </w:t>
      </w:r>
      <w:r w:rsidR="002D093F">
        <w:t>Thus, the increased abundance of facultative taxa may actively stimulate immune responses</w:t>
      </w:r>
      <w:r w:rsidR="002D093F">
        <w:t xml:space="preserve"> by triggering common inflammatory mechanisms. </w:t>
      </w:r>
      <w:r w:rsidR="002D093F">
        <w:t xml:space="preserve">These </w:t>
      </w:r>
      <w:r w:rsidR="002D093F">
        <w:t>shifts</w:t>
      </w:r>
      <w:r w:rsidR="002D093F">
        <w:t xml:space="preserve"> coupled with the loss of anti-inflammatory support from obligate</w:t>
      </w:r>
      <w:r w:rsidR="002D093F">
        <w:t xml:space="preserve"> anaerobes could lead to sustained immune activation and </w:t>
      </w:r>
      <w:r w:rsidR="002D093F">
        <w:t xml:space="preserve">increase the risk of chronic inflammation </w:t>
      </w:r>
      <w:r w:rsidR="002D093F">
        <w:t>at high temperatures</w:t>
      </w:r>
      <w:r w:rsidR="002D093F">
        <w:t>.</w:t>
      </w:r>
    </w:p>
    <w:p w14:paraId="71081BEF" w14:textId="199B7E02" w:rsidR="000736AF" w:rsidRDefault="00821E2E" w:rsidP="005D2F52">
      <w:pPr>
        <w:pStyle w:val="NormalWeb"/>
      </w:pPr>
      <w:r>
        <w:t xml:space="preserve">Considered together, </w:t>
      </w:r>
      <w:r w:rsidR="005D2F52">
        <w:t xml:space="preserve">our findings </w:t>
      </w:r>
      <w:r w:rsidR="005D2F52">
        <w:t xml:space="preserve">support a </w:t>
      </w:r>
      <w:r w:rsidR="005D2F52">
        <w:t>negative</w:t>
      </w:r>
      <w:r w:rsidR="005D2F52">
        <w:t xml:space="preserve"> feedback loop</w:t>
      </w:r>
      <w:r w:rsidR="005D2F52" w:rsidRPr="005D2F52">
        <w:t xml:space="preserve"> </w:t>
      </w:r>
      <w:r w:rsidR="005D2F52">
        <w:t>initiated by high temperatures</w:t>
      </w:r>
      <w:r w:rsidR="005D2F52">
        <w:t xml:space="preserve"> </w:t>
      </w:r>
      <w:r w:rsidR="000903E9">
        <w:t>in which redox</w:t>
      </w:r>
      <w:r w:rsidR="005D2F52">
        <w:t xml:space="preserve"> imbalance and immune activation</w:t>
      </w:r>
      <w:r w:rsidR="005D2F52">
        <w:t xml:space="preserve"> disrupt microbiome composition</w:t>
      </w:r>
      <w:r w:rsidR="000736AF">
        <w:t>, likely</w:t>
      </w:r>
      <w:r w:rsidR="005D2F52">
        <w:t xml:space="preserve"> and </w:t>
      </w:r>
      <w:r w:rsidR="005D2F52">
        <w:t>promot</w:t>
      </w:r>
      <w:r w:rsidR="000736AF">
        <w:t>ing</w:t>
      </w:r>
      <w:r w:rsidR="005D2F52">
        <w:t xml:space="preserve"> inflammation.</w:t>
      </w:r>
      <w:r w:rsidR="005D2F52" w:rsidRPr="005D2F52">
        <w:t xml:space="preserve"> </w:t>
      </w:r>
      <w:r w:rsidR="005D2F52">
        <w:t xml:space="preserve">This </w:t>
      </w:r>
      <w:r w:rsidR="000903E9">
        <w:t xml:space="preserve">provides </w:t>
      </w:r>
      <w:r w:rsidR="000736AF">
        <w:t>compelling</w:t>
      </w:r>
      <w:r w:rsidR="000903E9">
        <w:t xml:space="preserve"> evidence that the capuchins experience periods of heat stress that may affect </w:t>
      </w:r>
      <w:r w:rsidR="000903E9">
        <w:t>long-ter</w:t>
      </w:r>
      <w:r w:rsidR="000736AF">
        <w:t>m</w:t>
      </w:r>
      <w:r w:rsidR="000903E9">
        <w:t xml:space="preserve"> health and fitness by increasing the risk of </w:t>
      </w:r>
      <w:r w:rsidR="000903E9">
        <w:t xml:space="preserve">chronic </w:t>
      </w:r>
      <w:r w:rsidR="000903E9">
        <w:t>inflammatory disease.</w:t>
      </w:r>
      <w:r w:rsidR="000736AF">
        <w:t xml:space="preserve"> This represents s</w:t>
      </w:r>
      <w:r w:rsidR="000736AF">
        <w:t>ome of the first evidence of microbiome-mediated heat stress in a wild population</w:t>
      </w:r>
      <w:r w:rsidR="000736AF">
        <w:t xml:space="preserve">. </w:t>
      </w:r>
      <w:r w:rsidR="0079795F">
        <w:t xml:space="preserve">These results are particularly concerning in our study population because white-faced capuchins in Northwestern Costa Rica are endemic to </w:t>
      </w:r>
      <w:r w:rsidR="000736AF">
        <w:t xml:space="preserve">highly seasonal </w:t>
      </w:r>
      <w:r w:rsidR="0079795F">
        <w:t xml:space="preserve">tropical dry forests and likely adapted to a wider temperature range than other topical </w:t>
      </w:r>
      <w:r w:rsidR="000736AF">
        <w:t>specialists</w:t>
      </w:r>
      <w:r w:rsidR="00F25F8E">
        <w:t xml:space="preserve"> </w:t>
      </w:r>
      <w:r w:rsidR="00F25F8E">
        <w:fldChar w:fldCharType="begin"/>
      </w:r>
      <w:r w:rsidR="00F25F8E">
        <w:instrText xml:space="preserve"> ADDIN ZOTERO_ITEM CSL_CITATION {"citationID":"xhoCHL1h","properties":{"formattedCitation":"(Campos &amp; Fedigan, 2009; Orkin et al., 2021)","plainCitation":"(Campos &amp; Fedigan, 2009; Orkin et al., 2021)","noteIndex":0},"citationItems":[{"id":545,"uris":["http://zotero.org/users/13901503/items/DK9CP8XR"],"itemData":{"id":545,"type":"article-journal","abstract":"We examined thermoregulatory behaviors in a wild population of white-faced capuchins (Cebus capucinus) inhabiting a highly seasonal dry forest in Santa Rosa National Park (SRNP), Costa Rica. The dry season in SRNP lasts </w:instrText>
      </w:r>
      <w:r w:rsidR="00F25F8E">
        <w:rPr>
          <w:rFonts w:ascii="Cambria Math" w:hAnsi="Cambria Math" w:cs="Cambria Math"/>
        </w:rPr>
        <w:instrText>∼</w:instrText>
      </w:r>
      <w:r w:rsidR="00F25F8E">
        <w:instrText xml:space="preserve">5 months and is characterized by high ambient temperatures regularly exceeding 37°C, low relative humidity, and the near absence of precipitation. This study demonstrates that capuchins rest more and travel shorter distances during the hottest and driest hours of the day, and suggests that they extend their tongues to lower body temperature via evaporative cooling. Seasonal weather patterns and group movement data reported here are based on 940 h of observations on three social groups of capuchins (wet season: 370 h, dry season: 570 h). In the dry season, the proportion of time spent resting increased at higher temperatures whereas the proportion of time spent traveling decreased. Distance traveled between location points taken at half-hour intervals decreased significantly as temperature increased, although the correlation was not strong. Capuchins exposed their tongues during hot, dry, windy conditions, and this behavior was much more frequent in the dry season. Temperature was significantly higher and humidity significantly lower for “tongue-out” events than expected for a random event in the dry season. Finally, as surface water became scarce, home-range areas of heavy use became increasingly centered on the remaining permanent water sources. These results suggest that heat stress and water scarcity are significant influences on the behavior of capuchins in hot, dry conditions. Am J Phys Anthropol, 2009. © 2008 Wiley-Liss, Inc.","container-title":"American Journal of Physical Anthropology","DOI":"10.1002/ajpa.20908","ISSN":"1096-8644","issue":"1","language":"en","license":"Copyright © 2008 Wiley-Liss, Inc.","note":"_eprint: https://onlinelibrary.wiley.com/doi/pdf/10.1002/ajpa.20908","page":"101-111","source":"Wiley Online Library","title":"Behavioral adaptations to heat stress and water scarcity in white-faced capuchins (Cebus capucinus) in Santa Rosa National Park, Costa Rica","volume":"138","author":[{"family":"Campos","given":"Fernando A."},{"family":"Fedigan","given":"Linda M."}],"issued":{"date-parts":[["2009"]]}}},{"id":131,"uris":["http://zotero.org/users/13901503/items/6ZVNXHEZ"],"itemData":{"id":131,"type":"article-journal","abstract":"Significance\n            Surviving challenging environments, living long lives, and engaging in complex cognitive processes are hallmark human characteristics. Similar traits have evolved in parallel in capuchin monkeys, but their genetic underpinnings remain unexplored. We developed and annotated a reference assembly for white-faced capuchin monkeys to explore the evolution of these phenotypes. By comparing populations of capuchins inhabiting rainforest versus dry forests with seasonal droughts, we detected selection in genes associated with kidney function, muscular wasting, and metabolism, suggesting adaptation to periodic resource scarcity. When comparing capuchins to other mammals, we identified evidence of selection in multiple genes implicated in longevity and brain development. Our research was facilitated by our method to generate high- and low-coverage genomes from noninvasive biomaterials.\n          , \n            \n              Ecological flexibility, extended lifespans, and large brains have long intrigued evolutionary biologists, and comparative genomics offers an efficient and effective tool for generating new insights into the evolution of such traits. Studies of capuchin monkeys are particularly well situated to shed light on the selective pressures and genetic underpinnings of local adaptation to diverse habitats, longevity, and brain development. Distributed widely across Central and South America, they are inventive and extractive foragers, known for their sensorimotor intelligence. Capuchins have among the largest relative brain size of any monkey and a lifespan that exceeds 50 y, despite their small (3 to 5 kg) body size. We assemble and annotate a de novo reference genome for\n              Cebus imitator\n              . Through high-depth sequencing of DNA derived from blood, various tissues, and feces via fluorescence-activated cell sorting (fecalFACS) to isolate monkey epithelial cells, we compared genomes of capuchin populations from tropical dry forests and lowland rainforests and identified population divergence in genes involved in water balance, kidney function, and metabolism. Through a comparative genomics approach spanning a wide diversity of mammals, we identified genes under positive selection associated with longevity and brain development. Additionally, we provide a technological advancement in the use of noninvasive genomics for studies of free-ranging mammals. Our intra- and interspecific comparative study of capuchin genomics provides insights into processes underlying local adaptation to diverse and physiologically challenging environments, as well as the molecular basis of brain evolution and longevity.","container-title":"Proceedings of the National Academy of Sciences","DOI":"10.1073/pnas.2010632118","ISSN":"0027-8424, 1091-6490","issue":"7","journalAbbreviation":"Proc. Natl. Acad. Sci. U.S.A.","language":"en","page":"e2010632118","source":"DOI.org (Crossref)","title":"The genomics of ecological flexibility, large brains, and long lives in capuchin monkeys revealed with fecalFACS","volume":"118","author":[{"family":"Orkin","given":"Joseph D."},{"family":"Montague","given":"Michael J."},{"family":"Tejada-Martinez","given":"Daniela"},{"family":"De Manuel","given":"Marc"},{"family":"Del Campo","given":"Javier"},{"family":"Cheves Hernandez","given":"Saul"},{"family":"Di Fiore","given":"Anthony"},{"family":"Fontsere","given":"Claudia"},{"family":"Hodgson","given":"Jason A."},{"family":"Janiak","given":"Mareike C."},{"family":"Kuderna","given":"Lukas F. K."},{"family":"Lizano","given":"Esther"},{"family":"Martin","given":"Maria Pia"},{"family":"Niimura","given":"Yoshihito"},{"family":"Perry","given":"George H."},{"family":"Valverde","given":"Carmen Soto"},{"family":"Tang","given":"Jia"},{"family":"Warren","given":"Wesley C."},{"family":"De Magalhães","given":"João Pedro"},{"family":"Kawamura","given":"Shoji"},{"family":"Marquès-Bonet","given":"Tomàs"},{"family":"Krawetz","given":"Roman"},{"family":"Melin","given":"Amanda D."}],"issued":{"date-parts":[["2021",2,16]]}}}],"schema":"https://github.com/citation-style-language/schema/raw/master/csl-citation.json"} </w:instrText>
      </w:r>
      <w:r w:rsidR="00F25F8E">
        <w:fldChar w:fldCharType="separate"/>
      </w:r>
      <w:r w:rsidR="00F25F8E">
        <w:rPr>
          <w:noProof/>
        </w:rPr>
        <w:t>(Campos &amp; Fedigan, 2009; Orkin et al., 2021)</w:t>
      </w:r>
      <w:r w:rsidR="00F25F8E">
        <w:fldChar w:fldCharType="end"/>
      </w:r>
      <w:r w:rsidR="000736AF">
        <w:t>.</w:t>
      </w:r>
      <w:r w:rsidR="00121EE2">
        <w:t xml:space="preserve"> </w:t>
      </w:r>
      <w:r w:rsidR="0079795F">
        <w:t xml:space="preserve">Therefore, it is likely that other </w:t>
      </w:r>
      <w:r w:rsidR="0079795F">
        <w:lastRenderedPageBreak/>
        <w:t xml:space="preserve">tropical species are experiencing longer periods and more </w:t>
      </w:r>
      <w:r w:rsidR="00121EE2">
        <w:t>severe</w:t>
      </w:r>
      <w:r w:rsidR="0079795F">
        <w:t xml:space="preserve"> consequences of heat</w:t>
      </w:r>
      <w:r w:rsidR="00440810">
        <w:t>-</w:t>
      </w:r>
      <w:r w:rsidR="0079795F">
        <w:t xml:space="preserve">induced </w:t>
      </w:r>
      <w:r w:rsidR="00121EE2">
        <w:t>disruptions to gut-immune homeostasis</w:t>
      </w:r>
      <w:r w:rsidR="0079795F">
        <w:t xml:space="preserve">. </w:t>
      </w:r>
      <w:r w:rsidR="00121EE2">
        <w:t>Future research should examine whether these patterns are unique to</w:t>
      </w:r>
      <w:r w:rsidR="00121EE2">
        <w:t xml:space="preserve"> white-faced</w:t>
      </w:r>
      <w:r w:rsidR="00121EE2">
        <w:t xml:space="preserve"> capuchins or reflect broader trends across tropical species. In addition, incorporating a wider range of gut immune biomarkers will be critical for evaluating how temperature influences different branches of immune function in relation to the gut microbiome.</w:t>
      </w:r>
    </w:p>
    <w:p w14:paraId="2F8F5D99" w14:textId="463F4BAC" w:rsidR="00527EAC" w:rsidRDefault="00527EAC" w:rsidP="004F7F03">
      <w:pPr>
        <w:pStyle w:val="NormalWeb"/>
      </w:pPr>
      <w:r>
        <w:t>Conclusion</w:t>
      </w:r>
      <w:r>
        <w:t xml:space="preserve">: </w:t>
      </w:r>
    </w:p>
    <w:p w14:paraId="406EEDD5" w14:textId="2E810CA0" w:rsidR="005F2147" w:rsidRDefault="00F858BA" w:rsidP="00A566A6">
      <w:r>
        <w:t>are likely seeing the some of the first consequences of heat stress medi</w:t>
      </w:r>
      <w:r w:rsidR="00154747">
        <w:t>a</w:t>
      </w:r>
      <w:r>
        <w:t>ted b</w:t>
      </w:r>
      <w:r>
        <w:t>y the gut microbiome!!!!!!!!!!</w:t>
      </w:r>
    </w:p>
    <w:p w14:paraId="0D876715" w14:textId="2930B64E" w:rsidR="00121EE2" w:rsidRDefault="00121EE2" w:rsidP="00A566A6">
      <w:r>
        <w:t>First time we’ve observed something like this in the wild!</w:t>
      </w:r>
    </w:p>
    <w:p w14:paraId="6D4C0BA9" w14:textId="77777777" w:rsidR="005F2147" w:rsidRDefault="005F2147" w:rsidP="00A566A6"/>
    <w:p w14:paraId="52244A1B" w14:textId="77777777" w:rsidR="005F2147" w:rsidRDefault="005F2147" w:rsidP="00A566A6"/>
    <w:p w14:paraId="7055E943" w14:textId="77777777" w:rsidR="005F2147" w:rsidRDefault="005F2147" w:rsidP="00A566A6"/>
    <w:p w14:paraId="50D20E94" w14:textId="77777777" w:rsidR="005F2147" w:rsidRDefault="005F2147" w:rsidP="00A566A6"/>
    <w:p w14:paraId="2732DD93" w14:textId="77777777" w:rsidR="005F2147" w:rsidRDefault="005F2147" w:rsidP="00A566A6"/>
    <w:p w14:paraId="58A29C54" w14:textId="77777777" w:rsidR="005F2147" w:rsidRDefault="005F2147" w:rsidP="00A566A6"/>
    <w:p w14:paraId="42EA7F91" w14:textId="77777777" w:rsidR="005F2147" w:rsidRDefault="005F2147" w:rsidP="00A566A6"/>
    <w:p w14:paraId="03AB9314" w14:textId="77777777" w:rsidR="005F2147" w:rsidRDefault="005F2147" w:rsidP="00A566A6"/>
    <w:p w14:paraId="7CCBB39C" w14:textId="77777777" w:rsidR="005F2147" w:rsidRDefault="005F2147" w:rsidP="00A566A6"/>
    <w:p w14:paraId="4709ED29" w14:textId="77777777" w:rsidR="005F2147" w:rsidRDefault="005F2147" w:rsidP="00A566A6"/>
    <w:p w14:paraId="303F7C34" w14:textId="77777777" w:rsidR="005F2147" w:rsidRDefault="005F2147" w:rsidP="00A566A6"/>
    <w:p w14:paraId="4484BD34" w14:textId="19DF8F9E" w:rsidR="005F2147" w:rsidRDefault="00F858BA" w:rsidP="00A566A6">
      <w:r>
        <w:t xml:space="preserve">Probably not going to include this: </w:t>
      </w:r>
    </w:p>
    <w:p w14:paraId="50577564" w14:textId="4054EDF2" w:rsidR="005F2147" w:rsidRDefault="00F858BA" w:rsidP="00A566A6">
      <w:r>
        <w:t xml:space="preserve">There are also indications that the gut microbiome may mount compensatory responses to counteract these effects and restore homeostasis. For example, we observe increased abundance of two known short-chain fatty acid (SCFA) producers, </w:t>
      </w:r>
      <w:proofErr w:type="spellStart"/>
      <w:r>
        <w:rPr>
          <w:rStyle w:val="Emphasis"/>
          <w:rFonts w:eastAsiaTheme="majorEastAsia"/>
        </w:rPr>
        <w:t>Phascolarctobacterium</w:t>
      </w:r>
      <w:proofErr w:type="spellEnd"/>
      <w:r>
        <w:t xml:space="preserve"> and </w:t>
      </w:r>
      <w:r>
        <w:rPr>
          <w:rStyle w:val="Emphasis"/>
          <w:rFonts w:eastAsiaTheme="majorEastAsia"/>
        </w:rPr>
        <w:t>Eubacterium</w:t>
      </w:r>
      <w:r>
        <w:t xml:space="preserve">, at high neopterin levels—possibly reflecting an attempt to promote anti-inflammatory signaling. In addition, we see upregulation of several redox maintenance pathways, including the synthesis of B vitamins, </w:t>
      </w:r>
      <w:proofErr w:type="spellStart"/>
      <w:r>
        <w:t>menaquinol</w:t>
      </w:r>
      <w:proofErr w:type="spellEnd"/>
      <w:r>
        <w:t>, and NADPH, which may represent microbial efforts to mitigate oxidative stress and disrupt the feedback loop between temperature, immune activation, and microbiome instability.</w:t>
      </w:r>
    </w:p>
    <w:p w14:paraId="123978EA" w14:textId="77777777" w:rsidR="00DF3959" w:rsidRDefault="00DF3959" w:rsidP="00DF3959"/>
    <w:p w14:paraId="08EA4FD5" w14:textId="41E056A4" w:rsidR="009933D0" w:rsidRDefault="009933D0" w:rsidP="00A566A6"/>
    <w:p w14:paraId="095576E3" w14:textId="77777777" w:rsidR="009933D0" w:rsidRDefault="009933D0" w:rsidP="00A566A6">
      <w:pPr>
        <w:rPr>
          <w:rStyle w:val="Emphasis"/>
          <w:i w:val="0"/>
          <w:iCs w:val="0"/>
        </w:rPr>
      </w:pPr>
    </w:p>
    <w:p w14:paraId="17308752" w14:textId="77777777" w:rsidR="009933D0" w:rsidRDefault="009933D0" w:rsidP="00A566A6">
      <w:pPr>
        <w:rPr>
          <w:rStyle w:val="Emphasis"/>
          <w:i w:val="0"/>
          <w:iCs w:val="0"/>
        </w:rPr>
      </w:pPr>
    </w:p>
    <w:p w14:paraId="6A1F0EA4" w14:textId="77777777" w:rsidR="009933D0" w:rsidRDefault="009933D0" w:rsidP="00A566A6"/>
    <w:p w14:paraId="0A68BB7B" w14:textId="77777777" w:rsidR="009933D0" w:rsidRDefault="009933D0" w:rsidP="00A566A6"/>
    <w:p w14:paraId="15F7B7BE" w14:textId="77777777" w:rsidR="009933D0" w:rsidRDefault="009933D0" w:rsidP="00A566A6"/>
    <w:p w14:paraId="4480B9C5" w14:textId="77777777" w:rsidR="009933D0" w:rsidRDefault="009933D0" w:rsidP="00A566A6"/>
    <w:p w14:paraId="1BFC2E8F" w14:textId="77777777" w:rsidR="009933D0" w:rsidRDefault="009933D0" w:rsidP="00A566A6"/>
    <w:p w14:paraId="55AAB786" w14:textId="77777777" w:rsidR="00E53931" w:rsidRDefault="00E53931" w:rsidP="00A566A6"/>
    <w:p w14:paraId="3400E31A" w14:textId="53ED7B14" w:rsidR="00A566A6" w:rsidRDefault="00A566A6" w:rsidP="00A566A6"/>
    <w:p w14:paraId="551A5EC5" w14:textId="77777777" w:rsidR="00A566A6" w:rsidRDefault="00A566A6"/>
    <w:sectPr w:rsidR="00A566A6" w:rsidSect="000365B2">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ucore, Jordan" w:date="2025-05-29T11:08:00Z" w:initials="JL">
    <w:p w14:paraId="0FDCA4D8" w14:textId="77777777" w:rsidR="003B549A" w:rsidRDefault="003B549A" w:rsidP="003B549A">
      <w:r>
        <w:rPr>
          <w:rStyle w:val="CommentReference"/>
        </w:rPr>
        <w:annotationRef/>
      </w:r>
      <w:r>
        <w:rPr>
          <w:color w:val="000000"/>
          <w:sz w:val="20"/>
          <w:szCs w:val="20"/>
        </w:rPr>
        <w:t>not happy with this, needs to be rewritten and maybe brought back to host health</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FDCA4D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8E001A8" w16cex:dateUtc="2025-05-29T15: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FDCA4D8" w16cid:durableId="18E001A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altName w:val="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23EA4"/>
    <w:multiLevelType w:val="hybridMultilevel"/>
    <w:tmpl w:val="C4DE32F2"/>
    <w:lvl w:ilvl="0" w:tplc="481E157A">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2922CEF"/>
    <w:multiLevelType w:val="hybridMultilevel"/>
    <w:tmpl w:val="522A7B66"/>
    <w:lvl w:ilvl="0" w:tplc="481E157A">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96237348">
    <w:abstractNumId w:val="1"/>
  </w:num>
  <w:num w:numId="2" w16cid:durableId="54999897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core, Jordan">
    <w15:presenceInfo w15:providerId="AD" w15:userId="S::jlucore@umich.edu::2b7f0ac7-c137-4b2e-b3ae-7bee2b60824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62"/>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66A6"/>
    <w:rsid w:val="0001418D"/>
    <w:rsid w:val="00031DA9"/>
    <w:rsid w:val="00033DF6"/>
    <w:rsid w:val="000365B2"/>
    <w:rsid w:val="00036A73"/>
    <w:rsid w:val="00041BF4"/>
    <w:rsid w:val="00041D3D"/>
    <w:rsid w:val="000736AF"/>
    <w:rsid w:val="00074A66"/>
    <w:rsid w:val="00075948"/>
    <w:rsid w:val="000903E9"/>
    <w:rsid w:val="000A35B4"/>
    <w:rsid w:val="000A5FCD"/>
    <w:rsid w:val="000B204C"/>
    <w:rsid w:val="000C50E7"/>
    <w:rsid w:val="000F177E"/>
    <w:rsid w:val="000F7130"/>
    <w:rsid w:val="00104556"/>
    <w:rsid w:val="0011185D"/>
    <w:rsid w:val="00121EE2"/>
    <w:rsid w:val="00136BD0"/>
    <w:rsid w:val="00154747"/>
    <w:rsid w:val="00164DAE"/>
    <w:rsid w:val="001A50AD"/>
    <w:rsid w:val="001D5B6D"/>
    <w:rsid w:val="001F5E6F"/>
    <w:rsid w:val="00223596"/>
    <w:rsid w:val="00251D4B"/>
    <w:rsid w:val="00280546"/>
    <w:rsid w:val="00285DF4"/>
    <w:rsid w:val="002A0BFD"/>
    <w:rsid w:val="002A1D45"/>
    <w:rsid w:val="002A4D1E"/>
    <w:rsid w:val="002A5ADA"/>
    <w:rsid w:val="002B6A18"/>
    <w:rsid w:val="002C2FBC"/>
    <w:rsid w:val="002D093F"/>
    <w:rsid w:val="002F03A2"/>
    <w:rsid w:val="002F10EE"/>
    <w:rsid w:val="00313F54"/>
    <w:rsid w:val="003253D7"/>
    <w:rsid w:val="00333F2D"/>
    <w:rsid w:val="003340EB"/>
    <w:rsid w:val="00337EBD"/>
    <w:rsid w:val="00356083"/>
    <w:rsid w:val="003563E7"/>
    <w:rsid w:val="00366E63"/>
    <w:rsid w:val="003762F9"/>
    <w:rsid w:val="00396018"/>
    <w:rsid w:val="00396322"/>
    <w:rsid w:val="0039706F"/>
    <w:rsid w:val="003B41F3"/>
    <w:rsid w:val="003B549A"/>
    <w:rsid w:val="003D142F"/>
    <w:rsid w:val="003D2BD5"/>
    <w:rsid w:val="00405DE3"/>
    <w:rsid w:val="004210A7"/>
    <w:rsid w:val="00440810"/>
    <w:rsid w:val="004477FD"/>
    <w:rsid w:val="00451FA9"/>
    <w:rsid w:val="00462EB7"/>
    <w:rsid w:val="004738C3"/>
    <w:rsid w:val="004A3F7C"/>
    <w:rsid w:val="004B35E1"/>
    <w:rsid w:val="004B4A97"/>
    <w:rsid w:val="004C76DC"/>
    <w:rsid w:val="004D0329"/>
    <w:rsid w:val="004E6AED"/>
    <w:rsid w:val="004F7F03"/>
    <w:rsid w:val="00502B08"/>
    <w:rsid w:val="00527EAC"/>
    <w:rsid w:val="005359E0"/>
    <w:rsid w:val="005551F2"/>
    <w:rsid w:val="0056063C"/>
    <w:rsid w:val="00573F59"/>
    <w:rsid w:val="005B1580"/>
    <w:rsid w:val="005D2F52"/>
    <w:rsid w:val="005D3CD6"/>
    <w:rsid w:val="005F2147"/>
    <w:rsid w:val="00607ACC"/>
    <w:rsid w:val="00613EEE"/>
    <w:rsid w:val="0062146A"/>
    <w:rsid w:val="00660882"/>
    <w:rsid w:val="00686DA4"/>
    <w:rsid w:val="006915F0"/>
    <w:rsid w:val="006B0A27"/>
    <w:rsid w:val="006C6B04"/>
    <w:rsid w:val="006D09B6"/>
    <w:rsid w:val="006D3E98"/>
    <w:rsid w:val="006E42D6"/>
    <w:rsid w:val="00705F6A"/>
    <w:rsid w:val="00707EA7"/>
    <w:rsid w:val="007246CF"/>
    <w:rsid w:val="00731350"/>
    <w:rsid w:val="00731AC9"/>
    <w:rsid w:val="00735E90"/>
    <w:rsid w:val="007445E7"/>
    <w:rsid w:val="0074666C"/>
    <w:rsid w:val="00746DBF"/>
    <w:rsid w:val="00751AB7"/>
    <w:rsid w:val="00752B2B"/>
    <w:rsid w:val="00767F97"/>
    <w:rsid w:val="00785266"/>
    <w:rsid w:val="00786060"/>
    <w:rsid w:val="00786945"/>
    <w:rsid w:val="0079795F"/>
    <w:rsid w:val="007A3F4A"/>
    <w:rsid w:val="007A6840"/>
    <w:rsid w:val="007B10D4"/>
    <w:rsid w:val="007B7E5F"/>
    <w:rsid w:val="007C2897"/>
    <w:rsid w:val="007E3A24"/>
    <w:rsid w:val="007E4ADB"/>
    <w:rsid w:val="007F0703"/>
    <w:rsid w:val="007F60C5"/>
    <w:rsid w:val="0081413B"/>
    <w:rsid w:val="00821E2E"/>
    <w:rsid w:val="008368BF"/>
    <w:rsid w:val="008631EB"/>
    <w:rsid w:val="00890A08"/>
    <w:rsid w:val="0089345D"/>
    <w:rsid w:val="008A5CA6"/>
    <w:rsid w:val="008B0DD4"/>
    <w:rsid w:val="008B21F4"/>
    <w:rsid w:val="008C1D80"/>
    <w:rsid w:val="008D06A2"/>
    <w:rsid w:val="008D4403"/>
    <w:rsid w:val="008F1008"/>
    <w:rsid w:val="008F7C1B"/>
    <w:rsid w:val="0091179A"/>
    <w:rsid w:val="00912B8D"/>
    <w:rsid w:val="00961BEF"/>
    <w:rsid w:val="009647C8"/>
    <w:rsid w:val="00976E8A"/>
    <w:rsid w:val="00985EFB"/>
    <w:rsid w:val="009933D0"/>
    <w:rsid w:val="0099486B"/>
    <w:rsid w:val="009A701C"/>
    <w:rsid w:val="009C62EC"/>
    <w:rsid w:val="009E0836"/>
    <w:rsid w:val="009E0914"/>
    <w:rsid w:val="009F2D85"/>
    <w:rsid w:val="009F4D51"/>
    <w:rsid w:val="009F7C82"/>
    <w:rsid w:val="00A05629"/>
    <w:rsid w:val="00A41196"/>
    <w:rsid w:val="00A46A10"/>
    <w:rsid w:val="00A566A6"/>
    <w:rsid w:val="00A57B5F"/>
    <w:rsid w:val="00A7049B"/>
    <w:rsid w:val="00A92CBF"/>
    <w:rsid w:val="00AA354D"/>
    <w:rsid w:val="00AA501D"/>
    <w:rsid w:val="00AB74C6"/>
    <w:rsid w:val="00AD19D6"/>
    <w:rsid w:val="00B13641"/>
    <w:rsid w:val="00B2665D"/>
    <w:rsid w:val="00B36108"/>
    <w:rsid w:val="00B74D78"/>
    <w:rsid w:val="00B902F7"/>
    <w:rsid w:val="00BD1D04"/>
    <w:rsid w:val="00BE1B72"/>
    <w:rsid w:val="00BE33CE"/>
    <w:rsid w:val="00BF1C3C"/>
    <w:rsid w:val="00C0086F"/>
    <w:rsid w:val="00C24FA0"/>
    <w:rsid w:val="00C5576E"/>
    <w:rsid w:val="00C61B69"/>
    <w:rsid w:val="00C83F85"/>
    <w:rsid w:val="00C846AF"/>
    <w:rsid w:val="00CB1E1C"/>
    <w:rsid w:val="00CC56CB"/>
    <w:rsid w:val="00CD5022"/>
    <w:rsid w:val="00CE20EC"/>
    <w:rsid w:val="00CF4D2C"/>
    <w:rsid w:val="00D01117"/>
    <w:rsid w:val="00D04663"/>
    <w:rsid w:val="00D15F03"/>
    <w:rsid w:val="00D56B87"/>
    <w:rsid w:val="00D763E3"/>
    <w:rsid w:val="00D7704C"/>
    <w:rsid w:val="00D847BF"/>
    <w:rsid w:val="00D85E24"/>
    <w:rsid w:val="00D93425"/>
    <w:rsid w:val="00D93EDA"/>
    <w:rsid w:val="00D95B6A"/>
    <w:rsid w:val="00DA75AD"/>
    <w:rsid w:val="00DB7C94"/>
    <w:rsid w:val="00DF3959"/>
    <w:rsid w:val="00E32F77"/>
    <w:rsid w:val="00E356F2"/>
    <w:rsid w:val="00E42C53"/>
    <w:rsid w:val="00E51125"/>
    <w:rsid w:val="00E53931"/>
    <w:rsid w:val="00E55287"/>
    <w:rsid w:val="00E57724"/>
    <w:rsid w:val="00E57C21"/>
    <w:rsid w:val="00E82160"/>
    <w:rsid w:val="00E822F4"/>
    <w:rsid w:val="00E96E2C"/>
    <w:rsid w:val="00EF58C4"/>
    <w:rsid w:val="00F25F8E"/>
    <w:rsid w:val="00F45F95"/>
    <w:rsid w:val="00F53032"/>
    <w:rsid w:val="00F60603"/>
    <w:rsid w:val="00F663FF"/>
    <w:rsid w:val="00F80F43"/>
    <w:rsid w:val="00F858BA"/>
    <w:rsid w:val="00F865AD"/>
    <w:rsid w:val="00FA1AA6"/>
    <w:rsid w:val="00FA5279"/>
    <w:rsid w:val="00FA5C99"/>
    <w:rsid w:val="00FC7394"/>
    <w:rsid w:val="00FE5B3B"/>
    <w:rsid w:val="00FF2FEF"/>
    <w:rsid w:val="00FF73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D997A7C"/>
  <w15:chartTrackingRefBased/>
  <w15:docId w15:val="{F1E0777F-C21B-B541-979D-696D774D37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66A6"/>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A566A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566A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566A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566A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566A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566A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66A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66A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66A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66A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566A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566A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566A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566A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566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66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66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66A6"/>
    <w:rPr>
      <w:rFonts w:eastAsiaTheme="majorEastAsia" w:cstheme="majorBidi"/>
      <w:color w:val="272727" w:themeColor="text1" w:themeTint="D8"/>
    </w:rPr>
  </w:style>
  <w:style w:type="paragraph" w:styleId="Title">
    <w:name w:val="Title"/>
    <w:basedOn w:val="Normal"/>
    <w:next w:val="Normal"/>
    <w:link w:val="TitleChar"/>
    <w:uiPriority w:val="10"/>
    <w:qFormat/>
    <w:rsid w:val="00A566A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66A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566A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66A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566A6"/>
    <w:pPr>
      <w:spacing w:before="160"/>
      <w:jc w:val="center"/>
    </w:pPr>
    <w:rPr>
      <w:i/>
      <w:iCs/>
      <w:color w:val="404040" w:themeColor="text1" w:themeTint="BF"/>
    </w:rPr>
  </w:style>
  <w:style w:type="character" w:customStyle="1" w:styleId="QuoteChar">
    <w:name w:val="Quote Char"/>
    <w:basedOn w:val="DefaultParagraphFont"/>
    <w:link w:val="Quote"/>
    <w:uiPriority w:val="29"/>
    <w:rsid w:val="00A566A6"/>
    <w:rPr>
      <w:i/>
      <w:iCs/>
      <w:color w:val="404040" w:themeColor="text1" w:themeTint="BF"/>
    </w:rPr>
  </w:style>
  <w:style w:type="paragraph" w:styleId="ListParagraph">
    <w:name w:val="List Paragraph"/>
    <w:basedOn w:val="Normal"/>
    <w:uiPriority w:val="34"/>
    <w:qFormat/>
    <w:rsid w:val="00A566A6"/>
    <w:pPr>
      <w:ind w:left="720"/>
      <w:contextualSpacing/>
    </w:pPr>
  </w:style>
  <w:style w:type="character" w:styleId="IntenseEmphasis">
    <w:name w:val="Intense Emphasis"/>
    <w:basedOn w:val="DefaultParagraphFont"/>
    <w:uiPriority w:val="21"/>
    <w:qFormat/>
    <w:rsid w:val="00A566A6"/>
    <w:rPr>
      <w:i/>
      <w:iCs/>
      <w:color w:val="0F4761" w:themeColor="accent1" w:themeShade="BF"/>
    </w:rPr>
  </w:style>
  <w:style w:type="paragraph" w:styleId="IntenseQuote">
    <w:name w:val="Intense Quote"/>
    <w:basedOn w:val="Normal"/>
    <w:next w:val="Normal"/>
    <w:link w:val="IntenseQuoteChar"/>
    <w:uiPriority w:val="30"/>
    <w:qFormat/>
    <w:rsid w:val="00A566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566A6"/>
    <w:rPr>
      <w:i/>
      <w:iCs/>
      <w:color w:val="0F4761" w:themeColor="accent1" w:themeShade="BF"/>
    </w:rPr>
  </w:style>
  <w:style w:type="character" w:styleId="IntenseReference">
    <w:name w:val="Intense Reference"/>
    <w:basedOn w:val="DefaultParagraphFont"/>
    <w:uiPriority w:val="32"/>
    <w:qFormat/>
    <w:rsid w:val="00A566A6"/>
    <w:rPr>
      <w:b/>
      <w:bCs/>
      <w:smallCaps/>
      <w:color w:val="0F4761" w:themeColor="accent1" w:themeShade="BF"/>
      <w:spacing w:val="5"/>
    </w:rPr>
  </w:style>
  <w:style w:type="character" w:styleId="Emphasis">
    <w:name w:val="Emphasis"/>
    <w:basedOn w:val="DefaultParagraphFont"/>
    <w:uiPriority w:val="20"/>
    <w:qFormat/>
    <w:rsid w:val="00A566A6"/>
    <w:rPr>
      <w:i/>
      <w:iCs/>
    </w:rPr>
  </w:style>
  <w:style w:type="character" w:styleId="CommentReference">
    <w:name w:val="annotation reference"/>
    <w:basedOn w:val="DefaultParagraphFont"/>
    <w:uiPriority w:val="99"/>
    <w:semiHidden/>
    <w:unhideWhenUsed/>
    <w:rsid w:val="00C83F85"/>
    <w:rPr>
      <w:sz w:val="16"/>
      <w:szCs w:val="16"/>
    </w:rPr>
  </w:style>
  <w:style w:type="paragraph" w:styleId="NormalWeb">
    <w:name w:val="Normal (Web)"/>
    <w:basedOn w:val="Normal"/>
    <w:uiPriority w:val="99"/>
    <w:unhideWhenUsed/>
    <w:rsid w:val="00A7049B"/>
    <w:pPr>
      <w:spacing w:before="100" w:beforeAutospacing="1" w:after="100" w:afterAutospacing="1"/>
    </w:pPr>
  </w:style>
  <w:style w:type="character" w:styleId="Strong">
    <w:name w:val="Strong"/>
    <w:basedOn w:val="DefaultParagraphFont"/>
    <w:uiPriority w:val="22"/>
    <w:qFormat/>
    <w:rsid w:val="00A7049B"/>
    <w:rPr>
      <w:b/>
      <w:bCs/>
    </w:rPr>
  </w:style>
  <w:style w:type="paragraph" w:styleId="CommentText">
    <w:name w:val="annotation text"/>
    <w:basedOn w:val="Normal"/>
    <w:link w:val="CommentTextChar"/>
    <w:uiPriority w:val="99"/>
    <w:semiHidden/>
    <w:unhideWhenUsed/>
    <w:rsid w:val="003B549A"/>
    <w:rPr>
      <w:sz w:val="20"/>
      <w:szCs w:val="20"/>
    </w:rPr>
  </w:style>
  <w:style w:type="character" w:customStyle="1" w:styleId="CommentTextChar">
    <w:name w:val="Comment Text Char"/>
    <w:basedOn w:val="DefaultParagraphFont"/>
    <w:link w:val="CommentText"/>
    <w:uiPriority w:val="99"/>
    <w:semiHidden/>
    <w:rsid w:val="003B549A"/>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3B549A"/>
    <w:rPr>
      <w:b/>
      <w:bCs/>
    </w:rPr>
  </w:style>
  <w:style w:type="character" w:customStyle="1" w:styleId="CommentSubjectChar">
    <w:name w:val="Comment Subject Char"/>
    <w:basedOn w:val="CommentTextChar"/>
    <w:link w:val="CommentSubject"/>
    <w:uiPriority w:val="99"/>
    <w:semiHidden/>
    <w:rsid w:val="003B549A"/>
    <w:rPr>
      <w:rFonts w:ascii="Times New Roman" w:eastAsia="Times New Roman" w:hAnsi="Times New Roman" w:cs="Times New Roma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654617">
      <w:bodyDiv w:val="1"/>
      <w:marLeft w:val="0"/>
      <w:marRight w:val="0"/>
      <w:marTop w:val="0"/>
      <w:marBottom w:val="0"/>
      <w:divBdr>
        <w:top w:val="none" w:sz="0" w:space="0" w:color="auto"/>
        <w:left w:val="none" w:sz="0" w:space="0" w:color="auto"/>
        <w:bottom w:val="none" w:sz="0" w:space="0" w:color="auto"/>
        <w:right w:val="none" w:sz="0" w:space="0" w:color="auto"/>
      </w:divBdr>
      <w:divsChild>
        <w:div w:id="615253946">
          <w:marLeft w:val="0"/>
          <w:marRight w:val="0"/>
          <w:marTop w:val="0"/>
          <w:marBottom w:val="0"/>
          <w:divBdr>
            <w:top w:val="none" w:sz="0" w:space="0" w:color="auto"/>
            <w:left w:val="none" w:sz="0" w:space="0" w:color="auto"/>
            <w:bottom w:val="none" w:sz="0" w:space="0" w:color="auto"/>
            <w:right w:val="none" w:sz="0" w:space="0" w:color="auto"/>
          </w:divBdr>
        </w:div>
      </w:divsChild>
    </w:div>
    <w:div w:id="1010447622">
      <w:bodyDiv w:val="1"/>
      <w:marLeft w:val="0"/>
      <w:marRight w:val="0"/>
      <w:marTop w:val="0"/>
      <w:marBottom w:val="0"/>
      <w:divBdr>
        <w:top w:val="none" w:sz="0" w:space="0" w:color="auto"/>
        <w:left w:val="none" w:sz="0" w:space="0" w:color="auto"/>
        <w:bottom w:val="none" w:sz="0" w:space="0" w:color="auto"/>
        <w:right w:val="none" w:sz="0" w:space="0" w:color="auto"/>
      </w:divBdr>
    </w:div>
    <w:div w:id="1055393972">
      <w:bodyDiv w:val="1"/>
      <w:marLeft w:val="0"/>
      <w:marRight w:val="0"/>
      <w:marTop w:val="0"/>
      <w:marBottom w:val="0"/>
      <w:divBdr>
        <w:top w:val="none" w:sz="0" w:space="0" w:color="auto"/>
        <w:left w:val="none" w:sz="0" w:space="0" w:color="auto"/>
        <w:bottom w:val="none" w:sz="0" w:space="0" w:color="auto"/>
        <w:right w:val="none" w:sz="0" w:space="0" w:color="auto"/>
      </w:divBdr>
      <w:divsChild>
        <w:div w:id="127521306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1071</TotalTime>
  <Pages>9</Pages>
  <Words>26474</Words>
  <Characters>150905</Characters>
  <Application>Microsoft Office Word</Application>
  <DocSecurity>0</DocSecurity>
  <Lines>1257</Lines>
  <Paragraphs>354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Lucore, Jordan</dc:creator>
  <cp:keywords/>
  <dc:description/>
  <cp:lastModifiedBy>Lucore, Jordan</cp:lastModifiedBy>
  <cp:revision>110</cp:revision>
  <dcterms:created xsi:type="dcterms:W3CDTF">2025-05-23T17:04:00Z</dcterms:created>
  <dcterms:modified xsi:type="dcterms:W3CDTF">2025-05-29T20:36:00Z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id="30J91o74"/&gt;&lt;style id="http://www.zotero.org/styles/apa" locale="en-US" hasBibliography="1" bibliographyStyleHasBeenSet="0"/&gt;&lt;prefs&gt;&lt;pref name="fieldType" value="Field"/&gt;&lt;/prefs&gt;&lt;/data&gt;</vt:lpwstr>
  </property>
</Properties>
</file>