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0465D8" w14:textId="77777777" w:rsidR="004A63B5" w:rsidRDefault="004A63B5" w:rsidP="004A63B5">
      <w:r>
        <w:t>Results:</w:t>
      </w:r>
    </w:p>
    <w:p w14:paraId="012CA00B" w14:textId="151FE431" w:rsidR="004A63B5" w:rsidRDefault="004A63B5" w:rsidP="004A63B5">
      <w:pPr>
        <w:rPr>
          <w:u w:val="single"/>
        </w:rPr>
      </w:pPr>
      <w:r w:rsidRPr="00AE374C">
        <w:rPr>
          <w:u w:val="single"/>
        </w:rPr>
        <w:t>Gut microbiome</w:t>
      </w:r>
      <w:r w:rsidR="006540E8">
        <w:rPr>
          <w:u w:val="single"/>
        </w:rPr>
        <w:t xml:space="preserve"> taxonomic and </w:t>
      </w:r>
      <w:r w:rsidR="002A13F0">
        <w:rPr>
          <w:u w:val="single"/>
        </w:rPr>
        <w:t xml:space="preserve">metabolic </w:t>
      </w:r>
      <w:r w:rsidR="006540E8">
        <w:rPr>
          <w:u w:val="single"/>
        </w:rPr>
        <w:t>functional</w:t>
      </w:r>
      <w:r w:rsidRPr="00AE374C">
        <w:rPr>
          <w:u w:val="single"/>
        </w:rPr>
        <w:t xml:space="preserve"> composition is </w:t>
      </w:r>
      <w:r>
        <w:rPr>
          <w:u w:val="single"/>
        </w:rPr>
        <w:t>related to temperature</w:t>
      </w:r>
    </w:p>
    <w:p w14:paraId="1B439849" w14:textId="219E63A5" w:rsidR="00991E79" w:rsidRPr="00991E79" w:rsidRDefault="00991E79" w:rsidP="004A63B5">
      <w:r w:rsidRPr="00991E79">
        <w:rPr>
          <w:i/>
          <w:iCs/>
        </w:rPr>
        <w:t>Community-level</w:t>
      </w:r>
      <w:r>
        <w:rPr>
          <w:i/>
          <w:iCs/>
        </w:rPr>
        <w:t xml:space="preserve"> results</w:t>
      </w:r>
    </w:p>
    <w:p w14:paraId="1766F4BC" w14:textId="37D802B2" w:rsidR="00F74175" w:rsidRDefault="004A63B5" w:rsidP="002B4F37">
      <w:pPr>
        <w:ind w:firstLine="720"/>
      </w:pPr>
      <w:r w:rsidRPr="00B63283">
        <w:rPr>
          <w:highlight w:val="yellow"/>
        </w:rPr>
        <w:t>We found a strong relationship between temperature and the gut microbiome on the community level</w:t>
      </w:r>
      <w:r w:rsidR="00C33EE4" w:rsidRPr="00B63283">
        <w:rPr>
          <w:highlight w:val="yellow"/>
        </w:rPr>
        <w:t xml:space="preserve"> as well as across individual taxa and functional pathways</w:t>
      </w:r>
      <w:r w:rsidRPr="00B63283">
        <w:rPr>
          <w:highlight w:val="yellow"/>
        </w:rPr>
        <w:t>.</w:t>
      </w:r>
      <w:r>
        <w:t xml:space="preserve"> </w:t>
      </w:r>
      <w:r w:rsidR="00B63283">
        <w:t xml:space="preserve">(Change to just focus on beta/alpha diversity) </w:t>
      </w:r>
      <w:r>
        <w:t>To assess th</w:t>
      </w:r>
      <w:r w:rsidR="00C33EE4">
        <w:t>is relationship</w:t>
      </w:r>
      <w:r w:rsidR="006540E8">
        <w:t xml:space="preserve">, </w:t>
      </w:r>
      <w:r w:rsidR="00C33EE4">
        <w:t xml:space="preserve">we compared a baseline model that accounted for known predictors of microbiome composition (sex, social group, diet, and season) to a model that included both the baseline predictors and temperature. </w:t>
      </w:r>
      <w:r w:rsidR="00573A64">
        <w:t xml:space="preserve">For taxonomic </w:t>
      </w:r>
      <w:r w:rsidR="006540E8">
        <w:t xml:space="preserve">community </w:t>
      </w:r>
      <w:r w:rsidR="00573A64">
        <w:t>composition, t</w:t>
      </w:r>
      <w:r w:rsidR="00C33EE4">
        <w:t xml:space="preserve">he temperature model was the best fit for all community-level indices, accounting for 100% of the model weight for all </w:t>
      </w:r>
      <w:r w:rsidR="002B4F37">
        <w:t xml:space="preserve">principal component axes and </w:t>
      </w:r>
      <w:r w:rsidR="00C33EE4">
        <w:t>alpha diversity metrics, except for Simpson diversity, where it accounted for 60% of the model weight</w:t>
      </w:r>
      <w:r w:rsidR="00573A64">
        <w:t xml:space="preserve"> (Fig 1B)</w:t>
      </w:r>
      <w:r w:rsidR="00C33EE4">
        <w:t xml:space="preserve">. All three alpha diversity indices show a reliable negative relationship with temperature (Shannon </w:t>
      </w:r>
      <w:r w:rsidR="00C33EE4" w:rsidRPr="00887114">
        <w:t>β</w:t>
      </w:r>
      <w:r w:rsidR="00C33EE4">
        <w:rPr>
          <w:vertAlign w:val="subscript"/>
        </w:rPr>
        <w:t>temp</w:t>
      </w:r>
      <w:r w:rsidR="00C33EE4">
        <w:t xml:space="preserve"> = -0.49, Observed </w:t>
      </w:r>
      <w:r w:rsidR="00C33EE4" w:rsidRPr="00887114">
        <w:t>β</w:t>
      </w:r>
      <w:r w:rsidR="00C33EE4">
        <w:rPr>
          <w:vertAlign w:val="subscript"/>
        </w:rPr>
        <w:t>temp</w:t>
      </w:r>
      <w:r w:rsidR="00C33EE4">
        <w:t xml:space="preserve"> = -0.49, Simpson </w:t>
      </w:r>
      <w:r w:rsidR="00C33EE4" w:rsidRPr="00887114">
        <w:t>β</w:t>
      </w:r>
      <w:r w:rsidR="00C33EE4">
        <w:rPr>
          <w:vertAlign w:val="subscript"/>
        </w:rPr>
        <w:t>temp</w:t>
      </w:r>
      <w:r w:rsidR="00C33EE4">
        <w:t xml:space="preserve"> = -0.18)(Fig 1</w:t>
      </w:r>
      <w:r w:rsidR="00573A64">
        <w:t>A</w:t>
      </w:r>
      <w:r w:rsidR="00C33EE4">
        <w:t xml:space="preserve">), although the effect size for Simpson’s diversity is smaller than that of Shannon’s diversity </w:t>
      </w:r>
      <w:r w:rsidR="002B4F37">
        <w:t xml:space="preserve">and </w:t>
      </w:r>
      <w:r w:rsidR="00C33EE4">
        <w:t xml:space="preserve">Observed ASV’s. </w:t>
      </w:r>
      <w:r>
        <w:t xml:space="preserve">Even though the effect size for </w:t>
      </w:r>
      <w:r w:rsidR="00573A64">
        <w:t xml:space="preserve">all </w:t>
      </w:r>
      <w:r>
        <w:t>alpha diversity indices is smaller compared to the principal components, alpha diversity reliably declines with increasing temperatures (Fig 2). Since Shannon’s</w:t>
      </w:r>
      <w:r w:rsidR="00573A64">
        <w:t xml:space="preserve"> and Simpson’s</w:t>
      </w:r>
      <w:r>
        <w:t xml:space="preserve"> diversity account for community evenness and observed richness reflects the total number of ASV’s, this suggests that higher temperatures are associated with reductions in both overall levels of </w:t>
      </w:r>
      <w:r w:rsidR="00573A64">
        <w:t xml:space="preserve">taxonomic </w:t>
      </w:r>
      <w:r>
        <w:t>diversity and evenness.</w:t>
      </w:r>
      <w:r w:rsidR="00756D1C">
        <w:t xml:space="preserve"> </w:t>
      </w:r>
      <w:r w:rsidR="00756D1C" w:rsidRPr="00756D1C">
        <w:rPr>
          <w:highlight w:val="yellow"/>
        </w:rPr>
        <w:t xml:space="preserve">Line in here that beta diversity indicates that there is a change in individual taxa associated with heat </w:t>
      </w:r>
      <w:proofErr w:type="spellStart"/>
      <w:r w:rsidR="00756D1C" w:rsidRPr="00756D1C">
        <w:rPr>
          <w:highlight w:val="yellow"/>
        </w:rPr>
        <w:t>dirving</w:t>
      </w:r>
      <w:proofErr w:type="spellEnd"/>
      <w:r w:rsidR="00756D1C" w:rsidRPr="00756D1C">
        <w:rPr>
          <w:highlight w:val="yellow"/>
        </w:rPr>
        <w:t xml:space="preserve"> change in beta </w:t>
      </w:r>
      <w:proofErr w:type="spellStart"/>
      <w:r w:rsidR="00756D1C" w:rsidRPr="00756D1C">
        <w:rPr>
          <w:highlight w:val="yellow"/>
        </w:rPr>
        <w:t>diversit</w:t>
      </w:r>
      <w:proofErr w:type="spellEnd"/>
      <w:r>
        <w:t xml:space="preserve"> </w:t>
      </w:r>
    </w:p>
    <w:p w14:paraId="6B7CDD2E" w14:textId="2D160F92" w:rsidR="009C44B9" w:rsidRDefault="006B2153" w:rsidP="009C44B9">
      <w:pPr>
        <w:ind w:firstLine="720"/>
      </w:pPr>
      <w:r>
        <w:t xml:space="preserve">For community-level </w:t>
      </w:r>
      <w:r w:rsidR="00506A58">
        <w:t xml:space="preserve">metabolic </w:t>
      </w:r>
      <w:r>
        <w:t>functional composition, the temperature model was the best fit for</w:t>
      </w:r>
      <w:r w:rsidR="00F74175">
        <w:t xml:space="preserve"> all</w:t>
      </w:r>
      <w:r>
        <w:t xml:space="preserve"> three principal component axes and the total number of observed pathways, accounting for over 96% of the model weight. In contrast, for Shannon</w:t>
      </w:r>
      <w:r w:rsidR="002B4F37">
        <w:t>’s</w:t>
      </w:r>
      <w:r>
        <w:t xml:space="preserve"> and Simpson</w:t>
      </w:r>
      <w:r w:rsidR="00F74175">
        <w:t>’s</w:t>
      </w:r>
      <w:r>
        <w:t xml:space="preserve"> diversity, the baseline model was the best fit, accounting for more than 76% of the model weight (Fig. 1D). These results indicate that temperature is reliably associated with functional beta diversity but its relationship with functional alpha diversity is less clear.</w:t>
      </w:r>
      <w:r w:rsidR="00F74175">
        <w:t xml:space="preserve"> T</w:t>
      </w:r>
      <w:r>
        <w:t xml:space="preserve">emperature shows a negative association with the total number of unique pathways (Observed: </w:t>
      </w:r>
      <w:r w:rsidRPr="00887114">
        <w:t>β</w:t>
      </w:r>
      <w:r>
        <w:rPr>
          <w:vertAlign w:val="subscript"/>
        </w:rPr>
        <w:t>temp</w:t>
      </w:r>
      <w:r>
        <w:t xml:space="preserve"> = -35.05)</w:t>
      </w:r>
      <w:r w:rsidR="00F40438">
        <w:t xml:space="preserve">, </w:t>
      </w:r>
      <w:r w:rsidR="00F74175">
        <w:t xml:space="preserve">but </w:t>
      </w:r>
      <w:r w:rsidR="00F40438">
        <w:t xml:space="preserve">the magnitude and direction of this effect </w:t>
      </w:r>
      <w:r w:rsidR="002B4F37">
        <w:t>are</w:t>
      </w:r>
      <w:r w:rsidR="00F40438">
        <w:t xml:space="preserve"> uncertain given the large confidence intervals that cross zero.</w:t>
      </w:r>
      <w:r w:rsidR="00F74175">
        <w:t xml:space="preserve"> T</w:t>
      </w:r>
      <w:r w:rsidR="00F40438">
        <w:t>he associations with Shannon (</w:t>
      </w:r>
      <w:r w:rsidR="00F74175" w:rsidRPr="00887114">
        <w:t>β</w:t>
      </w:r>
      <w:r w:rsidR="00F74175">
        <w:rPr>
          <w:vertAlign w:val="subscript"/>
        </w:rPr>
        <w:t>temp</w:t>
      </w:r>
      <w:r w:rsidR="00F74175">
        <w:t xml:space="preserve"> </w:t>
      </w:r>
      <w:r w:rsidR="00F40438">
        <w:t>= -0.27) and Simpson diversity (</w:t>
      </w:r>
      <w:r w:rsidR="00F74175" w:rsidRPr="00887114">
        <w:t>β</w:t>
      </w:r>
      <w:r w:rsidR="00F74175">
        <w:rPr>
          <w:vertAlign w:val="subscript"/>
        </w:rPr>
        <w:t>temp</w:t>
      </w:r>
      <w:r w:rsidR="00F74175">
        <w:t xml:space="preserve"> </w:t>
      </w:r>
      <w:r w:rsidR="00F40438">
        <w:t>= -0.08) are</w:t>
      </w:r>
      <w:r w:rsidR="00F74175">
        <w:t xml:space="preserve"> </w:t>
      </w:r>
      <w:r w:rsidR="00F40438">
        <w:t>weak and uncertain (Fig. 1C)</w:t>
      </w:r>
      <w:r w:rsidR="00F74175">
        <w:t>. Considered together with the model comparison approach, these results suggest that higher temperatures may reduce the number of unique functional pathways but are not associated with changes in pathway evenness.</w:t>
      </w:r>
    </w:p>
    <w:p w14:paraId="536B74F1" w14:textId="77777777" w:rsidR="00991E79" w:rsidRDefault="00991E79" w:rsidP="00991E79">
      <w:pPr>
        <w:rPr>
          <w:i/>
          <w:iCs/>
        </w:rPr>
      </w:pPr>
    </w:p>
    <w:p w14:paraId="6C163F89" w14:textId="47192D79" w:rsidR="00991E79" w:rsidRDefault="00991E79" w:rsidP="00991E79">
      <w:r>
        <w:rPr>
          <w:i/>
          <w:iCs/>
        </w:rPr>
        <w:t>Taxonomic and metabolic pathway results</w:t>
      </w:r>
    </w:p>
    <w:p w14:paraId="0CA59336" w14:textId="0E05FAD1" w:rsidR="005B379B" w:rsidRDefault="002E4FB2" w:rsidP="00DC1D89">
      <w:pPr>
        <w:ind w:firstLine="720"/>
      </w:pPr>
      <w:r>
        <w:t xml:space="preserve">Temperature is also </w:t>
      </w:r>
      <w:r w:rsidR="00517773">
        <w:t>related to</w:t>
      </w:r>
      <w:r>
        <w:t xml:space="preserve"> the abundance of diverse taxa </w:t>
      </w:r>
      <w:r w:rsidR="00F9086D">
        <w:t>at both the</w:t>
      </w:r>
      <w:r>
        <w:t xml:space="preserve"> family and genus levels. The temperature model fit be</w:t>
      </w:r>
      <w:r w:rsidR="00F9086D">
        <w:t>tter</w:t>
      </w:r>
      <w:r>
        <w:t xml:space="preserve"> for 93 out of 163 taxa tested, accounting for </w:t>
      </w:r>
      <w:r w:rsidR="00F9086D">
        <w:t>more than</w:t>
      </w:r>
      <w:r>
        <w:t xml:space="preserve"> 50% of the model weight. </w:t>
      </w:r>
      <w:r w:rsidR="00F9086D">
        <w:t>The</w:t>
      </w:r>
      <w:r>
        <w:t xml:space="preserve"> 93 differentially abundant taxa</w:t>
      </w:r>
      <w:r w:rsidR="00F9086D">
        <w:t xml:space="preserve"> included</w:t>
      </w:r>
      <w:r>
        <w:t xml:space="preserve"> 3</w:t>
      </w:r>
      <w:r w:rsidR="00D55F44">
        <w:t>7</w:t>
      </w:r>
      <w:r>
        <w:t xml:space="preserve"> families and 56 genera spanning </w:t>
      </w:r>
      <w:r w:rsidR="003059AC">
        <w:t>10</w:t>
      </w:r>
      <w:r>
        <w:t xml:space="preserve"> phyla.</w:t>
      </w:r>
      <w:r w:rsidR="003059AC" w:rsidRPr="003059AC">
        <w:t xml:space="preserve"> </w:t>
      </w:r>
      <w:r w:rsidR="00DC1D89">
        <w:t xml:space="preserve">The relationship between abundance and temperature is primarily negative; 82 out of 93 taxa decline in abundance with rising temperatures (supp. Table). </w:t>
      </w:r>
      <w:r w:rsidR="003059AC">
        <w:t xml:space="preserve">We used the model weights </w:t>
      </w:r>
      <w:r w:rsidR="009C44B9">
        <w:t xml:space="preserve">for the 97 genera </w:t>
      </w:r>
      <w:r w:rsidR="003059AC">
        <w:t xml:space="preserve">to perform an ancestral state </w:t>
      </w:r>
      <w:r w:rsidR="009C44B9">
        <w:t xml:space="preserve">reconstruction and </w:t>
      </w:r>
      <w:r w:rsidR="0058658D">
        <w:t>investigate</w:t>
      </w:r>
      <w:r w:rsidR="00CE7583">
        <w:t xml:space="preserve"> the evolution of temperature sensitivity </w:t>
      </w:r>
      <w:r w:rsidR="009C44B9">
        <w:t>among</w:t>
      </w:r>
      <w:r w:rsidR="00CE7583">
        <w:t xml:space="preserve"> </w:t>
      </w:r>
      <w:r w:rsidR="00DC1D89">
        <w:t>gut</w:t>
      </w:r>
      <w:r w:rsidR="00CE7583">
        <w:t xml:space="preserve"> commensals.</w:t>
      </w:r>
      <w:r w:rsidR="0012426A">
        <w:t xml:space="preserve"> </w:t>
      </w:r>
      <w:r w:rsidR="000D54E5" w:rsidRPr="000D54E5">
        <w:t>The estimated model weight of the most ancestral node</w:t>
      </w:r>
      <w:r w:rsidR="000D54E5">
        <w:t xml:space="preserve"> is 66%, indicating that the temperature model has relatively strong support for explaining the ancestral state (Fig 3). This suggests that the ancestral commensals of the capuchin gut microbiome were likely sensitive to increasing temperatures. </w:t>
      </w:r>
      <w:r w:rsidR="005B379B">
        <w:t xml:space="preserve">Among the phyla </w:t>
      </w:r>
      <w:r w:rsidR="00F9086D">
        <w:t>that represent</w:t>
      </w:r>
      <w:r w:rsidR="005B379B">
        <w:t xml:space="preserve"> more than 1% relative abundance, Proteobacteria appear to have diverged from the </w:t>
      </w:r>
      <w:r w:rsidR="005B379B">
        <w:lastRenderedPageBreak/>
        <w:t xml:space="preserve">ancestral state because the temperature model accounts for less than 50% of model weight in 17 out of 24 genera. The genus assigned to </w:t>
      </w:r>
      <w:proofErr w:type="spellStart"/>
      <w:r w:rsidR="005B379B">
        <w:t>Campylobacterota</w:t>
      </w:r>
      <w:proofErr w:type="spellEnd"/>
      <w:r w:rsidR="005B379B">
        <w:t xml:space="preserve"> follows the same trend. In contrast, temperature sensitivity appears more conserved within </w:t>
      </w:r>
      <w:proofErr w:type="spellStart"/>
      <w:r w:rsidR="005B379B">
        <w:t>Bacteroidota</w:t>
      </w:r>
      <w:proofErr w:type="spellEnd"/>
      <w:r w:rsidR="005B379B">
        <w:t xml:space="preserve">, where the temperature model best explains 11 out of 14 genera, </w:t>
      </w:r>
      <w:proofErr w:type="spellStart"/>
      <w:r w:rsidR="005B379B">
        <w:t>Actinobacteriota</w:t>
      </w:r>
      <w:proofErr w:type="spellEnd"/>
      <w:r w:rsidR="005B379B">
        <w:t xml:space="preserve"> (4 out of 6 genera), and Firmicutes (2</w:t>
      </w:r>
      <w:r w:rsidR="00DC1D89">
        <w:t>9</w:t>
      </w:r>
      <w:r w:rsidR="005B379B">
        <w:t xml:space="preserve"> out of 42 genera). For these phyla, the relationship with temperature appears primarily negative (Fig 3), indicating that these taxa decrease in abundance </w:t>
      </w:r>
      <w:r w:rsidR="00DC1D89">
        <w:t>with rising</w:t>
      </w:r>
      <w:r w:rsidR="005B379B">
        <w:t xml:space="preserve"> temperatures.</w:t>
      </w:r>
      <w:r w:rsidR="00F72674">
        <w:t xml:space="preserve"> </w:t>
      </w:r>
      <w:commentRangeStart w:id="0"/>
      <w:r w:rsidR="00F72674">
        <w:t xml:space="preserve">Something about a loss of obligate </w:t>
      </w:r>
      <w:proofErr w:type="spellStart"/>
      <w:r w:rsidR="00F72674">
        <w:t>anerobes</w:t>
      </w:r>
      <w:proofErr w:type="spellEnd"/>
      <w:r w:rsidR="00F72674">
        <w:t xml:space="preserve"> compared to facultative </w:t>
      </w:r>
      <w:proofErr w:type="spellStart"/>
      <w:r w:rsidR="00F72674">
        <w:t>anerobes</w:t>
      </w:r>
      <w:proofErr w:type="spellEnd"/>
      <w:r w:rsidR="00F72674">
        <w:t xml:space="preserve"> that may compromise function…</w:t>
      </w:r>
      <w:commentRangeEnd w:id="0"/>
      <w:r w:rsidR="00E32D92">
        <w:rPr>
          <w:rStyle w:val="CommentReference"/>
        </w:rPr>
        <w:commentReference w:id="0"/>
      </w:r>
    </w:p>
    <w:p w14:paraId="5B046EF2" w14:textId="4B2AF92B" w:rsidR="00D8746A" w:rsidRDefault="00F07948" w:rsidP="00BD3DA7">
      <w:pPr>
        <w:ind w:firstLine="720"/>
      </w:pPr>
      <w:r>
        <w:t>Temperature is also related to</w:t>
      </w:r>
      <w:r w:rsidR="00E8719D">
        <w:t xml:space="preserve"> the abundance of</w:t>
      </w:r>
      <w:r>
        <w:t xml:space="preserve"> microbial metabolic pathways</w:t>
      </w:r>
      <w:r w:rsidR="00E8719D">
        <w:t xml:space="preserve">. The </w:t>
      </w:r>
      <w:r>
        <w:t>temperature model fit</w:t>
      </w:r>
      <w:r w:rsidR="00E8719D">
        <w:t>s</w:t>
      </w:r>
      <w:r>
        <w:t xml:space="preserve"> best for 169 out of 383 total pathways tested, accounting for more than 50% of the model’s weight</w:t>
      </w:r>
      <w:r w:rsidR="00383541">
        <w:t xml:space="preserve"> (sup table)</w:t>
      </w:r>
      <w:r>
        <w:t xml:space="preserve">. </w:t>
      </w:r>
      <w:r w:rsidR="00E8719D">
        <w:t>To facilitate downstream interpretation, we grouped 10</w:t>
      </w:r>
      <w:r w:rsidR="00BD3DA7">
        <w:t>0</w:t>
      </w:r>
      <w:r w:rsidR="00E8719D">
        <w:t xml:space="preserve"> of these pathways into five broad functional categories</w:t>
      </w:r>
      <w:r w:rsidR="00BD3DA7">
        <w:t xml:space="preserve"> based on shared biological roles and their apparent relationship with temperature</w:t>
      </w:r>
      <w:r w:rsidR="00E8719D">
        <w:t>:</w:t>
      </w:r>
      <w:r w:rsidR="009420D9" w:rsidRPr="009420D9">
        <w:t xml:space="preserve"> </w:t>
      </w:r>
      <w:r w:rsidR="009420D9">
        <w:t>oxygen-driven, lipid metabolism,</w:t>
      </w:r>
      <w:r w:rsidR="00D8746A">
        <w:t xml:space="preserve"> </w:t>
      </w:r>
      <w:r w:rsidR="00E8719D">
        <w:t>redox maintenance, nucleotide mobilization</w:t>
      </w:r>
      <w:r w:rsidR="004C3E8B">
        <w:t>, and immune regulation</w:t>
      </w:r>
      <w:r w:rsidR="00D8746A">
        <w:t xml:space="preserve"> </w:t>
      </w:r>
      <w:r w:rsidR="009420D9">
        <w:t>(Fig</w:t>
      </w:r>
      <w:r w:rsidR="00B11CE1">
        <w:t xml:space="preserve"> 4</w:t>
      </w:r>
      <w:commentRangeStart w:id="1"/>
      <w:r w:rsidR="009420D9">
        <w:t xml:space="preserve">). </w:t>
      </w:r>
      <w:r w:rsidR="00D8746A">
        <w:t xml:space="preserve">The gut microbiome exhibits </w:t>
      </w:r>
      <w:r w:rsidR="00D46890">
        <w:t xml:space="preserve">clear signs </w:t>
      </w:r>
      <w:r w:rsidR="00D8746A">
        <w:t xml:space="preserve">of metabolic restructuring </w:t>
      </w:r>
      <w:r w:rsidR="003139C7">
        <w:t xml:space="preserve">that may help sustain homeostasis </w:t>
      </w:r>
      <w:r w:rsidR="00D8746A">
        <w:t>in response to risin</w:t>
      </w:r>
      <w:r w:rsidR="00CB1BD3">
        <w:t>g</w:t>
      </w:r>
      <w:r w:rsidR="00D8746A">
        <w:t xml:space="preserve"> temperatures</w:t>
      </w:r>
      <w:r w:rsidR="003139C7">
        <w:t xml:space="preserve">. This includes </w:t>
      </w:r>
      <w:r w:rsidR="00CB1BD3">
        <w:t>a shift towards anaerobic metabolism</w:t>
      </w:r>
      <w:r w:rsidR="003139C7">
        <w:t xml:space="preserve"> </w:t>
      </w:r>
      <w:r w:rsidR="00CB1BD3">
        <w:t xml:space="preserve">reflected </w:t>
      </w:r>
      <w:r w:rsidR="005C14CA">
        <w:t xml:space="preserve">by an </w:t>
      </w:r>
      <w:r w:rsidR="00D8746A">
        <w:t xml:space="preserve">increase </w:t>
      </w:r>
      <w:r w:rsidR="005C14CA">
        <w:t xml:space="preserve">in </w:t>
      </w:r>
      <w:r w:rsidR="00D8746A">
        <w:t>pathways involved in glycolysis, fermentation, and the reductive TCA cycle</w:t>
      </w:r>
      <w:r w:rsidR="00D46890">
        <w:t>, alongside a decrease in pathways that support</w:t>
      </w:r>
      <w:r w:rsidR="00CB1BD3">
        <w:t xml:space="preserve"> </w:t>
      </w:r>
      <w:r w:rsidR="00D46890">
        <w:t xml:space="preserve">aerobic </w:t>
      </w:r>
      <w:r w:rsidR="005C14CA">
        <w:t>metabolism</w:t>
      </w:r>
      <w:r w:rsidR="0093678B">
        <w:t xml:space="preserve"> (Fig 4A)</w:t>
      </w:r>
      <w:r w:rsidR="00CB1BD3">
        <w:t xml:space="preserve">. </w:t>
      </w:r>
      <w:r w:rsidR="005C14CA">
        <w:t xml:space="preserve">Additionally, pathways typically sustained by aerobic metabolism, including complex polysaccharide degradation, also decline with rising temperatures, possibly due to reduced ATP availability from anaerobic fermentation compared to aerobic respiration </w:t>
      </w:r>
      <w:r w:rsidR="005C14CA">
        <w:fldChar w:fldCharType="begin"/>
      </w:r>
      <w:r w:rsidR="005C14CA">
        <w:instrText xml:space="preserve"> ADDIN ZOTERO_ITEM CSL_CITATION {"citationID":"4JwXrZiY","properties":{"formattedCitation":"(Madigan, 2012)","plainCitation":"(Madigan, 2012)","noteIndex":0},"citationItems":[{"id":3416,"uris":["http://zotero.org/users/13901503/items/JPXB9ARZ"],"itemData":{"id":3416,"type":"article-journal","abstract":"&lt;em&gt;Gale&lt;/em&gt; Academic OneFile includes Brock biology of microorganisms, 13th ed. (online access included) by . Click to explore.","container-title":"Reference &amp;amp; Research Book News","ISSN":"08873763","issue":"3","language":"English","note":"publisher: Copyright Clearance Center, Inc.","source":"go-gale-com.proxy.lib.umich.edu","title":"Brock biology of microorganisms, 13th ed. (online access included)","URL":"https://go.gale.com/ps/i.do?p=AONE&amp;sw=w&amp;issn=08873763&amp;v=2.1&amp;it=r&amp;id=GALE%7CA291874479&amp;sid=googleScholar&amp;linkaccess=abs","volume":"27","author":[{"family":"Madigan","given":"Michael"}],"accessed":{"date-parts":[["2025",5,15]]},"issued":{"date-parts":[["2012",6,1]]}}}],"schema":"https://github.com/citation-style-language/schema/raw/master/csl-citation.json"} </w:instrText>
      </w:r>
      <w:r w:rsidR="005C14CA">
        <w:fldChar w:fldCharType="separate"/>
      </w:r>
      <w:r w:rsidR="005C14CA">
        <w:rPr>
          <w:noProof/>
        </w:rPr>
        <w:t>(Madigan, 2012)</w:t>
      </w:r>
      <w:r w:rsidR="005C14CA">
        <w:fldChar w:fldCharType="end"/>
      </w:r>
      <w:r w:rsidR="005C14CA">
        <w:t xml:space="preserve">. </w:t>
      </w:r>
      <w:r w:rsidR="00CB1BD3">
        <w:t xml:space="preserve">These changes are likely a result of a more hypoxic gut environment </w:t>
      </w:r>
      <w:r w:rsidR="00E270BC">
        <w:t>typical of</w:t>
      </w:r>
      <w:r w:rsidR="00CB1BD3">
        <w:t xml:space="preserve"> high temperatures </w:t>
      </w:r>
      <w:r w:rsidR="00CB1BD3">
        <w:fldChar w:fldCharType="begin"/>
      </w:r>
      <w:r w:rsidR="00CA047A">
        <w:instrText xml:space="preserve"> ADDIN ZOTERO_ITEM CSL_CITATION {"citationID":"RZiOC71a","properties":{"formattedCitation":"(Hall et al., 1999)","plainCitation":"(Hall et al., 1999)","noteIndex":0},"citationItems":[{"id":3205,"uris":["http://zotero.org/users/13901503/items/CADITA73"],"itemData":{"id":3205,"type":"article-journal","abstract":"Exposure of conscious animals to environmental heat stress increases portal venous radical content. The nature of the observed heat stress-inducible radical molecules suggests that hyperthermia produces cellular hypoxic stress in liver and intestine. To investigate this hypothesis, conscious rats bearing in-dwelling portal venous and femoral artery catheters were exposed to normothermic or hyperthermic conditions. Blood gas levels were monitored during heat stress and for 24 h following heat exposure. Hyperthermia significantly increased arterial O2 saturation, splanchnic arterial-venous O2 difference, and venous</w:instrText>
      </w:r>
      <w:r w:rsidR="00CA047A">
        <w:rPr>
          <w:rFonts w:ascii="Cambria Math" w:hAnsi="Cambria Math" w:cs="Cambria Math"/>
        </w:rPr>
        <w:instrText>𝑃</w:instrText>
      </w:r>
      <w:r w:rsidR="00CA047A">
        <w:instrText xml:space="preserve">⁢CO2P⁢CO2, while decreasing venous O2 saturation and venous pH. One hour after heat exposure, liver glycogen levels were decreased </w:instrText>
      </w:r>
      <w:r w:rsidR="00CA047A">
        <w:rPr>
          <w:rFonts w:ascii="Cambria Math" w:hAnsi="Cambria Math" w:cs="Cambria Math"/>
        </w:rPr>
        <w:instrText>∼</w:instrText>
      </w:r>
      <w:r w:rsidR="00CA047A">
        <w:instrText xml:space="preserve">20%. Two hours after heat exposure, the splanchnic arterial-venous O2 difference remained elevated in heat-stressed animals despite normal Tc. A second group of rats was exposed to similar conditions while receiving intra-arterial injections of the hypoxic cell marker [3H]misonidazole. Liver and intestine were biopsied, and [3H]misonidazole content was quantified. Heat stress increased tissue [3H]misonidazole retention 80% in the liver and 29% in the small intestine. Cellular [3H]misonidazole levels were significantly elevated in intestinal epithelial cells and liver zone 2 and 3 hepatocytes and Kupffer cells. This effect was most prominent in the proximal small intestine and small liver lobi. These data provide evidence that hyperthermia produces cellular hypoxia and metabolic stress in splanchnic tissues and suggest that cellular metabolic stress may contribute to radical generation during heat stress.","container-title":"American Journal of Physiology-Gastrointestinal and Liver Physiology","DOI":"10.1152/ajpgi.1999.276.5.G1195","ISSN":"0193-1857","issue":"5","note":"publisher: American Physiological Society","page":"G1195-G1203","source":"journals.physiology.org (Atypon)","title":"Splanchnic tissues undergo hypoxic stress  during whole body hyperthermia","volume":"276","author":[{"family":"Hall","given":"David M."},{"family":"Baumgardner","given":"Kirk R."},{"family":"Oberley","given":"Terry D."},{"family":"Gisolfi","given":"Carl V."}],"issued":{"date-parts":[["1999",5]]}}}],"schema":"https://github.com/citation-style-language/schema/raw/master/csl-citation.json"} </w:instrText>
      </w:r>
      <w:r w:rsidR="00CB1BD3">
        <w:fldChar w:fldCharType="separate"/>
      </w:r>
      <w:r w:rsidR="00CA047A">
        <w:rPr>
          <w:noProof/>
        </w:rPr>
        <w:t>(Hall et al., 1999)</w:t>
      </w:r>
      <w:r w:rsidR="00CB1BD3">
        <w:fldChar w:fldCharType="end"/>
      </w:r>
      <w:r w:rsidR="005C14CA">
        <w:t xml:space="preserve"> and may represent a compensatory shift in metabolic strategy </w:t>
      </w:r>
      <w:r w:rsidR="00CA047A">
        <w:t xml:space="preserve">to maintain energy production under </w:t>
      </w:r>
      <w:r w:rsidR="00E270BC">
        <w:t xml:space="preserve">increased </w:t>
      </w:r>
      <w:r w:rsidR="00CA047A">
        <w:t>oxygen limitation</w:t>
      </w:r>
      <w:r w:rsidR="00E270BC">
        <w:t xml:space="preserve">s </w:t>
      </w:r>
      <w:r w:rsidR="00CA047A">
        <w:fldChar w:fldCharType="begin"/>
      </w:r>
      <w:r w:rsidR="00CA047A">
        <w:instrText xml:space="preserve"> ADDIN ZOTERO_ITEM CSL_CITATION {"citationID":"OeH5JY7a","properties":{"formattedCitation":"(Alexeeva et al., 2000; Espey, 2013)","plainCitation":"(Alexeeva et al., 2000; Espey, 2013)","noteIndex":0},"citationItems":[{"id":3262,"uris":["http://zotero.org/users/13901503/items/FCJFQKR8"],"itemData":{"id":3262,"type":"article-journal","abstract":"The capacity of Escherichia coli to adapt its catabolism to prevailing redox conditions resides mainly in three catabolic branch points involving (i) pyruvate formate-lyase (PFL) and the pyruvate dehydrogenase complex (PDHc), (ii) the exclusively fermentative enzymes and those of the Krebs cycle, and (iii) the alternative terminal cytochrome bd and cytochrome bo oxidases. A quantitative analysis of the relative catabolic fluxes through these pathways is presented for steady-state glucose-limited chemostat cultures with controlled oxygen availability ranging from full aerobiosis to complete anaerobiosis. Remarkably, PFL contributed significantly to the catabolic flux under microaerobic conditions and was found to be active simultaneously with PDHc and cytochrome bdoxidase-dependent respiration. The synthesis of PFL and cytochromebd oxidase was found to be maximal in the lower microaerobic range but not in a ΔArcA mutant, and we conclude that the Arc system is more active with respect to regulation of these two positively regulated operons during microaerobiosis than during anaerobiosis.","container-title":"Journal of Bacteriology","DOI":"10.1128/jb.182.17.4934-4940.2000","issue":"17","note":"publisher: American Society for Microbiology","page":"4934-4940","source":"journals.asm.org (Atypon)","title":"Effects of Limited Aeration and of the ArcAB System on Intermediary Pyruvate Catabolism in Escherichia coli","volume":"182","author":[{"family":"Alexeeva","given":"Svetlana"},{"family":"Kort","given":"Bart","non-dropping-particle":"de"},{"family":"Sawers","given":"Gary"},{"family":"Hellingwerf","given":"Klaas J."},{"family":"Mattos","given":"M. Joost Teixeira","non-dropping-particle":"de"}],"issued":{"date-parts":[["2000",9]]}}},{"id":3249,"uris":["http://zotero.org/users/13901503/items/7L537H9D"],"itemData":{"id":3249,"type":"article-journal","abstract":"The unique anatomy and physiology of the intestine in conjunction with its microbial content create the steepest oxygen gradients in the body, which plunge to near anoxia at the luminal midpoint. Far from static, intestinal oxygen gradients ebb and flow with every meal. This in turn governs the redox effectors nitric oxide, hydrogen sulfide, and reactive oxygen species of both host and bacterial origin. This review illustrates how the intestine and microbes utilize oxygen gradients as a backdrop for mechanistically shaping redox relationships and a functional coexistence.","container-title":"Free Radical Biology and Medicine","DOI":"10.1016/j.freeradbiomed.2012.10.554","ISSN":"0891-5849","journalAbbreviation":"Free Radical Biology and Medicine","page":"130-140","source":"ScienceDirect","title":"Role of oxygen gradients in shaping redox relationships between the human intestine and its microbiota","volume":"55","author":[{"family":"Espey","given":"Michael Graham"}],"issued":{"date-parts":[["2013",2,1]]}}}],"schema":"https://github.com/citation-style-language/schema/raw/master/csl-citation.json"} </w:instrText>
      </w:r>
      <w:r w:rsidR="00CA047A">
        <w:fldChar w:fldCharType="separate"/>
      </w:r>
      <w:r w:rsidR="00CA047A">
        <w:rPr>
          <w:noProof/>
        </w:rPr>
        <w:t>(Alexeeva et al., 2000; Espey, 2013)</w:t>
      </w:r>
      <w:r w:rsidR="00CA047A">
        <w:fldChar w:fldCharType="end"/>
      </w:r>
      <w:r w:rsidR="005C14CA">
        <w:t>.</w:t>
      </w:r>
      <w:commentRangeEnd w:id="1"/>
      <w:r w:rsidR="007B4762">
        <w:rPr>
          <w:rStyle w:val="CommentReference"/>
        </w:rPr>
        <w:commentReference w:id="1"/>
      </w:r>
      <w:r w:rsidR="005C14CA">
        <w:t xml:space="preserve"> </w:t>
      </w:r>
      <w:r w:rsidR="004C3E8B">
        <w:t>Further, changes in</w:t>
      </w:r>
      <w:r w:rsidR="005D04F7">
        <w:t xml:space="preserve"> lipid metabolism</w:t>
      </w:r>
      <w:r w:rsidR="004C3E8B">
        <w:t xml:space="preserve"> </w:t>
      </w:r>
      <w:r w:rsidR="005D04F7">
        <w:t xml:space="preserve">suggest </w:t>
      </w:r>
      <w:r w:rsidR="004B07F8">
        <w:t>metabolic restructuring</w:t>
      </w:r>
      <w:r w:rsidR="003139C7">
        <w:t xml:space="preserve"> </w:t>
      </w:r>
      <w:r w:rsidR="004B07F8">
        <w:t xml:space="preserve">to maintain membrane stability </w:t>
      </w:r>
      <w:r w:rsidR="005D04F7">
        <w:t>under</w:t>
      </w:r>
      <w:r w:rsidR="003139C7">
        <w:t xml:space="preserve"> </w:t>
      </w:r>
      <w:r w:rsidR="004B07F8">
        <w:t>rising temperatures</w:t>
      </w:r>
      <w:r w:rsidR="0093678B">
        <w:t xml:space="preserve"> (Fig 4B)</w:t>
      </w:r>
      <w:r w:rsidR="004B07F8">
        <w:t xml:space="preserve">. </w:t>
      </w:r>
      <w:r w:rsidR="00E270BC">
        <w:t>For exampl</w:t>
      </w:r>
      <w:r w:rsidR="004C3E8B">
        <w:t xml:space="preserve">e, </w:t>
      </w:r>
      <w:r w:rsidR="004B07F8">
        <w:t>pathways involved in fatty acids synthesis including oleate, cis-</w:t>
      </w:r>
      <w:proofErr w:type="spellStart"/>
      <w:r w:rsidR="004B07F8">
        <w:t>vaccenate</w:t>
      </w:r>
      <w:proofErr w:type="spellEnd"/>
      <w:r w:rsidR="004B07F8">
        <w:t xml:space="preserve">, </w:t>
      </w:r>
      <w:r w:rsidR="003139C7">
        <w:t xml:space="preserve">palmitoleate, </w:t>
      </w:r>
      <w:r w:rsidR="004B07F8">
        <w:t>stearate</w:t>
      </w:r>
      <w:r w:rsidR="00506A58">
        <w:t>,</w:t>
      </w:r>
      <w:r w:rsidR="004B07F8">
        <w:t xml:space="preserve"> and </w:t>
      </w:r>
      <w:proofErr w:type="spellStart"/>
      <w:r w:rsidR="00311C62">
        <w:t>gondoate</w:t>
      </w:r>
      <w:proofErr w:type="spellEnd"/>
      <w:r w:rsidR="00311C62">
        <w:t xml:space="preserve"> </w:t>
      </w:r>
      <w:r w:rsidR="005D04F7">
        <w:t>increase with rising temperatures</w:t>
      </w:r>
      <w:r w:rsidR="004B07F8">
        <w:t xml:space="preserve">, along with lipid remodeling including </w:t>
      </w:r>
      <w:r w:rsidR="003139C7">
        <w:t>the mevalonate pathway and downstream isoprenoid lipids</w:t>
      </w:r>
      <w:r w:rsidR="005D04F7">
        <w:t xml:space="preserve"> synthesis. Together, these pathways contribute to membrane stability by adjusting lipid composition </w:t>
      </w:r>
      <w:r w:rsidR="005D04F7">
        <w:fldChar w:fldCharType="begin"/>
      </w:r>
      <w:r w:rsidR="005D04F7">
        <w:instrText xml:space="preserve"> ADDIN ZOTERO_ITEM CSL_CITATION {"citationID":"DQvKSBlx","properties":{"formattedCitation":"(Zhang &amp; Rock, 2008)","plainCitation":"(Zhang &amp; Rock, 2008)","noteIndex":0},"citationItems":[{"id":3286,"uris":["http://zotero.org/users/13901503/items/VXSZL448"],"itemData":{"id":3286,"type":"article-journal","abstract":"The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rsidR="005D04F7">
        <w:fldChar w:fldCharType="separate"/>
      </w:r>
      <w:r w:rsidR="005D04F7">
        <w:rPr>
          <w:noProof/>
        </w:rPr>
        <w:t>(Zhang &amp; Rock, 2008)</w:t>
      </w:r>
      <w:r w:rsidR="005D04F7">
        <w:fldChar w:fldCharType="end"/>
      </w:r>
      <w:r w:rsidR="005D04F7">
        <w:t xml:space="preserve"> and counteracting fluidity </w:t>
      </w:r>
      <w:r w:rsidR="005D04F7">
        <w:fldChar w:fldCharType="begin"/>
      </w:r>
      <w:r w:rsidR="005D04F7">
        <w:instrText xml:space="preserve"> ADDIN ZOTERO_ITEM CSL_CITATION {"citationID":"ezgDXz1L","properties":{"formattedCitation":"(S\\uc0\\u225{}enz, 2015)","plainCitation":"(Sáenz, 2015)","noteIndex":0},"citationItems":[{"id":3394,"uris":["http://zotero.org/users/13901503/items/BQ657FYY"],"itemData":{"id":3394,"type":"webpage","language":"en","note":"DOI: 10.1073/pnas.1515607112","title":"Hopanoids as functional analogues of cholesterol in bacterial membranes","URL":"https://www.pnas.org/doi/epdf/10.1073/pnas.1515607112","author":[{"family":"Sáenz","given":"James"}],"accessed":{"date-parts":[["2025",5,14]]},"issued":{"date-parts":[["2015"]]}}}],"schema":"https://github.com/citation-style-language/schema/raw/master/csl-citation.json"} </w:instrText>
      </w:r>
      <w:r w:rsidR="005D04F7">
        <w:fldChar w:fldCharType="separate"/>
      </w:r>
      <w:r w:rsidR="005D04F7" w:rsidRPr="005D04F7">
        <w:t>(Sáenz, 2015)</w:t>
      </w:r>
      <w:r w:rsidR="005D04F7">
        <w:fldChar w:fldCharType="end"/>
      </w:r>
      <w:r w:rsidR="005D04F7">
        <w:t xml:space="preserve">, suggesting a </w:t>
      </w:r>
      <w:r w:rsidR="00090B03">
        <w:t xml:space="preserve">concerted </w:t>
      </w:r>
      <w:r w:rsidR="004C3E8B">
        <w:t>effort to maintain homeostasis with rising temperatures</w:t>
      </w:r>
      <w:r w:rsidR="00E13664">
        <w:t xml:space="preserve"> </w:t>
      </w:r>
      <w:r w:rsidR="00E13664">
        <w:fldChar w:fldCharType="begin"/>
      </w:r>
      <w:r w:rsidR="005D04F7">
        <w:instrText xml:space="preserve"> ADDIN ZOTERO_ITEM CSL_CITATION {"citationID":"dflbRait","properties":{"formattedCitation":"(Mansilla et al., 2004)","plainCitation":"(Mansilla et al., 2004)","noteIndex":0},"citationItems":[{"id":3378,"uris":["http://zotero.org/users/13901503/items/TZK8TZFH"],"itemData":{"id":3378,"type":"article-journal","container-title":"Journal of Bacteriology","DOI":"10.1128/jb.186.20.6681-6688.2004","issue":"20","note":"publisher: American Society for Microbiology","page":"6681-6688","source":"journals.asm.org (Atypon)","title":"Control of Membrane Lipid Fluidity by Molecular Thermosensors","volume":"186","author":[{"family":"Mansilla","given":"María C."},{"family":"Cybulski","given":"Larisa E."},{"family":"Albanesi","given":"Daniela"},{"family":"Mendoza","given":"Diego","non-dropping-particle":"de"}],"issued":{"date-parts":[["2004",10,15]]}}}],"schema":"https://github.com/citation-style-language/schema/raw/master/csl-citation.json"} </w:instrText>
      </w:r>
      <w:r w:rsidR="00E13664">
        <w:fldChar w:fldCharType="separate"/>
      </w:r>
      <w:r w:rsidR="005D04F7">
        <w:rPr>
          <w:noProof/>
        </w:rPr>
        <w:t>(Mansilla et al., 2004)</w:t>
      </w:r>
      <w:r w:rsidR="00E13664">
        <w:fldChar w:fldCharType="end"/>
      </w:r>
      <w:r w:rsidR="004C3E8B">
        <w:t xml:space="preserve">. </w:t>
      </w:r>
      <w:r w:rsidR="000F15EF">
        <w:t xml:space="preserve"> </w:t>
      </w:r>
      <w:r w:rsidR="00311C62">
        <w:t xml:space="preserve">However, </w:t>
      </w:r>
      <w:r w:rsidR="00506A58">
        <w:t xml:space="preserve">these changes are accompanied by </w:t>
      </w:r>
      <w:r w:rsidR="00090B03">
        <w:t xml:space="preserve">a </w:t>
      </w:r>
      <w:r w:rsidR="00506A58">
        <w:t>decrease in pathways involved in lipid catabolism and recycling including fatty acid β-oxidation, fatty acid salvage, and phospholipid turnover</w:t>
      </w:r>
      <w:r w:rsidR="000F15EF">
        <w:t xml:space="preserve">. This likely impairs membrane repair mechanisms </w:t>
      </w:r>
      <w:r w:rsidR="000F15EF">
        <w:fldChar w:fldCharType="begin"/>
      </w:r>
      <w:r w:rsidR="000F15EF">
        <w:instrText xml:space="preserve"> ADDIN ZOTERO_ITEM CSL_CITATION {"citationID":"lWyrjH6E","properties":{"formattedCitation":"(Dennis, 1994; Zhang &amp; Rock, 2008)","plainCitation":"(Dennis, 1994; Zhang &amp; Rock, 2008)","noteIndex":0},"citationItems":[{"id":3285,"uris":["http://zotero.org/users/13901503/items/932HVZ4C"],"itemData":{"id":3285,"type":"article-journal","container-title":"Journal of Biological Chemistry","DOI":"10.1016/S0021-9258(17)36794-7","ISSN":"00219258","issue":"18","journalAbbreviation":"Journal of Biological Chemistry","language":"en","license":"https://www.elsevier.com/tdm/userlicense/1.0/","page":"13057-13060","source":"DOI.org (Crossref)","title":"Diversity of group types, regulation, and function of phospholipase A2.","volume":"269","author":[{"family":"Dennis","given":"E.A."}],"issued":{"date-parts":[["1994",5]]}}},{"id":3286,"uris":["http://zotero.org/users/13901503/items/VXSZL448"],"itemData":{"id":3286,"type":"article-journal","abstract":"The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rsidR="000F15EF">
        <w:fldChar w:fldCharType="separate"/>
      </w:r>
      <w:r w:rsidR="000F15EF">
        <w:rPr>
          <w:noProof/>
        </w:rPr>
        <w:t>(Dennis, 1994; Zhang &amp; Rock, 2008)</w:t>
      </w:r>
      <w:r w:rsidR="000F15EF">
        <w:fldChar w:fldCharType="end"/>
      </w:r>
      <w:r w:rsidR="000F15EF">
        <w:t xml:space="preserve"> and may compromise gut microbiome homeostasis under prolonged exposure to high temperatures.</w:t>
      </w:r>
    </w:p>
    <w:p w14:paraId="5B54DC09" w14:textId="0AA183C8" w:rsidR="002E1BAD" w:rsidRDefault="00A32986" w:rsidP="008F34C4">
      <w:pPr>
        <w:ind w:firstLine="720"/>
      </w:pPr>
      <w:r>
        <w:t>While some metabolic shifts appear to support homeostasis with rising temperatures, changes in pathways that contribute to redox maintenance may instead compromise</w:t>
      </w:r>
      <w:r w:rsidRPr="00A32986">
        <w:t xml:space="preserve"> </w:t>
      </w:r>
      <w:r>
        <w:t>gut microbiome stability</w:t>
      </w:r>
      <w:r w:rsidR="00E74CF9">
        <w:t xml:space="preserve"> by disrupting the</w:t>
      </w:r>
      <w:r>
        <w:t xml:space="preserve"> </w:t>
      </w:r>
      <w:r w:rsidR="00E74CF9">
        <w:t xml:space="preserve">balance between the generation and elimination of reactive oxygen species (ROS). </w:t>
      </w:r>
      <w:r w:rsidR="00222C53">
        <w:t xml:space="preserve">Rising temperatures are related to a decrease in pathways essential to redox maintenance including the synthesis of redox cofactors such as B vitamins </w:t>
      </w:r>
      <w:r w:rsidR="00222C53">
        <w:fldChar w:fldCharType="begin"/>
      </w:r>
      <w:r w:rsidR="00222C53">
        <w:instrText xml:space="preserve"> ADDIN ZOTERO_ITEM CSL_CITATION {"citationID":"oWPRpQeE","properties":{"formattedCitation":"(Hellmann &amp; Mooney, 2010; Powers, 2003)","plainCitation":"(Hellmann &amp; Mooney, 2010; Powers, 2003)","noteIndex":0},"citationItems":[{"id":3227,"uris":["http://zotero.org/users/13901503/items/9DQLWAKU"],"itemData":{"id":3227,"type":"article-journal","abstract":"Vitamin B6 is an intriguing molecule that is involved in a wide range of metabolic, physiological and developmental processes. Based on its water solubility and high reactivity when phosphorylated, it is a suitable co-factor for many biochemical processes. Furthermore the vitamin is a potent antioxidant, rivaling carotenoids or tocopherols in its ability to quench reactive oxygen species. It is therefore not surprising that the vitamin is essential and unquestionably important for the cellular metabolism and well-being of all living organisms. The review briefly summarizes the biosynthetic pathways of vitamin B6 in pro- and eukaryotes and its diverse roles in enzymatic reactions. Finally, because in recent years the vitamin has often been considered beneficial for human health, the review will also sum up and critically reflect on current knowledge how human health can profit from vitamin B6.","container-title":"Molecules","DOI":"10.3390/molecules15010442","ISSN":"1420-3049","issue":"1","language":"en","license":"http://creativecommons.org/licenses/by/3.0/","note":"number: 1\npublisher: Molecular Diversity Preservation International","page":"442-459","source":"www.mdpi.com","title":"Vitamin B6: A Molecule for Human Health?","title-short":"Vitamin B6","volume":"15","author":[{"family":"Hellmann","given":"Hanjo"},{"family":"Mooney","given":"Sutton"}],"issued":{"date-parts":[["2010",1]]}}},{"id":3224,"uris":["http://zotero.org/users/13901503/items/W59CZMD8"],"itemData":{"id":3224,"type":"article-journal","abstract":"Riboflavin is unique among the water-soluble vitamins in that milk and dairy products make the greatest contribution to its intake in Western diets. Meat and fish are also good sources of riboflavin, and certain fruit and vegetables, especially dark-green vegetables, contain reasonably high concentrations. Biochemical signs of depletion arise within only a few days of dietary deprivation. Poor riboflavin status in Western countries seems to be of most concern for the elderly and adolescents, despite the diversity of riboflavin-rich foods available. However, discrepancies between dietary intake data and biochemical data suggest either that requirements are higher than hitherto thought or that biochemical thresholds for deficiency are inappropriate. This article reviews current evidence that diets low in riboflavin present specific health risks. There is reasonably good evidence that poor riboflavin status interferes with iron handling and contributes to the etiology of anemia when iron intakes are low. Various mechanisms for this have been proposed, including effects on the gastrointestinal tract that might compromise the handling of other nutrients. Riboflavin deficiency has been implicated as a risk factor for cancer, although this has not been satisfactorily established in humans. Current interest is focused on the role that riboflavin plays in determining circulating concentrations of homocysteine, a risk factor for cardiovascular disease. Other mechanisms have been proposed for a protective role of riboflavin in ischemia reperfusion injury; this requires further study. Riboflavin deficiency may exert some of its effects by reducing the metabolism of other B vitamins, notably folate and vitamin B-6.","container-title":"The American Journal of Clinical Nutrition","DOI":"10.1093/ajcn/77.6.1352","ISSN":"0002-9165","issue":"6","journalAbbreviation":"The American Journal of Clinical Nutrition","page":"1352-1360","source":"ScienceDirect","title":"Riboflavin (vitamin B-2) and health12","volume":"77","author":[{"family":"Powers","given":"Hilary J"}],"issued":{"date-parts":[["2003",6,1]]}}}],"schema":"https://github.com/citation-style-language/schema/raw/master/csl-citation.json"} </w:instrText>
      </w:r>
      <w:r w:rsidR="00222C53">
        <w:fldChar w:fldCharType="separate"/>
      </w:r>
      <w:r w:rsidR="00222C53">
        <w:rPr>
          <w:noProof/>
        </w:rPr>
        <w:t>(Hellmann &amp; Mooney, 2010; Powers, 2003)</w:t>
      </w:r>
      <w:r w:rsidR="00222C53">
        <w:fldChar w:fldCharType="end"/>
      </w:r>
      <w:r w:rsidR="00222C53">
        <w:t xml:space="preserve">, coenzymes </w:t>
      </w:r>
      <w:r w:rsidR="00641874">
        <w:fldChar w:fldCharType="begin"/>
      </w:r>
      <w:r w:rsidR="00641874">
        <w:instrText xml:space="preserve"> ADDIN ZOTERO_ITEM CSL_CITATION {"citationID":"4f75BpHM","properties":{"formattedCitation":"(Gout, 2018)","plainCitation":"(Gout, 2018)","noteIndex":0},"citationItems":[{"id":3237,"uris":["http://zotero.org/users/13901503/items/VLNZSILJ"],"itemData":{"id":3237,"type":"article-journal","abstract":"In a diverse family of cellular cofactors, coenzyme A (CoA) has a unique design to function in various biochemical processes. The presence of a highly reactive thiol group and a nucleotide moiety offers a diversity of chemical reactions and regulatory interactions. CoA employs them to activate carbonyl-containing molecules and to produce various thioester derivatives (e.g. acetyl CoA, malonyl CoA and 3-hydroxy-3-methylglutaryl CoA), which have well-established roles in cellular metabolism, production of neurotransmitters and the regulation of gene expression. A novel unconventional function of CoA in redox regulation, involving covalent attachment of this coenzyme to cellular proteins in response to oxidative and metabolic stress, has been recently discovered and termed protein CoAlation (S-thiolation by CoA or CoAthiolation). A diverse range of proteins was found to be CoAlated in mammalian cells and tissues under various experimental conditions. Protein CoAlation alters the molecular mass, charge and activity of modified proteins, and prevents them from irreversible sulfhydryl overoxidation. This review highlights the role of a key metabolic integrator CoA in redox regulation in mammalian cells and provides a perspective of the current status and future directions of the emerging field of protein CoAlation.","container-title":"Biochemical Society Transactions","DOI":"10.1042/BST20170506","ISSN":"0300-5127, 1470-8752","issue":"3","language":"en","page":"721-728","source":"DOI.org (Crossref)","title":"Coenzyme A, protein CoAlation and redox regulation in mammalian cells","volume":"46","author":[{"family":"Gout","given":"Ivan"}],"issued":{"date-parts":[["2018",6,19]]}}}],"schema":"https://github.com/citation-style-language/schema/raw/master/csl-citation.json"} </w:instrText>
      </w:r>
      <w:r w:rsidR="00641874">
        <w:fldChar w:fldCharType="separate"/>
      </w:r>
      <w:r w:rsidR="00641874">
        <w:rPr>
          <w:noProof/>
        </w:rPr>
        <w:t>(Gout, 2018)</w:t>
      </w:r>
      <w:r w:rsidR="00641874">
        <w:fldChar w:fldCharType="end"/>
      </w:r>
      <w:r w:rsidR="00222C53">
        <w:t>, and antioxidant precursors to glutathione</w:t>
      </w:r>
      <w:r w:rsidR="005D39FA">
        <w:t xml:space="preserve"> such as methionine and cysteine</w:t>
      </w:r>
      <w:r w:rsidR="00641874">
        <w:t xml:space="preserve"> </w:t>
      </w:r>
      <w:r w:rsidR="00641874">
        <w:fldChar w:fldCharType="begin"/>
      </w:r>
      <w:r w:rsidR="00D965C3">
        <w:instrText xml:space="preserve"> ADDIN ZOTERO_ITEM CSL_CITATION {"citationID":"2FPwkzM8","properties":{"formattedCitation":"(S. C. Lu, 2013)","plainCitation":"(S. C. Lu, 2013)","noteIndex":0},"citationItems":[{"id":3229,"uris":["http://zotero.org/users/13901503/items/98ARRTVI"],"itemData":{"id":3229,"type":"article-journal","abstract":"Background\nGlutathione (GSH) is present in all mammalian tissues as the most abundant non-protein thiol that defends against oxidative stress. GSH is also a key determinant of redox signaling, vital in detoxification of xenobiotics, and regulates cell proliferation, apoptosis, immune function, and fibrogenesis. Biosynthesis of GSH occurs in the cytosol in a tightly regulated manner. Key determinants of GSH synthesis are the availability of the sulfur amino acid precursor, cysteine, and the activity of the rate-limiting enzyme, glutamate cysteine ligase (GCL), which is composed of a catalytic (GCLC) and a modifier (GCLM) subunit. The second enzyme of GSH synthesis is GSH synthetase (GS).\nScope of review\nThis review summarizes key functions of GSH and focuses on factors that regulate the biosynthesis of GSH, including pathological conditions where GSH synthesis is dysregulated.\nMajor conclusions\nGCL subunits and GS are regulated at multiple levels and often in a coordinated manner. Key transcription factors that regulate the expression of these genes include NF-E2 related factor 2 (Nrf2) via the antioxidant response element (ARE), AP-1, and nuclear factor kappa B (NFκB). There is increasing evidence that dysregulation of GSH synthesis contributes to the pathogenesis of many pathological conditions. These include diabetes mellitus, pulmonary and liver fibrosis, alcoholic liver disease, cholestatic liver injury, endotoxemia and drug-resistant tumor cells.\nGeneral significance\nGSH is a key antioxidant that also modulates diverse cellular processes. A better understanding of how its synthesis is regulated and dysregulated in disease states may lead to improvement in the treatment of these disorders. This article is part of a Special Issue entitled Cellular functions of glutathione.","collection-title":"Cellular functions of glutathione","container-title":"Biochimica et Biophysica Acta (BBA) - General Subjects","DOI":"10.1016/j.bbagen.2012.09.008","ISSN":"0304-4165","issue":"5","journalAbbreviation":"Biochimica et Biophysica Acta (BBA) - General Subjects","page":"3143-3153","source":"ScienceDirect","title":"Glutathione synthesis","volume":"1830","author":[{"family":"Lu","given":"Shelly C."}],"issued":{"date-parts":[["2013",5,1]]}}}],"schema":"https://github.com/citation-style-language/schema/raw/master/csl-citation.json"} </w:instrText>
      </w:r>
      <w:r w:rsidR="00641874">
        <w:fldChar w:fldCharType="separate"/>
      </w:r>
      <w:r w:rsidR="00D965C3">
        <w:rPr>
          <w:noProof/>
        </w:rPr>
        <w:t>(S. C. Lu, 2013)</w:t>
      </w:r>
      <w:r w:rsidR="00641874">
        <w:fldChar w:fldCharType="end"/>
      </w:r>
      <w:r w:rsidR="00222C53">
        <w:t>, as well as detoxification of aromatic compounds and aldehydes</w:t>
      </w:r>
      <w:r w:rsidR="00641874">
        <w:t xml:space="preserve"> </w:t>
      </w:r>
      <w:r w:rsidR="00641874">
        <w:fldChar w:fldCharType="begin"/>
      </w:r>
      <w:r w:rsidR="00641874">
        <w:instrText xml:space="preserve"> ADDIN ZOTERO_ITEM CSL_CITATION {"citationID":"xuj1NEYI","properties":{"formattedCitation":"(Kalapos, 1999)","plainCitation":"(Kalapos, 1999)","noteIndex":0},"citationItems":[{"id":3232,"uris":["http://zotero.org/users/13901503/items/SDBLCJVJ"],"itemData":{"id":3232,"type":"article-journal","abstract":"Despite the growing interest towards methylglyoxal and glyoxalases their real role in metabolic network is still obscure. In the light of developments several reviews have been published in this field mainly dealing with only a narrow segment of this research area. In this article a trial is made to present a comprehensive overview of methylglyoxal research, extending discussion from chemistry to biological implications by reviewing some important characteristics of methylglyoxal metabolism and toxicity in a wide variety of species, and emphasizing the action of methylglyoxal on energy production, free radical generation and cell killing. Special attention is paid to the discussion of α-oxoaldehyde production in the environment as a potential risk factor and to the possible role of this α-dicarbonyl in diseases. Concerning the interaction of methylglyoxal with biological macromolecules (DNA, RNA, proteins) an earlier review (Kalapos, Toxicology Letters, 73, 1994, 3–24) means a supplementation to this paper, thus hoping the avoidance of unnecessary bombast. The paper arrives at the conclusion that since the early stage of evolution the function of methylglyoxalase pathway has been related to carbohydrate metabolism, but its significance has been changed over the thousands of years. Namely, at the beginning of evolution methylglyoxalase path was essential for the reductive citric acid cycle as an anaplerotic route, while in the extant metabolism it concerns with the detoxification of methylglyoxal and plays some regulatory role in triose-phosphate household. As there is a tight junction between methylglyoxal and carbohydrate metabolism its pathological role in the events of the development of diabetic complications emerges in a natural manner and further progress is hoped in this field. In contrast, significant advancement cannot be expected in relation to cancer research","container-title":"Toxicology Letters","DOI":"10.1016/S0378-4274(99)00160-5","ISSN":"0378-4274","issue":"3","journalAbbreviation":"Toxicology Letters","page":"145-175","source":"ScienceDirect","title":"Methylglyoxal in living organisms: Chemistry, biochemistry, toxicology and biological implications","title-short":"Methylglyoxal in living organisms","volume":"110","author":[{"family":"Kalapos","given":"Miklós Péter"}],"issued":{"date-parts":[["1999",11,22]]}}}],"schema":"https://github.com/citation-style-language/schema/raw/master/csl-citation.json"} </w:instrText>
      </w:r>
      <w:r w:rsidR="00641874">
        <w:fldChar w:fldCharType="separate"/>
      </w:r>
      <w:r w:rsidR="00641874">
        <w:rPr>
          <w:noProof/>
        </w:rPr>
        <w:t>(Kalapos, 1999)</w:t>
      </w:r>
      <w:r w:rsidR="00641874">
        <w:fldChar w:fldCharType="end"/>
      </w:r>
      <w:r w:rsidR="00641874">
        <w:t>.</w:t>
      </w:r>
      <w:r w:rsidR="005D39FA">
        <w:t xml:space="preserve"> Additionally, several pathways involved in redox cycling decline </w:t>
      </w:r>
      <w:r w:rsidR="00641874">
        <w:t>including</w:t>
      </w:r>
      <w:r w:rsidR="005D39FA">
        <w:t xml:space="preserve"> </w:t>
      </w:r>
      <w:r w:rsidR="00641874">
        <w:t xml:space="preserve">NADPH production, quinone synthesis, and siderophore-mediated iron transport </w:t>
      </w:r>
      <w:r w:rsidR="00641874">
        <w:fldChar w:fldCharType="begin"/>
      </w:r>
      <w:r w:rsidR="00641874">
        <w:instrText xml:space="preserve"> ADDIN ZOTERO_ITEM CSL_CITATION {"citationID":"Fml3VrGZ","properties":{"formattedCitation":"(Dhungana &amp; and Crumbliss, 2005; Ying, 2008)","plainCitation":"(Dhungana &amp; and Crumbliss, 2005; Ying, 2008)","noteIndex":0},"citationItems":[{"id":3234,"uris":["http://zotero.org/users/13901503/items/QMLXH9TP"],"itemData":{"id":3234,"type":"article-journal","abstract":"In this mini-review we present an environmental iron mobility/transport scheme consisting of inter-related controls, whereby the first coordination shell of iron modulates the iron redox potential (E1/2), and the oxidation state of iron controls the chemistry of the first coordination sphere and therefore the immediate chemical environment of the iron. Siderophores (microbially generated iron specific chelators) may be viewed as iron redox mediators. Siderophore chelation of environmental iron in a reduced (Fe(II)) oxidation state results in facile air oxidation of iron due to the negative redox potentials observed for Fe-siderophore complexes. This solubilizes the iron and locks it into a specific coordination environment, thereby preventing hydrolysis and precipitation. The high-spin Fe3+ → Fe+ electron transfer process may be viewed as a switch that controls the thermodynamic stability and kinetic lability of the first coordination shell. Reduction of iron(III)-siderophore complexes to iron(II)-siderophore complexes decreases thermodynamic stability, increases the rate of siderophore ligand exchange, and increases the ease of siderophore donor atom protonation, thus facilitating a rapid turnover of the first coordination shell. Results are presented for iron-siderophore pH and oxidation state dependent speciation studies that are relevant to environmental and microbial iron mobility and transport.","container-title":"Geomicrobiology Journal","DOI":"10.1080/01490450590945870","ISSN":"0149-0451","issue":"3-4","note":"publisher: Taylor &amp; Francis\n_eprint: https://doi.org/10.1080/01490450590945870","page":"87-98","source":"Taylor and Francis+NEJM","title":"Coordination Chemistry and Redox Processes in Siderophore-Mediated Iron Transport","volume":"22","author":[{"family":"Dhungana","given":"Suraj"},{"family":"Crumbliss","given":"Alvin L.","non-dropping-particle":"and"}],"issued":{"date-parts":[["2005",4,1]]}}},{"id":3239,"uris":["http://zotero.org/users/13901503/items/F8CEHMIS"],"itemData":{"id":3239,"type":"article-journal","abstract":"Accumulating evidence has suggested that NAD (including NAD</w:instrText>
      </w:r>
      <w:r w:rsidR="00641874">
        <w:rPr>
          <w:rFonts w:ascii="Arial" w:hAnsi="Arial" w:cs="Arial"/>
        </w:rPr>
        <w:instrText>؉</w:instrText>
      </w:r>
      <w:r w:rsidR="00641874">
        <w:instrText xml:space="preserve"> and NADH) and NADP (including NADP</w:instrText>
      </w:r>
      <w:r w:rsidR="00641874">
        <w:rPr>
          <w:rFonts w:ascii="Arial" w:hAnsi="Arial" w:cs="Arial"/>
        </w:rPr>
        <w:instrText>؉</w:instrText>
      </w:r>
      <w:r w:rsidR="00641874">
        <w:instrText xml:space="preserve"> and NADPH) could belong to the fundamental common mediators of various biological processes, including energy metabolism, mitochondrial functions, calcium homeostasis, antioxidation/generation of oxidative stress, gene expression, immunological functions, aging, and cell death: First, it is established that NAD mediates energy metabolism and mitochondrial functions; second, NADPH is a key component in cellular antioxidation systems; and NADH-dependent reactive oxygen species (ROS) generation from mitochondria and NADPH oxidase-dependent ROS generation are two critical mechanisms of ROS generation; third, cyclic ADP-ribose and several other molecules that are generated from NAD and NADP could mediate calcium homeostasis; fourth, NAD and NADP modulate multiple key factors in cell death, such as mitochondrial permeability transition, energy state, poly(ADP-ribose) polymerase-1, and apoptosis-inducing factor; and fifth, NAD and NADP profoundly affect aging-influencing factors such as oxidative stress and mitochondrial activities, and NADdependent sirtuins also mediate the aging process. Moreover, many recent studies have suggested novel paradigms of NAD and NADP metabolism. Future investigation into the metabolism and biological functions of NAD and NADP may expose fundamental properties of life, and suggest new strategies for treating diseases and slowing the aging process. Antioxid. Redox Signal. 10, 179–206.","container-title":"Antioxidants &amp; Redox Signaling","DOI":"10.1089/ars.2007.1672","ISSN":"1523-0864, 1557-7716","issue":"2","journalAbbreviation":"Antioxidants &amp; Redox Signaling","language":"en","page":"179-206","source":"DOI.org (Crossref)","title":"NAD&lt;sup&gt;+&lt;/sup&gt; /NADH and NADP&lt;sup&gt;+&lt;/sup&gt; /NADPH in Cellular Functions and Cell Death: Regulation and Biological Consequences","title-short":"NAD&lt;sup&gt;+&lt;/sup&gt; /NADH and NADP&lt;sup&gt;+&lt;/sup&gt; /NADPH in Cellular Functions and Cell Death","volume":"10","author":[{"family":"Ying","given":"Weihai"}],"issued":{"date-parts":[["2008",2]]}}}],"schema":"https://github.com/citation-style-language/schema/raw/master/csl-citation.json"} </w:instrText>
      </w:r>
      <w:r w:rsidR="00641874">
        <w:fldChar w:fldCharType="separate"/>
      </w:r>
      <w:r w:rsidR="00641874">
        <w:rPr>
          <w:noProof/>
        </w:rPr>
        <w:t>(Dhungana &amp; and Crumbliss, 2005; Ying, 2008)</w:t>
      </w:r>
      <w:r w:rsidR="00641874">
        <w:fldChar w:fldCharType="end"/>
      </w:r>
      <w:r w:rsidR="00641874">
        <w:t>.</w:t>
      </w:r>
      <w:r w:rsidR="00E74CF9">
        <w:t xml:space="preserve"> </w:t>
      </w:r>
      <w:r w:rsidR="00242713">
        <w:t xml:space="preserve">Together, these changes may </w:t>
      </w:r>
      <w:r w:rsidR="005D39FA">
        <w:t>impair</w:t>
      </w:r>
      <w:r w:rsidR="00242713">
        <w:t xml:space="preserve"> the gut microbiome’s </w:t>
      </w:r>
      <w:r w:rsidR="00E74CF9">
        <w:t>ability</w:t>
      </w:r>
      <w:r w:rsidR="00242713">
        <w:t xml:space="preserve"> to </w:t>
      </w:r>
      <w:r w:rsidR="00E74CF9">
        <w:t>neutralize</w:t>
      </w:r>
      <w:r w:rsidR="00242713">
        <w:t xml:space="preserve"> </w:t>
      </w:r>
      <w:r w:rsidR="00E74CF9">
        <w:t xml:space="preserve">ROS, </w:t>
      </w:r>
      <w:r w:rsidR="00242713">
        <w:t>contribut</w:t>
      </w:r>
      <w:r w:rsidR="00E74CF9">
        <w:t>ing</w:t>
      </w:r>
      <w:r w:rsidR="00242713">
        <w:t xml:space="preserve"> </w:t>
      </w:r>
      <w:r w:rsidR="00242713">
        <w:lastRenderedPageBreak/>
        <w:t xml:space="preserve">to redox imbalance </w:t>
      </w:r>
      <w:r w:rsidR="00E74CF9">
        <w:t>at high temperatures.</w:t>
      </w:r>
      <w:r w:rsidR="002E1BAD">
        <w:t xml:space="preserve"> </w:t>
      </w:r>
      <w:r w:rsidR="00242713">
        <w:t xml:space="preserve">However, some pathways that support redox maintenance increase with rising temperatures including </w:t>
      </w:r>
      <w:r w:rsidR="005D39FA">
        <w:t xml:space="preserve">the </w:t>
      </w:r>
      <w:r w:rsidR="00242713">
        <w:t>synthesis of antioxidant precursors</w:t>
      </w:r>
      <w:r w:rsidR="00401087">
        <w:t xml:space="preserve"> to glutathione</w:t>
      </w:r>
      <w:r w:rsidR="00242713">
        <w:t xml:space="preserve"> </w:t>
      </w:r>
      <w:r w:rsidR="00401087">
        <w:fldChar w:fldCharType="begin"/>
      </w:r>
      <w:r w:rsidR="00D965C3">
        <w:instrText xml:space="preserve"> ADDIN ZOTERO_ITEM CSL_CITATION {"citationID":"jGEuq4JY","properties":{"formattedCitation":"(S. C. Lu, 2013)","plainCitation":"(S. C. Lu, 2013)","noteIndex":0},"citationItems":[{"id":3229,"uris":["http://zotero.org/users/13901503/items/98ARRTVI"],"itemData":{"id":3229,"type":"article-journal","abstract":"Background\nGlutathione (GSH) is present in all mammalian tissues as the most abundant non-protein thiol that defends against oxidative stress. GSH is also a key determinant of redox signaling, vital in detoxification of xenobiotics, and regulates cell proliferation, apoptosis, immune function, and fibrogenesis. Biosynthesis of GSH occurs in the cytosol in a tightly regulated manner. Key determinants of GSH synthesis are the availability of the sulfur amino acid precursor, cysteine, and the activity of the rate-limiting enzyme, glutamate cysteine ligase (GCL), which is composed of a catalytic (GCLC) and a modifier (GCLM) subunit. The second enzyme of GSH synthesis is GSH synthetase (GS).\nScope of review\nThis review summarizes key functions of GSH and focuses on factors that regulate the biosynthesis of GSH, including pathological conditions where GSH synthesis is dysregulated.\nMajor conclusions\nGCL subunits and GS are regulated at multiple levels and often in a coordinated manner. Key transcription factors that regulate the expression of these genes include NF-E2 related factor 2 (Nrf2) via the antioxidant response element (ARE), AP-1, and nuclear factor kappa B (NFκB). There is increasing evidence that dysregulation of GSH synthesis contributes to the pathogenesis of many pathological conditions. These include diabetes mellitus, pulmonary and liver fibrosis, alcoholic liver disease, cholestatic liver injury, endotoxemia and drug-resistant tumor cells.\nGeneral significance\nGSH is a key antioxidant that also modulates diverse cellular processes. A better understanding of how its synthesis is regulated and dysregulated in disease states may lead to improvement in the treatment of these disorders. This article is part of a Special Issue entitled Cellular functions of glutathione.","collection-title":"Cellular functions of glutathione","container-title":"Biochimica et Biophysica Acta (BBA) - General Subjects","DOI":"10.1016/j.bbagen.2012.09.008","ISSN":"0304-4165","issue":"5","journalAbbreviation":"Biochimica et Biophysica Acta (BBA) - General Subjects","page":"3143-3153","source":"ScienceDirect","title":"Glutathione synthesis","volume":"1830","author":[{"family":"Lu","given":"Shelly C."}],"issued":{"date-parts":[["2013",5,1]]}}}],"schema":"https://github.com/citation-style-language/schema/raw/master/csl-citation.json"} </w:instrText>
      </w:r>
      <w:r w:rsidR="00401087">
        <w:fldChar w:fldCharType="separate"/>
      </w:r>
      <w:r w:rsidR="00D965C3">
        <w:rPr>
          <w:noProof/>
        </w:rPr>
        <w:t>(S. C. Lu, 2013)</w:t>
      </w:r>
      <w:r w:rsidR="00401087">
        <w:fldChar w:fldCharType="end"/>
      </w:r>
      <w:r w:rsidR="00242713">
        <w:t xml:space="preserve">, and vitamin </w:t>
      </w:r>
      <w:r w:rsidR="005D39FA">
        <w:t>B</w:t>
      </w:r>
      <w:r w:rsidR="00242713">
        <w:t xml:space="preserve">12 </w:t>
      </w:r>
      <w:r w:rsidR="00242713">
        <w:fldChar w:fldCharType="begin"/>
      </w:r>
      <w:r w:rsidR="00401087">
        <w:instrText xml:space="preserve"> ADDIN ZOTERO_ITEM CSL_CITATION {"citationID":"RysgoECv","properties":{"formattedCitation":"(Martens et al., 2002)","plainCitation":"(Martens et al., 2002)","noteIndex":0},"citationItems":[{"id":3337,"uris":["http://zotero.org/users/13901503/items/ZQRDCT8W"],"itemData":{"id":3337,"type":"article-journal","abstract":"One of the most alluring and fascinating molecules in the world of science and medicine is vitamin B12 (cobalamin), which was originally discovered as the anti pernicious anemia factor and whose enigmatic complex structure is matched only by the beguiling chemistry that it mediates. The biosynthesis of this essential nutrient is intricate, involved and, remarkably, confined to certain members of the prokaryotic world, seemingly never have to have made the eukaryotic transition. In humans, the vitamin is required in trace amounts (approximately 1 µg/day) to assist the actions of only two enzymes, methionine synthase and (R)-methylmalonyl-CoA mutase; yet commercially more than 10 t of B12 are produced each year from a number of bacterial species. The rich scientific history of vitamin B12 research, its biological functions and the pathways employed by bacteria for its de novo synthesis are described. Current strategies for the improvement of vitamin B12 production using modern biotechnological techniques are outlined.","container-title":"Applied Microbiology and Biotechnology","DOI":"10.1007/s00253-001-0902-7","ISSN":"1432-0614","issue":"3","journalAbbreviation":"Appl Microbiol Biotechnol","language":"en","license":"2001 Springer-Verlag","note":"Company: Springer\nDistributor: Springer\nInstitution: Springer\nLabel: Springer\nnumber: 3\npublisher: Springer-Verlag","page":"275-285","source":"link-springer-com.proxy.lib.umich.edu","title":"Microbial production of vitamin B12","volume":"58","author":[{"family":"Martens","given":"J.-H."},{"family":"Barg","given":"H."},{"family":"Warren","given":"M."},{"family":"Jahn","given":"D."}],"issued":{"date-parts":[["2002",3,1]]}}}],"schema":"https://github.com/citation-style-language/schema/raw/master/csl-citation.json"} </w:instrText>
      </w:r>
      <w:r w:rsidR="00242713">
        <w:fldChar w:fldCharType="separate"/>
      </w:r>
      <w:r w:rsidR="00401087">
        <w:rPr>
          <w:noProof/>
        </w:rPr>
        <w:t>(Martens et al., 2002)</w:t>
      </w:r>
      <w:r w:rsidR="00242713">
        <w:fldChar w:fldCharType="end"/>
      </w:r>
      <w:r w:rsidR="00242713">
        <w:t xml:space="preserve">, coenzyme metabolism including NAD </w:t>
      </w:r>
      <w:r w:rsidR="00242713">
        <w:fldChar w:fldCharType="begin"/>
      </w:r>
      <w:r w:rsidR="00401087">
        <w:instrText xml:space="preserve"> ADDIN ZOTERO_ITEM CSL_CITATION {"citationID":"RUb5pm3b","properties":{"formattedCitation":"(Belenky et al., 2007)","plainCitation":"(Belenky et al., 2007)","noteIndex":0},"citationItems":[{"id":3246,"uris":["http://zotero.org/users/13901503/items/SBMSGALS"],"itemData":{"id":3246,"type":"article-journal","container-title":"Trends in Biochemical Sciences","DOI":"10.1016/j.tibs.2006.11.006","ISSN":"0968-0004","issue":"1","journalAbbreviation":"Trends in Biochemical Sciences","language":"English","note":"publisher: Elsevier\nPMID: 17161604","page":"12-19","source":"www-cell-com.proxy.lib.umich.edu","title":"NAD+ metabolism in health and disease","volume":"32","author":[{"family":"Belenky","given":"Peter"},{"family":"Bogan","given":"Katrina L."},{"family":"Brenner","given":"Charles"}],"issued":{"date-parts":[["2007",1,1]]}}}],"schema":"https://github.com/citation-style-language/schema/raw/master/csl-citation.json"} </w:instrText>
      </w:r>
      <w:r w:rsidR="00242713">
        <w:fldChar w:fldCharType="separate"/>
      </w:r>
      <w:r w:rsidR="00401087">
        <w:rPr>
          <w:noProof/>
        </w:rPr>
        <w:t>(Belenky et al., 2007)</w:t>
      </w:r>
      <w:r w:rsidR="00242713">
        <w:fldChar w:fldCharType="end"/>
      </w:r>
      <w:r w:rsidR="00242713">
        <w:t xml:space="preserve">, and </w:t>
      </w:r>
      <w:r w:rsidR="005D39FA">
        <w:t xml:space="preserve">degradation of </w:t>
      </w:r>
      <w:r w:rsidR="00242713">
        <w:t>vitamin-like compound</w:t>
      </w:r>
      <w:r w:rsidR="005D39FA">
        <w:t xml:space="preserve">s </w:t>
      </w:r>
      <w:r w:rsidR="00242713">
        <w:fldChar w:fldCharType="begin"/>
      </w:r>
      <w:r w:rsidR="00242713">
        <w:instrText xml:space="preserve"> ADDIN ZOTERO_ITEM CSL_CITATION {"citationID":"CONirrgu","properties":{"formattedCitation":"(Linster &amp; Van Schaftingen, 2007)","plainCitation":"(Linster &amp; Van Schaftingen, 2007)","noteIndex":0},"citationItems":[{"id":3334,"uris":["http://zotero.org/users/13901503/items/68BGK4TV"],"itemData":{"id":3334,"type":"article-journal","abstract":"Vitamin C, a reducing agent and antioxidant, is a cofactor in reactions catalyzed by Cu+-dependent monooxygenases and Fe2+-dependent dioxygenases. It is synthesized, in vertebrates having this capacity, from d-glucuronate. The latter is formed through direct hydrolysis of uridine diphosphate (UDP)-glucuronate by enzyme(s) bound to the endoplasmic reticulum membrane, sharing many properties with, and most likely identical to, UDP-glucuronosyltransferases. Non-glucuronidable xenobiotics (aminopyrine, metyrapone, chloretone and others) stimulate the enzymatic hydrolysis of UDP-glucuronate, accounting for their effect to increase vitamin C formation in vivo. Glucuronate is converted to l-gulonate by aldehyde reductase, an enzyme of the aldo-keto reductase superfamily. l-Gulonate is converted to l-gulonolactone by a lactonase identified as SMP30 or regucalcin, whose absence in mice leads to vitamin C deficiency. The last step in the pathway of vitamin C synthesis is the oxidation of l-gulonolactone to l-ascorbic acid by l-gulonolactone oxidase, an enzyme associated with the endoplasmic reticulum membrane and deficient in man, guinea pig and other species due to mutations in its gene. Another fate of glucuronate is its conversion to d-xylulose in a five-step pathway, the pentose pathway, involving identified oxidoreductases and an unknown decarboxylase. Semidehydroascorbate, a major oxidation product of vitamin C, is reconverted to ascorbate in the cytosol by cytochrome b5 reductase and thioredoxin reductase in reactions involving NADH and NADPH, respectively. Transmembrane electron transfer systems using ascorbate or NADH as electron donors serve to reduce semidehydroascorbate present in neuroendocrine secretory vesicles and in the extracellular medium. Dehydroascorbate, the fully oxidized form of vitamin C, is reduced spontaneously by glutathione, as well as enzymatically in reactions using glutathione or NADPH. The degradation of vitamin C in mammals is initiated by the hydrolysis of dehydroascorbate to 2,3-diketo-l-gulonate, which is spontaneously degraded to oxalate, CO2 and l-erythrulose. This is at variance with bacteria such as Escherichia coli, which have enzymatic degradation pathways for ascorbate and probably also dehydroascorbate.","container-title":"The FEBS Journal","DOI":"10.1111/j.1742-4658.2006.05607.x","ISSN":"1742-4658","issue":"1","language":"en","note":"_eprint: https://febs.onlinelibrary.wiley.com/doi/pdf/10.1111/j.1742-4658.2006.05607.x","page":"1-22","source":"Wiley Online Library","title":"Vitamin C","volume":"274","author":[{"family":"Linster","given":"Carole L."},{"family":"Van Schaftingen","given":"Emile"}],"issued":{"date-parts":[["2007"]]}}}],"schema":"https://github.com/citation-style-language/schema/raw/master/csl-citation.json"} </w:instrText>
      </w:r>
      <w:r w:rsidR="00242713">
        <w:fldChar w:fldCharType="separate"/>
      </w:r>
      <w:r w:rsidR="00242713">
        <w:rPr>
          <w:noProof/>
        </w:rPr>
        <w:t>(Linster &amp; Van Schaftingen, 2007)</w:t>
      </w:r>
      <w:r w:rsidR="00242713">
        <w:fldChar w:fldCharType="end"/>
      </w:r>
      <w:r w:rsidR="009420D9">
        <w:t>(Fig</w:t>
      </w:r>
      <w:r w:rsidR="0093678B">
        <w:t xml:space="preserve"> 4C</w:t>
      </w:r>
      <w:r w:rsidR="009420D9">
        <w:t>)</w:t>
      </w:r>
      <w:r w:rsidR="00242713">
        <w:t>.</w:t>
      </w:r>
      <w:r w:rsidR="00401087">
        <w:t xml:space="preserve"> These shifts may represent a compensatory effort to counteract the loss of </w:t>
      </w:r>
      <w:r w:rsidR="00E74CF9">
        <w:t>ROS-neutralizing</w:t>
      </w:r>
      <w:r w:rsidR="00401087">
        <w:t xml:space="preserve"> pathways and help sustain redox </w:t>
      </w:r>
      <w:r w:rsidR="00E74CF9">
        <w:t>balance</w:t>
      </w:r>
      <w:r w:rsidR="00401087">
        <w:t xml:space="preserve"> at high temperatures.</w:t>
      </w:r>
      <w:r w:rsidR="00E74CF9">
        <w:t xml:space="preserve"> Unfortunately,</w:t>
      </w:r>
      <w:r w:rsidR="00527CA4">
        <w:t xml:space="preserve"> </w:t>
      </w:r>
      <w:r w:rsidR="00E74CF9">
        <w:t xml:space="preserve">this compensation is likely </w:t>
      </w:r>
      <w:r w:rsidR="009420D9">
        <w:t>in</w:t>
      </w:r>
      <w:r w:rsidR="00527CA4">
        <w:t>sufficient</w:t>
      </w:r>
      <w:r w:rsidR="009420D9">
        <w:t xml:space="preserve"> to prevent </w:t>
      </w:r>
      <w:r w:rsidR="002E1BAD">
        <w:t xml:space="preserve">the accumulation of ROS as indicated by the </w:t>
      </w:r>
      <w:r w:rsidR="009420D9">
        <w:t xml:space="preserve">concomitant increase in </w:t>
      </w:r>
      <w:r w:rsidR="00527CA4">
        <w:t xml:space="preserve">pathways involved in nucleotide mobilization including purine and pyrimidine de novo synthesis, nucleotide salvage, and recycling </w:t>
      </w:r>
      <w:r w:rsidR="00527CA4">
        <w:fldChar w:fldCharType="begin"/>
      </w:r>
      <w:r w:rsidR="00527CA4">
        <w:instrText xml:space="preserve"> ADDIN ZOTERO_ITEM CSL_CITATION {"citationID":"VWKBgd91","properties":{"formattedCitation":"(Kilstrup et al., 2005; Lane &amp; Fan, 2015)","plainCitation":"(Kilstrup et al., 2005; Lane &amp; Fan, 2015)","noteIndex":0},"citationItems":[{"id":3291,"uris":["http://zotero.org/users/13901503/items/6MPJ4SKF"],"itemData":{"id":3291,"type":"article-journal","abstract":"Most metabolic reactions are connected through either their utilization of nucleotides or their utilization of nucleotides or their regulation by these metabolites. In this review the biosynthetic pathways for pyrimidine and purine metabolism in lactic acid bacteria are described including the interconversion pathways, the formation of deoxyribonucleotides and the salvage pathways for use of exogenous precursors. The data for the enzymatic and the genetic regulation of these pathways are reviewed, as well as the gene organizations in di</w:instrText>
      </w:r>
      <w:r w:rsidR="00527CA4">
        <w:rPr>
          <w:rFonts w:ascii="Cambria Math" w:hAnsi="Cambria Math" w:cs="Cambria Math"/>
        </w:rPr>
        <w:instrText>ﬀ</w:instrText>
      </w:r>
      <w:r w:rsidR="00527CA4">
        <w:instrText xml:space="preserve">erent lactic acid bacteria. Mutant phenotypes and methods for manipulation of nucleotide pools are also discussed. Our aim is to provide an overview of the physiology and genetics of nucleotide metabolism and its regulation that will facilitate the interpretation of data arising from genetics, metabolomics, proteomics, and transcriptomics in lactic acid bacteria.","container-title":"FEMS Microbiology Reviews","DOI":"10.1016/j.fmrre.2005.04.006","ISSN":"1574-6976","issue":"3","journalAbbreviation":"FEMS Microbiol Rev","language":"en","page":"555-590","source":"DOI.org (Crossref)","title":"Nucleotide metabolism and its control in lactic acid bacteria","volume":"29","author":[{"family":"Kilstrup","given":"Mogens"},{"family":"Hammer","given":"Karin"},{"family":"Ruhdal Jensen","given":"Peter"},{"family":"Martinussen","given":"Jan"}],"issued":{"date-parts":[["2005",8]]}}},{"id":3293,"uris":["http://zotero.org/users/13901503/items/ZVCXJZJX"],"itemData":{"id":3293,"type":"article-journal","abstract":"Nucleotides are required for a wide variety of biological processes and are constantly synthesized de novo in all cells. When cells proliferate, increased nucleotide synthesis is necessary for DNA replication and for RNA production to support protein synthesis at different stages of the cell cycle, during which these events are regulated at multiple levels. Therefore the synthesis of the precursor nucleotides is also strongly regulated at multiple levels. Nucleotide synthesis is an energy intensive process that uses multiple metabolic pathways across different cell compartments and several sources of carbon and nitrogen. The processes are regulated at the transcription level by a set of master transcription factors but also at the enzyme level by allosteric regulation and feedback inhibition. Here we review the cellular demands of nucleotide biosynthesis, their metabolic pathways and mechanisms of regulation during the cell cycle. The use of stable isotope tracers for delineating the biosynthetic routes of the multiple intersecting pathways and how these are quantitatively controlled under different conditions is also highlighted. Moreover, the importance of nucleotide synthesis for cell viability is discussed and how this may lead to potential new approaches to drug development in diseases such as cancer.","container-title":"Nucleic Acids Research","DOI":"10.1093/nar/gkv047","ISSN":"1362-4962, 0305-1048","issue":"4","language":"en","license":"http://creativecommons.org/licenses/by/4.0/","page":"2466-2485","source":"DOI.org (Crossref)","title":"Regulation of mammalian nucleotide metabolism and biosynthesis","volume":"43","author":[{"family":"Lane","given":"Andrew N"},{"family":"Fan","given":"Teresa W-M"}],"issued":{"date-parts":[["2015",2,27]]}}}],"schema":"https://github.com/citation-style-language/schema/raw/master/csl-citation.json"} </w:instrText>
      </w:r>
      <w:r w:rsidR="00527CA4">
        <w:fldChar w:fldCharType="separate"/>
      </w:r>
      <w:r w:rsidR="00527CA4">
        <w:rPr>
          <w:noProof/>
        </w:rPr>
        <w:t>(Kilstrup et al., 2005; Lane &amp; Fan, 2015)</w:t>
      </w:r>
      <w:r w:rsidR="00527CA4">
        <w:fldChar w:fldCharType="end"/>
      </w:r>
      <w:r w:rsidR="00527CA4">
        <w:t xml:space="preserve">. </w:t>
      </w:r>
      <w:r w:rsidR="009420D9">
        <w:t>T</w:t>
      </w:r>
      <w:r w:rsidR="00527CA4">
        <w:t>here is</w:t>
      </w:r>
      <w:r w:rsidR="009420D9">
        <w:t xml:space="preserve"> also</w:t>
      </w:r>
      <w:r w:rsidR="00527CA4">
        <w:t xml:space="preserve"> an increase in pathways that may support accuracy during translation </w:t>
      </w:r>
      <w:r w:rsidR="00527CA4" w:rsidRPr="00F33655">
        <w:t xml:space="preserve">such as </w:t>
      </w:r>
      <w:proofErr w:type="spellStart"/>
      <w:r w:rsidR="00527CA4" w:rsidRPr="00F33655">
        <w:t>queuosine</w:t>
      </w:r>
      <w:proofErr w:type="spellEnd"/>
      <w:r w:rsidR="00527CA4" w:rsidRPr="00F33655">
        <w:t xml:space="preserve"> synthesis and S-adenosylmethionine salvage</w:t>
      </w:r>
      <w:r w:rsidR="009420D9">
        <w:t xml:space="preserve"> </w:t>
      </w:r>
      <w:r w:rsidR="00527CA4" w:rsidRPr="00F33655">
        <w:t>(Vinayak &amp; Pathak, 2010)</w:t>
      </w:r>
      <w:r w:rsidR="009420D9">
        <w:t>(Fig</w:t>
      </w:r>
      <w:r w:rsidR="0093678B">
        <w:t xml:space="preserve"> 4D</w:t>
      </w:r>
      <w:r w:rsidR="009420D9">
        <w:t>)</w:t>
      </w:r>
      <w:r w:rsidR="00527CA4">
        <w:t>.</w:t>
      </w:r>
      <w:r w:rsidR="002E1BAD">
        <w:t xml:space="preserve"> This coordinated increase in nucleotide</w:t>
      </w:r>
      <w:r w:rsidR="008F34C4">
        <w:t xml:space="preserve"> and translation-associated</w:t>
      </w:r>
      <w:r w:rsidR="002E1BAD">
        <w:t xml:space="preserve"> metabolism may reflect a microbial response to redox imbalance, because the accumulation of ROS due to insufficient neutralization can lead to DNA damage that requires repair through de novo synthesis and salvage </w:t>
      </w:r>
      <w:r w:rsidR="002E1BAD">
        <w:fldChar w:fldCharType="begin"/>
      </w:r>
      <w:r w:rsidR="002E1BAD">
        <w:instrText xml:space="preserve"> ADDIN ZOTERO_ITEM CSL_CITATION {"citationID":"De7gRBET","properties":{"formattedCitation":"(Imlay, 2013)","plainCitation":"(Imlay, 2013)","noteIndex":0},"citationItems":[{"id":3368,"uris":["http://zotero.org/users/13901503/items/R3YTNYU9"],"itemData":{"id":3368,"type":"article-journal","abstract":"Excess oxygen can disrupt the growth of most organisms, but the underlying mechanisms of damage have proved difficult to unravel. The model bacterium Escherichia coli represents the best understood organism in terms of the effects of and response to oxidative stress.Superoxide (O2−) and hydrogen peroxide (H2O2) are formed within cells when molecular oxygen (O2) adventitiously acquires electrons from the reduced cofactors of flavoproteins.Both O2− and H2O2 can oxidize the exposed Fe–S clusters of a family of dehydratases. This event destabilizes the clusters, and their consequent disintegration eliminates enzyme activity.O2− and H2O2 also inactivate a variety of non-redox enzymes that use single Fe2+ ions as catalytic cofactors.DNA is damaged when H2O2 reacts with the intracellular pool of unincorporated iron. The iron that is released from oxidized metalloproteins enlarges this pool and accelerates this process.The transcription factor OxyR detects modest increments in intracellular H2O2. It activates several responses that help preserve the activities of Fe–S and mononuclear metalloenzymes.The SoxRS system detects redox-active compounds that are released by plants and some bacteria. These compounds can generate toxic doses of O2−, and the SoxRS system acts primarily to minimize the amounts of these compounds inside the cell.Future studies should aim to determine whether the knowledge gained from studying oxidative stress in the facultative anaerobe E. coli is applicable to other organisms, such as strictly aerobic and microaerophilic bacteria.","container-title":"Nature Reviews Microbiology","DOI":"10.1038/nrmicro3032","ISSN":"1740-1534","issue":"7","journalAbbreviation":"Nat Rev Microbiol","language":"en","license":"2013 Springer Nature Limited","note":"publisher: Nature Publishing Group","page":"443-454","source":"www.nature.com","title":"The molecular mechanisms and physiological consequences of oxidative stress: lessons from a model bacterium","title-short":"The molecular mechanisms and physiological consequences of oxidative stress","volume":"11","author":[{"family":"Imlay","given":"James A."}],"issued":{"date-parts":[["2013",7]]}}}],"schema":"https://github.com/citation-style-language/schema/raw/master/csl-citation.json"} </w:instrText>
      </w:r>
      <w:r w:rsidR="002E1BAD">
        <w:fldChar w:fldCharType="separate"/>
      </w:r>
      <w:r w:rsidR="002E1BAD">
        <w:rPr>
          <w:noProof/>
        </w:rPr>
        <w:t>(Imlay, 2013)</w:t>
      </w:r>
      <w:r w:rsidR="002E1BAD">
        <w:fldChar w:fldCharType="end"/>
      </w:r>
      <w:r w:rsidR="002E1BAD">
        <w:t>.</w:t>
      </w:r>
    </w:p>
    <w:p w14:paraId="03400CF7" w14:textId="56A60204" w:rsidR="006556ED" w:rsidRDefault="00527CA4" w:rsidP="006556ED">
      <w:r w:rsidRPr="00527CA4">
        <w:t xml:space="preserve"> </w:t>
      </w:r>
      <w:r w:rsidR="006556ED">
        <w:tab/>
      </w:r>
      <w:r w:rsidR="00E71737">
        <w:t xml:space="preserve">Metabolic shifts </w:t>
      </w:r>
      <w:r w:rsidR="00AE5F8C">
        <w:t>associated with</w:t>
      </w:r>
      <w:r w:rsidR="00F9376B">
        <w:t xml:space="preserve"> </w:t>
      </w:r>
      <w:r w:rsidR="00AE5F8C">
        <w:t>high</w:t>
      </w:r>
      <w:r w:rsidR="00F9376B">
        <w:t xml:space="preserve"> temperatures may</w:t>
      </w:r>
      <w:r w:rsidR="00AE5F8C">
        <w:t xml:space="preserve"> </w:t>
      </w:r>
      <w:r w:rsidR="0001699A">
        <w:t xml:space="preserve">also </w:t>
      </w:r>
      <w:r w:rsidR="00E50346">
        <w:t>disrupt</w:t>
      </w:r>
      <w:r w:rsidR="00576C66">
        <w:t xml:space="preserve"> </w:t>
      </w:r>
      <w:r w:rsidR="00F9376B">
        <w:t xml:space="preserve">homeostasis between the gut microbiome and </w:t>
      </w:r>
      <w:r w:rsidR="00AE5F8C">
        <w:t xml:space="preserve">the </w:t>
      </w:r>
      <w:r w:rsidR="00F9376B">
        <w:t>host immune system</w:t>
      </w:r>
      <w:r w:rsidR="00576C66">
        <w:t>.</w:t>
      </w:r>
      <w:r w:rsidR="00AE5F8C">
        <w:t xml:space="preserve"> </w:t>
      </w:r>
      <w:r w:rsidR="00576C66">
        <w:t xml:space="preserve">Rising temperatures are associated with a </w:t>
      </w:r>
      <w:r w:rsidR="00576C66" w:rsidRPr="00183627">
        <w:t xml:space="preserve">decrease in </w:t>
      </w:r>
      <w:r w:rsidR="00576C66">
        <w:t xml:space="preserve">microbial </w:t>
      </w:r>
      <w:r w:rsidR="00576C66" w:rsidRPr="00183627">
        <w:t xml:space="preserve">pathways that </w:t>
      </w:r>
      <w:r w:rsidR="00576C66">
        <w:t xml:space="preserve">produce metabolites </w:t>
      </w:r>
      <w:r w:rsidR="00E50346">
        <w:t xml:space="preserve">known to </w:t>
      </w:r>
      <w:r w:rsidR="00AE5F8C">
        <w:t>support</w:t>
      </w:r>
      <w:r w:rsidR="00576C66">
        <w:t xml:space="preserve"> anti-inflammatory</w:t>
      </w:r>
      <w:r w:rsidR="00AE5F8C">
        <w:t xml:space="preserve"> signaling directed from the</w:t>
      </w:r>
      <w:r w:rsidR="00E50346">
        <w:t xml:space="preserve"> </w:t>
      </w:r>
      <w:r w:rsidR="00AE5F8C">
        <w:t xml:space="preserve">microbiome to the host. This includes a reduction in the production of short-chain fatty acids </w:t>
      </w:r>
      <w:r w:rsidR="00E50346">
        <w:t xml:space="preserve">such as </w:t>
      </w:r>
      <w:r w:rsidR="00AE5F8C">
        <w:t xml:space="preserve">butyrate and propanoate, catabolism of monosaturated fatty acids like oleate, </w:t>
      </w:r>
      <w:r w:rsidR="00E50346">
        <w:t>a</w:t>
      </w:r>
      <w:r w:rsidR="007D3307">
        <w:t>n</w:t>
      </w:r>
      <w:r w:rsidR="00E50346">
        <w:t>d amino acid–derived immunomodulators including arginine degradation and ornithine biosynthesis</w:t>
      </w:r>
      <w:r w:rsidR="0093678B">
        <w:t xml:space="preserve"> (Fig 4E)</w:t>
      </w:r>
      <w:r w:rsidR="00E50346">
        <w:t xml:space="preserve">. </w:t>
      </w:r>
      <w:r w:rsidR="00AE5F8C">
        <w:t xml:space="preserve">Loss of these pathways </w:t>
      </w:r>
      <w:r w:rsidR="00E50346">
        <w:t xml:space="preserve">may weaken </w:t>
      </w:r>
      <w:r w:rsidR="00AE5F8C">
        <w:t xml:space="preserve">key mechanisms that promote host immune tolerance </w:t>
      </w:r>
      <w:r w:rsidR="00617EEE">
        <w:t>toward</w:t>
      </w:r>
      <w:r w:rsidR="00AE5F8C">
        <w:t xml:space="preserve"> gut </w:t>
      </w:r>
      <w:r w:rsidR="00E50346">
        <w:t>bacteria</w:t>
      </w:r>
      <w:r w:rsidR="00AE5F8C">
        <w:t xml:space="preserve"> </w:t>
      </w:r>
      <w:r w:rsidR="00E50346">
        <w:t>including</w:t>
      </w:r>
      <w:r w:rsidR="00AE5F8C">
        <w:t xml:space="preserve"> support of anti-inflammatory </w:t>
      </w:r>
      <w:r w:rsidR="00E50346">
        <w:t xml:space="preserve">regulatory T </w:t>
      </w:r>
      <w:r w:rsidR="00AE5F8C">
        <w:t xml:space="preserve">cell activity </w:t>
      </w:r>
      <w:r w:rsidR="00AE5F8C">
        <w:fldChar w:fldCharType="begin"/>
      </w:r>
      <w:r w:rsidR="00AE5F8C">
        <w:instrText xml:space="preserve"> ADDIN ZOTERO_ITEM CSL_CITATION {"citationID":"oCjERRK6","properties":{"formattedCitation":"(Arpaia et al., 2013; Furusawa et al., 2013)","plainCitation":"(Arpaia et al., 2013; Furusawa et al., 2013)","noteIndex":0},"citationItems":[{"id":3266,"uris":["http://zotero.org/users/13901503/items/ZX3K6GKV"],"itemData":{"id":3266,"type":"article-journal","abstract":"In mice, provision of butyrate—a short-chain fatty acid produced by commensal microorganisms during starch fermentation—facilitates extrathymic generation and differentiation of Foxp3+ regulatory T cells, demonstrating that metabolic by-products are sensed by cells of the immune system and affect the balance between pro- and anti-inflammatory cells.","container-title":"Nature","DOI":"10.1038/nature12726","ISSN":"1476-4687","issue":"7480","language":"en","license":"2013 Springer Nature Limited","note":"publisher: Nature Publishing Group","page":"451-455","source":"www.nature.com","title":"Metabolites produced by commensal bacteria promote peripheral regulatory T-cell generation","volume":"504","author":[{"family":"Arpaia","given":"Nicholas"},{"family":"Campbell","given":"Clarissa"},{"family":"Fan","given":"Xiying"},{"family":"Dikiy","given":"Stanislav"},{"family":"Veeken","given":"Joris","non-dropping-particle":"van der"},{"family":"deRoos","given":"Paul"},{"family":"Liu","given":"Hui"},{"family":"Cross","given":"Justin R."},{"family":"Pfeffer","given":"Klaus"},{"family":"Coffer","given":"Paul J."},{"family":"Rudensky","given":"Alexander Y."}],"issued":{"date-parts":[["2013",12]]}}},{"id":3264,"uris":["http://zotero.org/users/13901503/items/8XXJ4CBR"],"itemData":{"id":3264,"type":"article-journal","abstract":"The gut microbial metabolite butyrate is shown to induce the differentiation of colonic T regulatory cells in mice and to ameliorate the development of colitis; it also increases histone H3 acetylation at the Foxp3 promoter.","container-title":"Nature","DOI":"10.1038/nature12721","ISSN":"1476-4687","issue":"7480","language":"en","license":"2013 Springer Nature Limited","note":"publisher: Nature Publishing Group","page":"446-450","source":"www.nature.com","title":"Commensal microbe-derived butyrate induces the differentiation of colonic regulatory T cells","volume":"504","author":[{"family":"Furusawa","given":"Yukihiro"},{"family":"Obata","given":"Yuuki"},{"family":"Fukuda","given":"Shinji"},{"family":"Endo","given":"Takaho A."},{"family":"Nakato","given":"Gaku"},{"family":"Takahashi","given":"Daisuke"},{"family":"Nakanishi","given":"Yumiko"},{"family":"Uetake","given":"Chikako"},{"family":"Kato","given":"Keiko"},{"family":"Kato","given":"Tamotsu"},{"family":"Takahashi","given":"Masumi"},{"family":"Fukuda","given":"Noriko N."},{"family":"Murakami","given":"Shinnosuke"},{"family":"Miyauchi","given":"Eiji"},{"family":"Hino","given":"Shingo"},{"family":"Atarashi","given":"Koji"},{"family":"Onawa","given":"Satoshi"},{"family":"Fujimura","given":"Yumiko"},{"family":"Lockett","given":"Trevor"},{"family":"Clarke","given":"Julie M."},{"family":"Topping","given":"David L."},{"family":"Tomita","given":"Masaru"},{"family":"Hori","given":"Shohei"},{"family":"Ohara","given":"Osamu"},{"family":"Morita","given":"Tatsuya"},{"family":"Koseki","given":"Haruhiko"},{"family":"Kikuchi","given":"Jun"},{"family":"Honda","given":"Kenya"},{"family":"Hase","given":"Koji"},{"family":"Ohno","given":"Hiroshi"}],"issued":{"date-parts":[["2013",12]]}}}],"schema":"https://github.com/citation-style-language/schema/raw/master/csl-citation.json"} </w:instrText>
      </w:r>
      <w:r w:rsidR="00AE5F8C">
        <w:fldChar w:fldCharType="separate"/>
      </w:r>
      <w:r w:rsidR="00AE5F8C">
        <w:rPr>
          <w:noProof/>
        </w:rPr>
        <w:t>(Arpaia et al., 2013; Furusawa et al., 2013)</w:t>
      </w:r>
      <w:r w:rsidR="00AE5F8C">
        <w:fldChar w:fldCharType="end"/>
      </w:r>
      <w:r w:rsidR="00AE5F8C">
        <w:t xml:space="preserve">, suppression of pro-inflammatory cytokine signaling </w:t>
      </w:r>
      <w:r w:rsidR="00AE5F8C">
        <w:fldChar w:fldCharType="begin"/>
      </w:r>
      <w:r w:rsidR="00AE5F8C">
        <w:instrText xml:space="preserve"> ADDIN ZOTERO_ITEM CSL_CITATION {"citationID":"CvzFPJOA","properties":{"formattedCitation":"(Hung et al., 2023; Klampfer et al., 2003)","plainCitation":"(Hung et al., 2023; Klampfer et al., 2003)","noteIndex":0},"citationItems":[{"id":3176,"uris":["http://zotero.org/users/13901503/items/HTMPX6GE"],"itemData":{"id":3176,"type":"article-journal","abstract":"Monocytes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schema":"https://github.com/citation-style-language/schema/raw/master/csl-citation.json"} </w:instrText>
      </w:r>
      <w:r w:rsidR="00AE5F8C">
        <w:fldChar w:fldCharType="separate"/>
      </w:r>
      <w:r w:rsidR="00AE5F8C">
        <w:rPr>
          <w:noProof/>
        </w:rPr>
        <w:t>(Hung et al., 2023; Klampfer et al., 2003)</w:t>
      </w:r>
      <w:r w:rsidR="00AE5F8C">
        <w:fldChar w:fldCharType="end"/>
      </w:r>
      <w:r w:rsidR="00AE5F8C">
        <w:t xml:space="preserve">, and support </w:t>
      </w:r>
      <w:r w:rsidR="00E50346">
        <w:t>for</w:t>
      </w:r>
      <w:r w:rsidR="00AE5F8C">
        <w:t xml:space="preserve"> M2 macrophage anti-inflammatory </w:t>
      </w:r>
      <w:r w:rsidR="00E50346">
        <w:t>activity</w:t>
      </w:r>
      <w:r w:rsidR="00AE5F8C">
        <w:t xml:space="preserve"> </w:t>
      </w:r>
      <w:r w:rsidR="00AE5F8C">
        <w:fldChar w:fldCharType="begin"/>
      </w:r>
      <w:r w:rsidR="00AE5F8C">
        <w:instrText xml:space="preserve"> ADDIN ZOTERO_ITEM CSL_CITATION {"citationID":"ed86fdVL","properties":{"formattedCitation":"(Bronte &amp; Zanovello, 2005; Rath et al., 2014)","plainCitation":"(Bronte &amp; Zanovello, 2005; Rath et al., 2014)","noteIndex":0},"citationItems":[{"id":3530,"uris":["http://zotero.org/users/13901503/items/C52YCWD9"],"itemData":{"id":3530,"type":"article-journal","abstract":"An impaired balance between immature and mature myeloid cells is one of the hallmarks of seemingly unrelated pathological conditions that are associated with T-cell dysfunction.In mice, co-expression of CD11b and GR1 is associated with myeloid cells at various stages of differentiation that can inhibit T-cell activation induced by either antigen or a polyclonal stimulus. This inhibition occurs through an MHC-independent mechanism that requires cell–cell contact.These myeloid cells are known as myeloid suppressor cells (MSCs), and they partially overlap with the previously described natural suppressor cells. MSCs arise from bone marrow and other haematopoietic organs that are exposed to systemically released factors that act on myelomonocytic precursors.MSCs inhibit antigen-activated T cells by a mechanism that requires important enzymes of L-arginine metabolism, the inducible forms of nitric-oxide synthase (NOS) and arginase (ARG), NOS2 and ARG1. In mouse myeloid cells, NOS2 and ARG1are competitively regulated by T helper 1 (TH1) and TH2 cytokines, respectively.MSCs can use ARG1 and NOS2, either separately or in combination, to restrain T-cell functions. The choice is regulated by a network of signals, cytokines and receptor–ligand interactions that underlie the crosstalk between MSCs and activated T cells.NOS2 generates nitric oxide (NO), which blocks signalling from the interleukin-2 receptor. By contrast, L-arginine depletion induced by the activity of ARG1 causes downregulation of expression of the ζ-chain of CD3 and, consequently, impairment of its signalling properties.Moreover, NO and superoxide (O2−) production in MSCs generates several highly oxidizing molecules known as reactive nitrogen and oxygen species. Generation of reactive nitrogen and oxygen species regulates the contraction phase of CD8+ T cells following antigenic stimulation.The activity of ARG1 and NOS2 working in combination was recently described for CD11b+GR1+ cells from tumour-bearing mice and chronically infected mice, thereby indicating that co-expression of both enzymes could be unique to MSCs.Evidence from animal and human models indicates that the immunomodulatory role of L-arginine metabolism is important in physiological, as well as pathological, conditions, which provides the rationale for development of therapeutic compounds that control the ARG and NOS enzymatic pathways.","container-title":"Nature Reviews Immunology","DOI":"10.1038/nri1668","ISSN":"1474-1741","issue":"8","journalAbbreviation":"Nat Rev Immunol","language":"en","license":"2005 Springer Nature Limited","note":"publisher: Nature Publishing Group","page":"641-654","source":"www.nature.com","title":"Regulation of immune responses by L-arginine metabolism","volume":"5","author":[{"family":"Bronte","given":"Vincenzo"},{"family":"Zanovello","given":"Paola"}],"issued":{"date-parts":[["2005",8]]}}},{"id":3268,"uris":["http://zotero.org/users/13901503/items/7ZIYMCTV"],"itemData":{"id":3268,"type":"article-journal","abstract":"Macrophages play a major role in the immune system, both as antimicrobial effector cells and as immunoregulatory cells, which induce, suppress or modulate adaptive immune responses. These key aspects of macrophage biology are fundamentally driven by the phenotype of macrophage arginine metabolism that is prevalent in an evolving or ongoing immune response. M1 macrophages express the enzyme nitric oxide synthase, which metabolizes arginine to nitric oxide (NO) and citrulline. NO can be metabolized to further downstream reactive nitrogen species, while citrulline might be reused for efficient NO synthesis via the citrulline–NO cycle. M2 macrophages are characterized by expression of the enzyme arginase, which hydrolyzes arginine to ornithine and urea. The arginase pathway limits arginine availability for NO synthesis and ornithine itself can further feed into the important downstream pathways of polyamine and proline syntheses, which are important for cellular proliferation and tissue repair. M1 versus M2 polarization leads to opposing outcomes of inflammatory reactions, but depending on the context, M1 and M2 macrophages can be both pro- and anti-inflammatory. Notably, M1/M2 macrophage polarization can be driven by microbial infection or innate danger signals without any influence of adaptive immune cells, secondarily driving the T helper (Th)1/Th2 polarization of the evolving adaptive immune response. Since both arginine metabolic pathways cross-inhibit each other on the level of the respective arginine break-down products and Th1 and Th2 lymphocytes can drive or amplify macrophage M1/M2 dichotomy via cytokine activation, this forms the basis of a self-sustaining M1/M2 polarization of the whole immune response. Understanding the arginine metabolism of M1/M2 macrophage phenotypes is therefore central to find new possibilities to manipulate immune responses in infection, autoimmune diseases, chronic inflammatory conditions, and cancer.","container-title":"Frontiers in Immunology","DOI":"10.3389/fimmu.2014.00532","ISSN":"1664-3224","journalAbbreviation":"Front. Immunol.","language":"English","note":"publisher: Frontiers","source":"Frontiers","title":"Metabolism via Arginase or Nitric Oxide Synthase: Two Competing Arginine Pathways in Macrophages","title-short":"Metabolism via Arginase or Nitric Oxide Synthase","URL":"https://www.frontiersin.orghttps://www.frontiersin.org/journals/immunology/articles/10.3389/fimmu.2014.00532/full","volume":"5","author":[{"family":"Rath","given":"Meera"},{"family":"Müller","given":"Ingrid"},{"family":"Kropf","given":"Pascale"},{"family":"Closs","given":"Ellen I."},{"family":"Munder","given":"Markus"}],"accessed":{"date-parts":[["2025",5,9]]},"issued":{"date-parts":[["2014",10,27]]}}}],"schema":"https://github.com/citation-style-language/schema/raw/master/csl-citation.json"} </w:instrText>
      </w:r>
      <w:r w:rsidR="00AE5F8C">
        <w:fldChar w:fldCharType="separate"/>
      </w:r>
      <w:r w:rsidR="00AE5F8C">
        <w:rPr>
          <w:noProof/>
        </w:rPr>
        <w:t>(Bronte &amp; Zanovello, 2005; Rath et al., 2014)</w:t>
      </w:r>
      <w:r w:rsidR="00AE5F8C">
        <w:fldChar w:fldCharType="end"/>
      </w:r>
      <w:r w:rsidR="00AE5F8C">
        <w:t xml:space="preserve">. </w:t>
      </w:r>
      <w:r w:rsidR="006556ED">
        <w:t xml:space="preserve">However, these shifts are accompanied by an increase in select pathways that may help compensate for the loss of microbial immune regulation, including the synthesis of the </w:t>
      </w:r>
      <w:r w:rsidR="006556ED" w:rsidRPr="00617EEE">
        <w:rPr>
          <w:highlight w:val="yellow"/>
        </w:rPr>
        <w:t>monounsaturated</w:t>
      </w:r>
      <w:r w:rsidR="006556ED">
        <w:t xml:space="preserve"> fatty acid (5Z)-</w:t>
      </w:r>
      <w:proofErr w:type="spellStart"/>
      <w:r w:rsidR="006556ED">
        <w:t>dodecenoate</w:t>
      </w:r>
      <w:proofErr w:type="spellEnd"/>
      <w:r w:rsidR="006556ED">
        <w:t xml:space="preserve"> and L-tryptophan biosynthesis, which leads to the production of indole derivatives that suppress pro-inflammatory cytokine signaling </w:t>
      </w:r>
      <w:r w:rsidR="006556ED">
        <w:fldChar w:fldCharType="begin"/>
      </w:r>
      <w:r w:rsidR="006556ED">
        <w:instrText xml:space="preserve"> ADDIN ZOTERO_ITEM CSL_CITATION {"citationID":"WbrfEbW1","properties":{"formattedCitation":"(Konopelski &amp; Mogilnicka, 2022)","plainCitation":"(Konopelski &amp; Mogilnicka, 2022)","noteIndex":0},"citationItems":[{"id":3532,"uris":["http://zotero.org/users/13901503/items/X4GCYZZS"],"itemData":{"id":3532,"type":"article-journal","abstract":"Actions of symbiotic gut microbiota are in dynamic balance with the host’s organism to maintain homeostasis. Many different factors have an impact on this relationship, including bacterial metabolites. Several substrates for their synthesis have been established, including tryptophan, an exogenous amino acid. Many biological processes are influenced by the action of tryptophan and its endogenous metabolites, serotonin, and melatonin. Recent research findings also provide evidence that gut bacteria-derived metabolites of tryptophan share the biological effects of their precursor. Thus, this review aims to investigate the biological actions of indole-3-propionic acid (IPA), a gut microbiota-derived metabolite of tryptophan. We searched PUBMED and Google Scholar databases to identify pre-clinical and clinical studies evaluating the impact of IPA on the health and pathophysiology of the immune, nervous, gastrointestinal and cardiovascular system in mammals. IPA exhibits a similar impact on the energetic balance and cardiovascular system to its precursor, tryptophan. Additionally, IPA has a positive impact on a cellular level, by preventing oxidative stress injury, lipoperoxidation and inhibiting synthesis of proinflammatory cytokines. Its synthesis can be diminished in the presence of different risk factors of atherosclerosis. On the other hand, protective factors, such as the introduction of a Mediterranean diet, tend to increase its plasma concentration. IPA seems to be a promising new target, linking gut health with the cardiovascular system.","container-title":"International Journal of Molecular Sciences","DOI":"10.3390/ijms23031222","ISSN":"1422-0067","issue":"3","language":"en","license":"http://creativecommons.org/licenses/by/3.0/","note":"number: 3\npublisher: Multidisciplinary Digital Publishing Institute","page":"1222","source":"www.mdpi.com","title":"Biological Effects of Indole-3-Propionic Acid, a Gut Microbiota-Derived Metabolite, and Its Precursor Tryptophan in Mammals’ Health and Disease","volume":"23","author":[{"family":"Konopelski","given":"Piotr"},{"family":"Mogilnicka","given":"Izabella"}],"issued":{"date-parts":[["2022",1]]}}}],"schema":"https://github.com/citation-style-language/schema/raw/master/csl-citation.json"} </w:instrText>
      </w:r>
      <w:r w:rsidR="006556ED">
        <w:fldChar w:fldCharType="separate"/>
      </w:r>
      <w:r w:rsidR="006556ED">
        <w:rPr>
          <w:noProof/>
        </w:rPr>
        <w:t>(Konopelski &amp; Mogilnicka, 2022)</w:t>
      </w:r>
      <w:r w:rsidR="006556ED">
        <w:fldChar w:fldCharType="end"/>
      </w:r>
      <w:r w:rsidR="006556ED">
        <w:t xml:space="preserve">. </w:t>
      </w:r>
    </w:p>
    <w:p w14:paraId="6F1055D8" w14:textId="4B3E14DB" w:rsidR="006556ED" w:rsidRDefault="006556ED"/>
    <w:p w14:paraId="292544DE" w14:textId="77777777" w:rsidR="002A13F0" w:rsidRDefault="002A13F0" w:rsidP="002A13F0">
      <w:r>
        <w:t xml:space="preserve">Discussion: </w:t>
      </w:r>
    </w:p>
    <w:p w14:paraId="59FFD377" w14:textId="01EF363D" w:rsidR="002A13F0" w:rsidRPr="004F7281" w:rsidRDefault="002A13F0" w:rsidP="004F7281">
      <w:pPr>
        <w:rPr>
          <w:u w:val="single"/>
        </w:rPr>
      </w:pPr>
      <w:r w:rsidRPr="00C64C3B">
        <w:rPr>
          <w:u w:val="single"/>
        </w:rPr>
        <w:t xml:space="preserve">Gut microbiome </w:t>
      </w:r>
      <w:r>
        <w:rPr>
          <w:u w:val="single"/>
        </w:rPr>
        <w:t>response to</w:t>
      </w:r>
      <w:r w:rsidRPr="00C64C3B">
        <w:rPr>
          <w:u w:val="single"/>
        </w:rPr>
        <w:t xml:space="preserve"> temperature</w:t>
      </w:r>
    </w:p>
    <w:p w14:paraId="13F773F0" w14:textId="6C39FBB5" w:rsidR="002A13F0" w:rsidRDefault="002A13F0" w:rsidP="004F7281">
      <w:pPr>
        <w:ind w:firstLine="720"/>
      </w:pPr>
      <w:r>
        <w:t xml:space="preserve">Temperature is a key predictor of gut microbiome </w:t>
      </w:r>
      <w:r w:rsidR="00062C3C">
        <w:t xml:space="preserve">taxonomic and functional </w:t>
      </w:r>
      <w:r>
        <w:t>composition in wild, white-faced capuchin monkeys, shaping community-level diversity</w:t>
      </w:r>
      <w:r w:rsidR="00062C3C">
        <w:t xml:space="preserve"> and</w:t>
      </w:r>
      <w:r>
        <w:t xml:space="preserve"> the abundance of individual microbes</w:t>
      </w:r>
      <w:r w:rsidR="00062C3C">
        <w:t xml:space="preserve"> and metabolic pathways</w:t>
      </w:r>
      <w:r>
        <w:t xml:space="preserve">. These </w:t>
      </w:r>
      <w:r w:rsidR="00455D9E">
        <w:t>results</w:t>
      </w:r>
      <w:r>
        <w:t xml:space="preserve"> highlight temperature as an environmental driver of microbiome variation beyond ecological predictors traditionally examined in primate gut microbiome research [e.g. season </w:t>
      </w:r>
      <w:r>
        <w:fldChar w:fldCharType="begin"/>
      </w:r>
      <w:r>
        <w:instrText xml:space="preserve"> ADDIN ZOTERO_ITEM CSL_CITATION {"citationID":"BIuWCRpJ","properties":{"formattedCitation":"(Baniel et al., 2021; Orkin, Campos, et al., 2019)","plainCitation":"(Baniel et al., 2021; Orkin, Campos, et al., 2019)","noteIndex":0},"citationItems":[{"id":623,"uris":["http://zotero.org/users/13901503/items/BZNLIQ5D"],"itemData":{"id":623,"type":"article-journal","abstract":"Background: Adaptive shifts in gut microbiome composition are one route by which animals adapt to seasonal changes in food availability and diet. However, outside of dietary shifts, other potential environmental drivers of gut microbial composition have rarely been investigated, particularly in organisms living in their natural environments.\nResults: Here, we generated the largest wild nonhuman primate gut microbiome dataset to date to identify the environmental drivers of gut microbial diversity and function in 758 samples collected from wild Ethiopian geladas (Theropithecus gelada). Because geladas live in a cold, high-altitude environment and have a low-quality grass-based diet, they face extreme thermoregulatory and energetic constraints. We tested how proxies of food availability (rainfall) and thermoregulatory stress (temperature) predicted gut microbiome composition of geladas. The gelada gut microbiome composition covaried with rainfall and temperature in a pattern that suggests distinct responses to dietary and thermoregulatory challenges. Microbial changes were driven by differences in the main components of the diet across seasons: in rainier periods, the gut was dominated by cellulolytic/fermentative bacteria that specialized in digesting grass, while during dry periods the gut was dominated by bacteria that break down starches found in underground plant parts. Temperature had a comparatively smaller, but detectable, effect on the gut microbiome. During cold and dry periods, bacterial genes involved in energy, amino acid, and lipid metabolism increased, suggesting a stimulation of fermentation activity in the gut when thermoregulatory and nutritional stress co-occurred, and potentially helping geladas to maintain energy balance during challenging periods.\nConclusion: Together, these results shed light on the extent to which gut microbiota plasticity provides dietary and metabolic flexibility to the host, and might be a key factor to thriving in changing environments. On a longer evolutionary timescale, such metabolic flexibility provided by the gut microbiome may have also allowed members of Theropithecus to adopt a specialized diet, and colonize new high-altitude grassland habitats in East Africa.","container-title":"Microbiome","DOI":"10.1186/s40168-020-00977-9","ISSN":"2049-2618","issue":"1","journalAbbreviation":"Microbiome","language":"en","page":"26","source":"DOI.org (Crossref)","title":"Seasonal shifts in the gut microbiome indicate plastic responses to diet in wild geladas","volume":"9","author":[{"family":"Baniel","given":"Alice"},{"family":"Amato","given":"Katherine R."},{"family":"Beehner","given":"Jacinta C."},{"family":"Bergman","given":"Thore J."},{"family":"Mercer","given":"Arianne"},{"family":"Perlman","given":"Rachel F."},{"family":"Petrullo","given":"Lauren"},{"family":"Reitsema","given":"Laurie"},{"family":"Sams","given":"Sierra"},{"family":"Lu","given":"Amy"},{"family":"Snyder-Mackler","given":"Noah"}],"issued":{"date-parts":[["2021",1,23]]}}},{"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fldChar w:fldCharType="separate"/>
      </w:r>
      <w:r>
        <w:rPr>
          <w:noProof/>
        </w:rPr>
        <w:t>(Baniel et al., 2021; Orkin, Campos, et al., 2019)</w:t>
      </w:r>
      <w:r>
        <w:fldChar w:fldCharType="end"/>
      </w:r>
      <w:r>
        <w:t xml:space="preserve">, habitat disturbance </w:t>
      </w:r>
      <w:r>
        <w:fldChar w:fldCharType="begin"/>
      </w:r>
      <w:r>
        <w:instrText xml:space="preserve"> ADDIN ZOTERO_ITEM CSL_CITATION {"citationID":"aWJOK2bQ","properties":{"formattedCitation":"(Amato et al., 2013; Barelli et al., 2015)","plainCitation":"(Amato et al., 2013; Barelli et al., 2015)","noteIndex":0},"citationItems":[{"id":13,"uris":["http://zotero.org/users/13901503/items/PSP5FMHG"],"itemData":{"id":13,"type":"article-journal","abstract":"The gastrointestinal (GI) microbiome contributes significantly to host nutrition and health. However, relationships involving GI microbes, their hosts and host macrohabitats remain to be established. Here, we define clear patterns of variation in the GI microbiomes of six groups of Mexican black howler monkeys (Alouatta pigra) occupying a gradation of habitats including a continuous evergreen rainforest, an evergreen rainforest fragment, a continuous semi-deciduous forest and captivity. High throughput microbial 16S ribosomal RNA gene sequencing indicated that diversity, richness and composition of howler GI microbiomes varied with host habitat in relation to diet. Howlers occupying suboptimal habitats consumed less diverse diets and correspondingly had less diverse gut microbiomes. Quantitative real-time PCR also revealed a reduction in the number of genes related to butyrate production and hydrogen metabolism in the microbiomes of howlers occupying suboptimal habitats, which may impact host health.","container-title":"The ISME Journal","DOI":"10.1038/ismej.2013.16","ISSN":"1751-7370","issue":"7","journalAbbreviation":"ISME J","language":"en","license":"2013 International Society for Microbial Ecology","note":"publisher: Nature Publishing Group","page":"1344-1353","source":"www.nature.com","title":"Habitat degradation impacts black howler monkey (Alouatta pigra) gastrointestinal microbiomes","volume":"7","author":[{"family":"Amato","given":"Katherine R."},{"family":"Yeoman","given":"Carl J."},{"family":"Kent","given":"Angela"},{"family":"Righini","given":"Nicoletta"},{"family":"Carbonero","given":"Franck"},{"family":"Estrada","given":"Alejandro"},{"family":"Rex Gaskins","given":"H."},{"family":"Stumpf","given":"Rebecca M."},{"family":"Yildirim","given":"Suleyman"},{"family":"Torralba","given":"Manolito"},{"family":"Gillis","given":"Marcus"},{"family":"Wilson","given":"Brenda A."},{"family":"Nelson","given":"Karen E."},{"family":"White","given":"Bryan A."},{"family":"Leigh","given":"Steven R."}],"issued":{"date-parts":[["2013",7]]}}},{"id":1,"uris":["http://zotero.org/users/13901503/items/5AKC3P3A"],"itemData":{"id":1,"type":"article-journal","abstract":"The expansion of agriculture is shrinking pristine forest areas worldwide, jeopardizing the persistence of their wild inhabitants. The Udzungwa red colobus monkey (Procolobus gordonorum) is among the most threatened primate species in Africa. Primarily arboreal and highly sensitive to hunting and habitat destruction, they provide a critical model to understanding whether anthropogenic disturbance impacts gut microbiota diversity. We sampled seven social groups inhabiting two forests (disturbed vs. undisturbed) in the Udzungwa Mountains of Tanzania. While Ruminococcaceae and Lachnospiraceae dominated in all individuals, reflecting their role in extracting energy from folivorous diets, analysis of genus composition showed a marked diversification across habitats, with gut microbiota α-diversity significantly higher in the undisturbed forest. Functional analysis suggests that such variation may be associated with food plant diversity in natural versus human-modified habitats, requiring metabolic pathways to digest xenobiotics. Thus, the effects of changes in gut microbiota should not be ignored to conserve endangered populations.","container-title":"Scientific Reports","DOI":"10.1038/srep14862","ISSN":"2045-2322","issue":"1","journalAbbreviation":"Sci Rep","language":"en","license":"2015 The Author(s)","note":"publisher: Nature Publishing Group","page":"14862","source":"www.nature.com","title":"Habitat fragmentation is associated to gut microbiota diversity of an endangered primate: implications for conservation","title-short":"Habitat fragmentation is associated to gut microbiota diversity of an endangered primate","volume":"5","author":[{"family":"Barelli","given":"Claudia"},{"family":"Albanese","given":"Davide"},{"family":"Donati","given":"Claudio"},{"family":"Pindo","given":"Massimo"},{"family":"Dallago","given":"Chiara"},{"family":"Rovero","given":"Francesco"},{"family":"Cavalieri","given":"Duccio"},{"family":"Tuohy","given":"Kieran Michael"},{"family":"Hauffe","given":"Heidi Christine"},{"family":"De Filippo","given":"Carlotta"}],"issued":{"date-parts":[["2015",10,7]]}}}],"schema":"https://github.com/citation-style-language/schema/raw/master/csl-citation.json"} </w:instrText>
      </w:r>
      <w:r>
        <w:fldChar w:fldCharType="separate"/>
      </w:r>
      <w:r>
        <w:rPr>
          <w:noProof/>
        </w:rPr>
        <w:t>(Amato et al., 2013; Barelli et al., 2015)</w:t>
      </w:r>
      <w:r>
        <w:fldChar w:fldCharType="end"/>
      </w:r>
      <w:r>
        <w:t xml:space="preserve">, sociality </w:t>
      </w:r>
      <w:r>
        <w:fldChar w:fldCharType="begin"/>
      </w:r>
      <w:r>
        <w:instrText xml:space="preserve"> ADDIN ZOTERO_ITEM CSL_CITATION {"citationID":"qNG1FT1u","properties":{"formattedCitation":"(Orkin, Webb, et al., 2019; Tung et al., 2015)","plainCitation":"(Orkin, Webb, et al., 2019; Tung et al., 2015)","noteIndex":0},"citationItems":[{"id":703,"uris":["http://zotero.org/users/13901503/items/6D6E98NC"],"itemData":{"id":703,"type":"article-journal","abstract":"The horizontal transmission of pathogenic and beneficial microbes has implications for health and development of socially living animals. Social group is repeatedly implicated as an important predictor of gut microbiome structure among primates, with individuals in neighboring social groups exhibiting distinct microbiomes. Here we examine whether group membership is a predictor of gut microbiome structure and diversity across three groups of white-faced capuchins (Cebus capucinus imitator) inhabiting a seasonal Costa Rican forest. We collected 62 fecal samples from 18 adult females during four sampling bouts. Sampling bouts spanned the dry-to-wet-to-dry seasonal transitions. To investigate gut microbial composition, we sequenced the V4 region of the 16S rRNA gene. We used the DADA2 pipeline to assign amplicon sequence variants and the RDP database to classify taxa. Our findings are: 1) gut microbiomes of capuchins clustered by social group in the late dry season, but this pattern was less evident in other sampling bouts; 2) social group was a significant variable in a PERMANOVA test of beta diversity, but it accounted for less variation than season; 3) social group was not an important predictor of abundance for the ten most abundant microbial taxa in capuchins; 4) when examining log2-fold abundances of microbes between social groups, there were significant differences in some pairwise comparisons. While this is suggestive of group-wide differences, individual variation may have a strong impact and should be assessed in future studies. Overall, we found a minor impact of social group membership on the gut microbiota of wild white-faced capuchins. Future research including home range overlap and resource use, as well as fine-scale investigation of individual variation, will further elucidate patterns of socially structured microbes.","container-title":"American Journal of Primatology","DOI":"10.1002/ajp.22985","ISSN":"1098-2345","issue":"10-11","language":"en","license":"© 2019 Wiley Periodicals, Inc.","note":"_eprint: https://onlinelibrary.wiley.com/doi/pdf/10.1002/ajp.22985","page":"e22985","source":"Wiley Online Library","title":"Small to modest impact of social group on the gut microbiome of wild Costa Rican capuchins in a seasonal forest","volume":"81","author":[{"family":"Orkin","given":"Joseph Daniel"},{"family":"Webb","given":"Shasta Ellen"},{"family":"Melin","given":"Amanda Dawn"}],"issued":{"date-parts":[["2019"]]}}},{"id":2227,"uris":["http://zotero.org/users/13901503/items/WKNYMWAY"],"itemData":{"id":2227,"type":"article-journal","abstract":"Social relationships have profound effects on health in humans and other primates, but the mechanisms that explain this relationship are not well understood. Using shotgun metagenomic data from wild baboons, we found that social group membership and social network relationships predicted both the taxonomic structure of the gut microbiome and the structure of genes encoded by gut microbial species. Rates of interaction directly explained variation in the gut microbiome, even after controlling for diet, kinship, and shared environments. They therefore strongly implicate direct physical contact among social partners in the transmission of gut microbial species. We identified 51 socially structured taxa, which were significantly enriched for anaerobic and non-spore-forming lifestyles. Our results argue that social interactions are an important determinant of gut microbiome composition in natural animal populations—a relationship with important ramifications for understanding how social relationships influence health, as well as the evolution of group living.","container-title":"eLife","DOI":"10.7554/eLife.05224","ISSN":"2050-084X","note":"publisher: eLife Sciences Publications, Ltd","page":"e05224","source":"eLife","title":"Social networks predict gut microbiome composition in wild baboons","volume":"4","author":[{"family":"Tung","given":"Jenny"},{"family":"Barreiro","given":"Luis B"},{"family":"Burns","given":"Michael B"},{"family":"Grenier","given":"Jean-Christophe"},{"family":"Lynch","given":"Josh"},{"family":"Grieneisen","given":"Laura E"},{"family":"Altmann","given":"Jeanne"},{"family":"Alberts","given":"Susan C"},{"family":"Blekhman","given":"Ran"},{"family":"Archie","given":"Elizabeth A"}],"editor":[{"family":"Alm","given":"Eric"}],"issued":{"date-parts":[["2015",3,16]]}}}],"schema":"https://github.com/citation-style-language/schema/raw/master/csl-citation.json"} </w:instrText>
      </w:r>
      <w:r>
        <w:fldChar w:fldCharType="separate"/>
      </w:r>
      <w:r>
        <w:rPr>
          <w:noProof/>
        </w:rPr>
        <w:t>(Orkin, Webb, et al., 2019; Tung et al., 2015)</w:t>
      </w:r>
      <w:r>
        <w:fldChar w:fldCharType="end"/>
      </w:r>
      <w:r>
        <w:t xml:space="preserve">, and </w:t>
      </w:r>
      <w:r w:rsidR="00455D9E">
        <w:t xml:space="preserve">geography </w:t>
      </w:r>
      <w:r>
        <w:fldChar w:fldCharType="begin"/>
      </w:r>
      <w:r>
        <w:instrText xml:space="preserve"> ADDIN ZOTERO_ITEM CSL_CITATION {"citationID":"oBbNaTtI","properties":{"formattedCitation":"(Amato et al., 2016; Bueno De Mesquita et al., 2021)","plainCitation":"(Amato et al., 2016; Bueno De Mesquita et al., 2021)","noteIndex":0},"citationItems":[{"id":618,"uris":["http://zotero.org/users/13901503/items/PY6HECL7"],"itemData":{"id":618,"type":"article-journal","abstract":"Recent studies suggest that variation in diet across time and space results in changes in the mammalian gut microbiota. This variation may ultimately impact host ecology by altering nutritional status and health. Wild animal populations provide an excellent opportunity for understanding these interactions. However, compared to clinical studies, microbial research targeting wild animals is currently limited, and many published studies focus only on a single population of a single host species. In this study we utilize fecal samples from two species of howler monkey (Alouatta pigra and A. palliata) collected at four sites to investigate factors influencing the gut microbiota at three scales: taxonomic (host species), ecosystemic (forest type), and local (habitat disturbance/season). The results demonstrate that the effect of host species on the gut microbiota is stronger than the effect of host forest type, which is stronger than the effect of habitat disturbance or seasonality. Nevertheless, within host species, gut microbiota composition differs in response to forest type, habitat disturbance, and season. Variations in the effect size of these factors are associated both with host species and environment. This information may be beneficial for understanding ecological and evolutionary questions associated with Mesoamerican howler monkeys, as well as determining conservation challenges facing each species. These mechanisms may also provide insight into the ecology of other species of howler monkeys, non-human primates, and mammals.","container-title":"Oecologia","DOI":"10.1007/s00442-015-3507-z","ISSN":"1432-1939","issue":"3","journalAbbreviation":"Oecologia","language":"en","page":"717-733","source":"Springer Link","title":"Phylogenetic and ecological factors impact the gut microbiota of two Neotropical primate species","volume":"180","author":[{"family":"Amato","given":"Katherine R."},{"family":"Martinez-Mota","given":"Rodolfo"},{"family":"Righini","given":"Nicoletta"},{"family":"Raguet-Schofield","given":"Melissa"},{"family":"Corcione","given":"Fabiana Paola"},{"family":"Marini","given":"Elisabetta"},{"family":"Humphrey","given":"Greg"},{"family":"Gogul","given":"Grant"},{"family":"Gaffney","given":"James"},{"family":"Lovelace","given":"Elijah"},{"family":"Williams","given":"LaShanda"},{"family":"Luong","given":"Albert"},{"family":"Dominguez-Bello","given":"Maria Gloria"},{"family":"Stumpf","given":"Rebecca M."},{"family":"White","given":"Bryan"},{"family":"Nelson","given":"Karen E."},{"family":"Knight","given":"Rob"},{"family":"Leigh","given":"Steven R."}],"issued":{"date-parts":[["2016",3,1]]}}},{"id":629,"uris":["http://zotero.org/users/13901503/items/AG6R9F5E"],"itemData":{"id":629,"type":"article-journal","abstract":"Understanding variation in host-associated microbial communities is important given the relevance of microbiomes to host physiology and health. Using 560 fecal samples collected from wild chimpanzees (Pan troglodytes) across their range, we assessed how geography, genetics, climate, vegetation, and diet relate to gut microbial community structure (prokaryotes, eukaryotic parasites) at multiple spatial scales. We observed a high degree of regional speciﬁcity in the microbiome composition, which was associated with host genetics, available plant foods, and potentially with cultural differences in tool use, which affect diet. Genetic differences drove community composition at large scales, while vegetation and potentially tool use drove within-region differences, likely due to their inﬂuence on diet. Unlike industrialized human populations in the United States, where regional differences in the gut microbiome are undetectable, chimpanzee gut microbiomes are far more variable across space, suggesting that technological developments have decoupled humans from their local environments, obscuring regional differences that could have been important during human evolution.","container-title":"mSystems","DOI":"10.1128/mSystems.01269-20","ISSN":"2379-5077","issue":"3","journalAbbreviation":"mSystems","language":"en","page":"e01269-20","source":"DOI.org (Crossref)","title":"Structure of Chimpanzee Gut Microbiomes across Tropical Africa","volume":"6","author":[{"family":"Bueno De Mesquita","given":"Clifton P."},{"family":"Nichols","given":"Lauren M."},{"family":"Gebert","given":"Matthew J."},{"family":"Vanderburgh","given":"Caihong"},{"family":"Bocksberger","given":"Gaëlle"},{"family":"Lester","given":"Jack D."},{"family":"Kalan","given":"Ammie K."},{"family":"Dieguez","given":"Paula"},{"family":"McCarthy","given":"Maureen S."},{"family":"Agbor","given":"Anthony"},{"family":"Álvarez Varona","given":"Paula"},{"family":"Ayimisin","given":"Ayuk Emmanuel"},{"family":"Bessone","given":"Mattia"},{"family":"Chancellor","given":"Rebecca"},{"family":"Cohen","given":"Heather"},{"family":"Coupland","given":"Charlotte"},{"family":"Deschner","given":"Tobias"},{"family":"Egbe","given":"Villard Ebot"},{"family":"Goedmakers","given":"Annemarie"},{"family":"Granjon","given":"Anne-Céline"},{"family":"Grueter","given":"Cyril C."},{"family":"Head","given":"Josephine"},{"family":"Hernandez-Aguilar","given":"R. Adriana"},{"family":"Jeffery","given":"Kathryn J."},{"family":"Jones","given":"Sorrel"},{"family":"Kadam","given":"Parag"},{"family":"Kaiser","given":"Michael"},{"family":"Lapuente","given":"Juan"},{"family":"Larson","given":"Bradley"},{"family":"Marrocoli","given":"Sergio"},{"family":"Morgan","given":"David"},{"family":"Mugerwa","given":"Badru"},{"family":"Mulindahabi","given":"Felix"},{"family":"Neil","given":"Emily"},{"family":"Niyigaba","given":"Protais"},{"family":"Pacheco","given":"Liliana"},{"family":"Piel","given":"Alex K."},{"family":"Robbins","given":"Martha M."},{"family":"Rundus","given":"Aaron"},{"family":"Sanz","given":"Crickette M."},{"family":"Sciaky","given":"Lilah"},{"family":"Sheil","given":"Douglas"},{"family":"Sommer","given":"Volker"},{"family":"Stewart","given":"Fiona A."},{"family":"Ton","given":"Els"},{"family":"Van Schijndel","given":"Joost"},{"family":"Vergnes","given":"Virginie"},{"family":"Wessling","given":"Erin G."},{"family":"Wittig","given":"Roman M."},{"family":"Ginath Yuh","given":"Yisa"},{"family":"Yurkiw","given":"Kyle"},{"family":"Zuberbühler","given":"Klaus"},{"family":"Gogarten","given":"Jan F."},{"family":"Heintz-Buschart","given":"Anna"},{"family":"Muellner-Riehl","given":"Alexandra N."},{"family":"Boesch","given":"Christophe"},{"family":"Kühl","given":"Hjalmar S."},{"family":"Fierer","given":"Noah"},{"family":"Arandjelovic","given":"Mimi"},{"family":"Dunn","given":"Robert R."}],"editor":[{"family":"Hird","given":"Sarah M."}],"issued":{"date-parts":[["2021",6,29]]}}}],"schema":"https://github.com/citation-style-language/schema/raw/master/csl-citation.json"} </w:instrText>
      </w:r>
      <w:r>
        <w:fldChar w:fldCharType="separate"/>
      </w:r>
      <w:r>
        <w:rPr>
          <w:noProof/>
        </w:rPr>
        <w:t>(Amato et al., 2016; Bueno De Mesquita et al., 2021)</w:t>
      </w:r>
      <w:r>
        <w:fldChar w:fldCharType="end"/>
      </w:r>
      <w:r>
        <w:t xml:space="preserve">]. Our </w:t>
      </w:r>
      <w:r w:rsidR="006F6005">
        <w:t>findings</w:t>
      </w:r>
      <w:r>
        <w:t xml:space="preserve"> likely reflect the direct effect of temperature rather than confounding factors such as diet or seasonal ecological changes. Since rain is a reliable predictor of season in tropical dry forests </w:t>
      </w:r>
      <w:r>
        <w:fldChar w:fldCharType="begin"/>
      </w:r>
      <w:r>
        <w:instrText xml:space="preserve"> ADDIN ZOTERO_ITEM CSL_CITATION {"citationID":"68RbBYxQ","properties":{"formattedCitation":"(Murphy &amp; Lugo, 1986)","plainCitation":"(Murphy &amp; Lugo, 1986)","noteIndex":0},"citationItems":[{"id":401,"uris":["http://zotero.org/users/13901503/items/3T9FH6VE"],"itemData":{"id":401,"type":"article-journal","container-title":"Annual Review of Ecology and Systematics","ISSN":"0066-4162","note":"publisher: Annual Reviews","page":"67-88","source":"JSTOR","title":"Ecology of Tropical Dry Forest","volume":"17","author":[{"family":"Murphy","given":"Peter G."},{"family":"Lugo","given":"Ariel E."}],"issued":{"date-parts":[["1986"]]}}}],"schema":"https://github.com/citation-style-language/schema/raw/master/csl-citation.json"} </w:instrText>
      </w:r>
      <w:r>
        <w:fldChar w:fldCharType="separate"/>
      </w:r>
      <w:r>
        <w:rPr>
          <w:noProof/>
        </w:rPr>
        <w:t>(Murphy &amp; Lugo, 1986)</w:t>
      </w:r>
      <w:r>
        <w:fldChar w:fldCharType="end"/>
      </w:r>
      <w:r>
        <w:t xml:space="preserve">, we included it in our model to account for seasonal effects. Additionally, we identified dietary items strongly associated with temperature and controlled for them to isolate the effect of temperature in our models. </w:t>
      </w:r>
      <w:r w:rsidR="00455D9E">
        <w:t>F</w:t>
      </w:r>
      <w:r w:rsidR="004E6623">
        <w:t>urther</w:t>
      </w:r>
      <w:r w:rsidR="00455D9E">
        <w:t xml:space="preserve">, the </w:t>
      </w:r>
      <w:r w:rsidR="004F7281">
        <w:t xml:space="preserve">majority of </w:t>
      </w:r>
      <w:r w:rsidR="00455D9E">
        <w:t xml:space="preserve">metabolic pathways </w:t>
      </w:r>
      <w:r w:rsidR="004F7281">
        <w:t>related to</w:t>
      </w:r>
      <w:r w:rsidR="00455D9E">
        <w:t xml:space="preserve"> temperature </w:t>
      </w:r>
      <w:r w:rsidR="003E3D7B">
        <w:t>provide</w:t>
      </w:r>
      <w:r w:rsidR="00455D9E">
        <w:t xml:space="preserve"> convincing evidence of broad functional </w:t>
      </w:r>
      <w:r w:rsidR="00455D9E">
        <w:lastRenderedPageBreak/>
        <w:t xml:space="preserve">changes that are expected </w:t>
      </w:r>
      <w:r w:rsidR="004F7281">
        <w:t>under high temperatures</w:t>
      </w:r>
      <w:r w:rsidR="00455D9E">
        <w:t xml:space="preserve"> including </w:t>
      </w:r>
      <w:r w:rsidR="004F7281">
        <w:t xml:space="preserve">an increase in aerobic metabolism </w:t>
      </w:r>
      <w:r w:rsidR="004F7281">
        <w:fldChar w:fldCharType="begin"/>
      </w:r>
      <w:r w:rsidR="004F7281">
        <w:instrText xml:space="preserve"> ADDIN ZOTERO_ITEM CSL_CITATION {"citationID":"zbQLvZRo","properties":{"formattedCitation":"(Hall et al., 1999)","plainCitation":"(Hall et al., 1999)","noteIndex":0},"citationItems":[{"id":3205,"uris":["http://zotero.org/users/13901503/items/CADITA73"],"itemData":{"id":3205,"type":"article-journal","abstract":"Exposure of conscious animals to environmental heat stress increases portal venous radical content. The nature of the observed heat stress-inducible radical molecules suggests that hyperthermia produces cellular hypoxic stress in liver and intestine. To investigate this hypothesis, conscious rats bearing in-dwelling portal venous and femoral artery catheters were exposed to normothermic or hyperthermic conditions. Blood gas levels were monitored during heat stress and for 24 h following heat exposure. Hyperthermia significantly increased arterial O2 saturation, splanchnic arterial-venous O2 difference, and venous</w:instrText>
      </w:r>
      <w:r w:rsidR="004F7281">
        <w:rPr>
          <w:rFonts w:ascii="Cambria Math" w:hAnsi="Cambria Math" w:cs="Cambria Math"/>
        </w:rPr>
        <w:instrText>𝑃</w:instrText>
      </w:r>
      <w:r w:rsidR="004F7281">
        <w:instrText xml:space="preserve">⁢CO2P⁢CO2, while decreasing venous O2 saturation and venous pH. One hour after heat exposure, liver glycogen levels were decreased </w:instrText>
      </w:r>
      <w:r w:rsidR="004F7281">
        <w:rPr>
          <w:rFonts w:ascii="Cambria Math" w:hAnsi="Cambria Math" w:cs="Cambria Math"/>
        </w:rPr>
        <w:instrText>∼</w:instrText>
      </w:r>
      <w:r w:rsidR="004F7281">
        <w:instrText xml:space="preserve">20%. Two hours after heat exposure, the splanchnic arterial-venous O2 difference remained elevated in heat-stressed animals despite normal Tc. A second group of rats was exposed to similar conditions while receiving intra-arterial injections of the hypoxic cell marker [3H]misonidazole. Liver and intestine were biopsied, and [3H]misonidazole content was quantified. Heat stress increased tissue [3H]misonidazole retention 80% in the liver and 29% in the small intestine. Cellular [3H]misonidazole levels were significantly elevated in intestinal epithelial cells and liver zone 2 and 3 hepatocytes and Kupffer cells. This effect was most prominent in the proximal small intestine and small liver lobi. These data provide evidence that hyperthermia produces cellular hypoxia and metabolic stress in splanchnic tissues and suggest that cellular metabolic stress may contribute to radical generation during heat stress.","container-title":"American Journal of Physiology-Gastrointestinal and Liver Physiology","DOI":"10.1152/ajpgi.1999.276.5.G1195","ISSN":"0193-1857","issue":"5","note":"publisher: American Physiological Society","page":"G1195-G1203","source":"journals.physiology.org (Atypon)","title":"Splanchnic tissues undergo hypoxic stress  during whole body hyperthermia","volume":"276","author":[{"family":"Hall","given":"David M."},{"family":"Baumgardner","given":"Kirk R."},{"family":"Oberley","given":"Terry D."},{"family":"Gisolfi","given":"Carl V."}],"issued":{"date-parts":[["1999",5]]}}}],"schema":"https://github.com/citation-style-language/schema/raw/master/csl-citation.json"} </w:instrText>
      </w:r>
      <w:r w:rsidR="004F7281">
        <w:fldChar w:fldCharType="separate"/>
      </w:r>
      <w:r w:rsidR="004F7281">
        <w:rPr>
          <w:noProof/>
        </w:rPr>
        <w:t>(Hall et al., 1999)</w:t>
      </w:r>
      <w:r w:rsidR="004F7281">
        <w:fldChar w:fldCharType="end"/>
      </w:r>
      <w:r w:rsidR="00455D9E">
        <w:t xml:space="preserve">, </w:t>
      </w:r>
      <w:r w:rsidR="004F7281">
        <w:t xml:space="preserve">lipid remodeling and synthesis </w:t>
      </w:r>
      <w:r w:rsidR="00455D9E">
        <w:t>related to membrane stability</w:t>
      </w:r>
      <w:r w:rsidR="004F7281">
        <w:t xml:space="preserve"> </w:t>
      </w:r>
      <w:r w:rsidR="004F7281">
        <w:fldChar w:fldCharType="begin"/>
      </w:r>
      <w:r w:rsidR="004F7281">
        <w:instrText xml:space="preserve"> ADDIN ZOTERO_ITEM CSL_CITATION {"citationID":"7TIsDVuh","properties":{"formattedCitation":"(Mansilla et al., 2004)","plainCitation":"(Mansilla et al., 2004)","noteIndex":0},"citationItems":[{"id":3378,"uris":["http://zotero.org/users/13901503/items/TZK8TZFH"],"itemData":{"id":3378,"type":"article-journal","container-title":"Journal of Bacteriology","DOI":"10.1128/jb.186.20.6681-6688.2004","issue":"20","note":"publisher: American Society for Microbiology","page":"6681-6688","source":"journals.asm.org (Atypon)","title":"Control of Membrane Lipid Fluidity by Molecular Thermosensors","volume":"186","author":[{"family":"Mansilla","given":"María C."},{"family":"Cybulski","given":"Larisa E."},{"family":"Albanesi","given":"Daniela"},{"family":"Mendoza","given":"Diego","non-dropping-particle":"de"}],"issued":{"date-parts":[["2004",10,15]]}}}],"schema":"https://github.com/citation-style-language/schema/raw/master/csl-citation.json"} </w:instrText>
      </w:r>
      <w:r w:rsidR="004F7281">
        <w:fldChar w:fldCharType="separate"/>
      </w:r>
      <w:r w:rsidR="004F7281">
        <w:rPr>
          <w:noProof/>
        </w:rPr>
        <w:t>(Mansilla et al., 2004)</w:t>
      </w:r>
      <w:r w:rsidR="004F7281">
        <w:fldChar w:fldCharType="end"/>
      </w:r>
      <w:r w:rsidR="00455D9E">
        <w:t xml:space="preserve">, and </w:t>
      </w:r>
      <w:r w:rsidR="004F7281">
        <w:t xml:space="preserve">indications of disrupted redox balance </w:t>
      </w:r>
      <w:r w:rsidR="004F7281">
        <w:fldChar w:fldCharType="begin"/>
      </w:r>
      <w:r w:rsidR="004F7281">
        <w:instrText xml:space="preserve"> ADDIN ZOTERO_ITEM CSL_CITATION {"citationID":"dboPrPn9","properties":{"formattedCitation":"(Fang et al., 2023; Liu et al., 2023)","plainCitation":"(Fang et al., 2023; Liu et al., 2023)","noteIndex":0},"citationItems":[{"id":3187,"uris":["http://zotero.org/users/13901503/items/DHD4XMP5"],"itemData":{"id":3187,"type":"article-journal","abstract":"Tsinling lenok trout (Brachymystax lenok tsinlingensis Li) is a species of cold-water salmon that faces serious challenges due to global warming. High temperature stress has been found to damage the gut integrity of coldwater fish, impacting their growth and immunity. However, limited research exists on the causal relationship between gut microbial disturbance and metabolic dysfunction in cold-water fish induced by high temperature stress. To address this gap, we conducted a study to investigate the effects of high temperature stress (24 ◦C) on the gut tissue structure, antioxidant capacity, gut microorganisms, and metabolome reactions of tsinling lenok trout. Our analysis using 16 S rDNA gene sequencing revealed significant changes in the gut microbial composition and metabolic profile. Specifically, the abundance of Firmicutes and Gemmatimonadetes decreased significantly with increasing temperature, while the abundance of Bacteroidetes increased significantly. Meta­ bolic analysis revealed a significant decrease in the abundance of glutathione, which is synthesized from glutamate and glycine, under high temperature stress. Additionally, there was a notable reduction in the levels of adenosine, inosine, xanthine, guanosine, and deoxyguanosine, which are essential for DNA/RNA synthesis. Conversely, there was a significant increase in the abundance of D-glucose 6 P. Furthermore, high temperature stress adversely affects intestinal structure and barrier function. Our findings provide valuable insights into the mechanism of high temperature stress in cold-water fish and serve as a foundation for future research aimed at mitigating the decline in production performance caused by such stress.","container-title":"Ecotoxicology and Environmental Safety","DOI":"10.1016/j.ecoenv.2023.115607","ISSN":"01476513","journalAbbreviation":"Ecotoxicology and Environmental Safety","language":"en","page":"115607","source":"DOI.org (Crossref)","title":"High temperature stress induced oxidative stress, gut inflammation and disordered metabolome and microbiome in tsinling lenok trout","volume":"266","author":[{"family":"Fang","given":"M."},{"family":"Lei","given":"Z."},{"family":"Ruilin","given":"M."},{"family":"Jing","given":"W."},{"family":"Leqiang","given":"D."}],"issued":{"date-parts":[["2023",11]]}}},{"id":3362,"uris":["http://zotero.org/users/13901503/items/IXQSNCGD"],"itemData":{"id":3362,"type":"article-journal","abstract":"Introduction\nHeat stress can affect the production of poultry through complex interactions between genes, metabolites and microorganisms. At present, it is unclear how heat stress affects genetic, metabolic and microbial changes in poultry, as well as the complex interactions between them.\n\nMethods\nThus, at 28 days of age a total of 200 Arbor Acres broilers with similar body weights were randomly divided into the control (CON) and heat stress treatment (HS). There were 5 replicates in CON and HS, respectively, 20 per replication. From the 28–42 days, the HS was kept at 31 ± 1°C (9:00–17:00, 8 h) and other time was maintained at 21 ± 1°C as in the CON. At the 42nd day experiment, we calculated the growth performance (n = 8) of broilers and collected 3 and 6 cecal tissues for transcriptomic and metabolomic investigation and 4 cecal contents for metagenomic investigation of each treatment.\n\nResults and discussion\nThe results indicate that heat stress significantly reduced the average daily gain and body weight of broilers (value of p &amp;lt; 0.05). Transcriptome KEGG enrichment showed that the differential genes were mainly enriched in the NF-kB signaling pathway. Metabolomics results showed that KEGG enrichment showed that the differential metabolites were mainly enriched in the mTOR signaling pathway. 16S rDNA amplicon sequencing results indicated that heat stress increased the relative abundance of Proteobacteria decreased the relative abundance of Firmicutes. Multi-omics analysis showed that the co-participating pathway of differential genes, metabolites and microorganisms KEGG enrichment was purine metabolism. Pearson correlation analysis found that ornithine was positively correlated with SULT1C3, GSTT1L and g_Lactobacillus, and negatively correlated with CALB1. PE was negatively correlated with CALB1 and CHAC1, and positively with g_Alistipes. In conclusion, heat stress can generate large amounts of reactive oxygen and increase the types of harmful bacteria, reduce intestinal nutrient absorption and antioxidant capacity, and thereby damage intestinal health and immune function, and reduce growth performance indicators. This biological process is manifested in the complex regulation, providing a foundational theoretical basis for solving the problem of heat stress.","container-title":"Frontiers in Microbiology","DOI":"10.3389/fmicb.2023.1244004","ISSN":"1664-302X","journalAbbreviation":"Front. Microbiol.","language":"English","note":"publisher: Frontiers","source":"Frontiers","title":"Heat stress exposure cause alterations in intestinal microbiota, transcriptome, and metabolome of broilers","URL":"https://www.frontiersin.org/journals/microbiology/articles/10.3389/fmicb.2023.1244004/full","volume":"14","author":[{"family":"Liu","given":"Xuan"},{"family":"Ma","given":"Zhenhua"},{"family":"Wang","given":"Yanfei"},{"family":"Jia","given":"Hao"},{"family":"Wang","given":"Zheng"},{"family":"Zhang","given":"Lihuan"}],"accessed":{"date-parts":[["2025",5,13]]},"issued":{"date-parts":[["2023",9,19]]}}}],"schema":"https://github.com/citation-style-language/schema/raw/master/csl-citation.json"} </w:instrText>
      </w:r>
      <w:r w:rsidR="004F7281">
        <w:fldChar w:fldCharType="separate"/>
      </w:r>
      <w:r w:rsidR="004F7281">
        <w:rPr>
          <w:noProof/>
        </w:rPr>
        <w:t>(Fang et al., 2023; Liu et al., 2023)</w:t>
      </w:r>
      <w:r w:rsidR="004F7281">
        <w:fldChar w:fldCharType="end"/>
      </w:r>
      <w:r w:rsidR="00455D9E">
        <w:t xml:space="preserve">. </w:t>
      </w:r>
      <w:r>
        <w:t>Because temperature was modeled as a 15-day average, these findings capture the microbiome’s response to prolonged periods exposure</w:t>
      </w:r>
      <w:r w:rsidR="004F7281">
        <w:t xml:space="preserve"> to high temperatures</w:t>
      </w:r>
      <w:r>
        <w:t xml:space="preserve">, during which behavioral </w:t>
      </w:r>
      <w:r>
        <w:fldChar w:fldCharType="begin"/>
      </w:r>
      <w:r>
        <w:instrText xml:space="preserve"> ADDIN ZOTERO_ITEM CSL_CITATION {"citationID":"SvD7YHYz","properties":{"formattedCitation":"(Campos &amp; Fedigan, 2009)","plainCitation":"(Campos &amp; Fedigan, 2009)","noteIndex":0},"citationItems":[{"id":545,"uris":["http://zotero.org/users/13901503/items/DK9CP8XR"],"itemData":{"id":545,"type":"article-journal","abstract":"We examined thermoregulatory behaviors in a wild population of white-faced capuchins (Cebus capucinus) inhabiting a highly seasonal dry forest in Santa Rosa National Park (SRNP), Costa Rica. The dry season in SRNP lasts </w:instrText>
      </w:r>
      <w:r>
        <w:rPr>
          <w:rFonts w:ascii="Cambria Math" w:hAnsi="Cambria Math" w:cs="Cambria Math"/>
        </w:rPr>
        <w:instrText>∼</w:instrText>
      </w:r>
      <w:r>
        <w:instrText xml:space="preserve">5 months and is characterized by high ambient temperatures regularly exceeding 37°C, low relative humidity, and the near absence of precipitation. This study demonstrates that capuchins rest more and travel shorter distances during the hottest and driest hours of the day, and suggests that they extend their tongues to lower body temperature via evaporative cooling. Seasonal weather patterns and group movement data reported here are based on 940 h of observations on three social groups of capuchins (wet season: 370 h, dry season: 570 h). In the dry season, the proportion of time spent resting increased at higher temperatures whereas the proportion of time spent traveling decreased. Distance traveled between location points taken at half-hour intervals decreased significantly as temperature increased, although the correlation was not strong. Capuchins exposed their tongues during hot, dry, windy conditions, and this behavior was much more frequent in the dry season. Temperature was significantly higher and humidity significantly lower for “tongue-out” events than expected for a random event in the dry season. Finally, as surface water became scarce, home-range areas of heavy use became increasingly centered on the remaining permanent water sources. These results suggest that heat stress and water scarcity are significant influences on the behavior of capuchins in hot, dry conditions. Am J Phys Anthropol, 2009. © 2008 Wiley-Liss, Inc.","container-title":"American Journal of Physical Anthropology","DOI":"10.1002/ajpa.20908","ISSN":"1096-8644","issue":"1","language":"en","license":"Copyright © 2008 Wiley-Liss, Inc.","note":"_eprint: https://onlinelibrary.wiley.com/doi/pdf/10.1002/ajpa.20908","page":"101-111","source":"Wiley Online Library","title":"Behavioral adaptations to heat stress and water scarcity in white-faced capuchins (Cebus capucinus) in Santa Rosa National Park, Costa Rica","volume":"138","author":[{"family":"Campos","given":"Fernando A."},{"family":"Fedigan","given":"Linda M."}],"issued":{"date-parts":[["2009"]]}}}],"schema":"https://github.com/citation-style-language/schema/raw/master/csl-citation.json"} </w:instrText>
      </w:r>
      <w:r>
        <w:fldChar w:fldCharType="separate"/>
      </w:r>
      <w:r>
        <w:rPr>
          <w:noProof/>
        </w:rPr>
        <w:t>(Campos &amp; Fedigan, 2009)</w:t>
      </w:r>
      <w:r>
        <w:fldChar w:fldCharType="end"/>
      </w:r>
      <w:r>
        <w:t xml:space="preserve"> or physiological </w:t>
      </w:r>
      <w:r>
        <w:fldChar w:fldCharType="begin"/>
      </w:r>
      <w:r>
        <w:instrText xml:space="preserve"> ADDIN ZOTERO_ITEM CSL_CITATION {"citationID":"omFYNgjj","properties":{"formattedCitation":"(Orkin et al., 2021)","plainCitation":"(Orkin et al., 2021)","noteIndex":0},"citationItems":[{"id":131,"uris":["http://zotero.org/users/13901503/items/6ZVNXHEZ"],"itemData":{"id":131,"type":"article-journal","abstract":"Significance\n            Surviving challenging environments, living long lives, and engaging in complex cognitive processes are hallmark human characteristics. Similar traits have evolved in parallel in capuchin monkeys, but their genetic underpinnings remain unexplored. We developed and annotated a reference assembly for white-faced capuchin monkeys to explore the evolution of these phenotypes. By comparing populations of capuchins inhabiting rainforest versus dry forests with seasonal droughts, we detected selection in genes associated with kidney function, muscular wasting, and metabolism, suggesting adaptation to periodic resource scarcity. When comparing capuchins to other mammals, we identified evidence of selection in multiple genes implicated in longevity and brain development. Our research was facilitated by our method to generate high- and low-coverage genomes from noninvasive biomaterials.\n          , \n            \n              Ecological flexibility, extended lifespans, and large brains have long intrigued evolutionary biologists, and comparative genomics offers an efficient and effective tool for generating new insights into the evolution of such traits. Studies of capuchin monkeys are particularly well situated to shed light on the selective pressures and genetic underpinnings of local adaptation to diverse habitats, longevity, and brain development. Distributed widely across Central and South America, they are inventive and extractive foragers, known for their sensorimotor intelligence. Capuchins have among the largest relative brain size of any monkey and a lifespan that exceeds 50 y, despite their small (3 to 5 kg) body size. We assemble and annotate a de novo reference genome for\n              Cebus imitator\n              . Through high-depth sequencing of DNA derived from blood, various tissues, and feces via fluorescence-activated cell sorting (fecalFACS) to isolate monkey epithelial cells, we compared genomes of capuchin populations from tropical dry forests and lowland rainforests and identified population divergence in genes involved in water balance, kidney function, and metabolism. Through a comparative genomics approach spanning a wide diversity of mammals, we identified genes under positive selection associated with longevity and brain development. Additionally, we provide a technological advancement in the use of noninvasive genomics for studies of free-ranging mammals. Our intra- and interspecific comparative study of capuchin genomics provides insights into processes underlying local adaptation to diverse and physiologically challenging environments, as well as the molecular basis of brain evolution and longevity.","container-title":"Proceedings of the National Academy of Sciences","DOI":"10.1073/pnas.2010632118","ISSN":"0027-8424, 1091-6490","issue":"7","journalAbbreviation":"Proc. Natl. Acad. Sci. U.S.A.","language":"en","page":"e2010632118","source":"DOI.org (Crossref)","title":"The genomics of ecological flexibility, large brains, and long lives in capuchin monkeys revealed with fecalFACS","volume":"118","author":[{"family":"Orkin","given":"Joseph D."},{"family":"Montague","given":"Michael J."},{"family":"Tejada-Martinez","given":"Daniela"},{"family":"De Manuel","given":"Marc"},{"family":"Del Campo","given":"Javier"},{"family":"Cheves Hernandez","given":"Saul"},{"family":"Di Fiore","given":"Anthony"},{"family":"Fontsere","given":"Claudia"},{"family":"Hodgson","given":"Jason A."},{"family":"Janiak","given":"Mareike C."},{"family":"Kuderna","given":"Lukas F. K."},{"family":"Lizano","given":"Esther"},{"family":"Martin","given":"Maria Pia"},{"family":"Niimura","given":"Yoshihito"},{"family":"Perry","given":"George H."},{"family":"Valverde","given":"Carmen Soto"},{"family":"Tang","given":"Jia"},{"family":"Warren","given":"Wesley C."},{"family":"De Magalhães","given":"João Pedro"},{"family":"Kawamura","given":"Shoji"},{"family":"Marquès-Bonet","given":"Tomàs"},{"family":"Krawetz","given":"Roman"},{"family":"Melin","given":"Amanda D."}],"issued":{"date-parts":[["2021",2,16]]}}}],"schema":"https://github.com/citation-style-language/schema/raw/master/csl-citation.json"} </w:instrText>
      </w:r>
      <w:r>
        <w:fldChar w:fldCharType="separate"/>
      </w:r>
      <w:r>
        <w:rPr>
          <w:noProof/>
        </w:rPr>
        <w:t>(Orkin et al., 2021)</w:t>
      </w:r>
      <w:r>
        <w:fldChar w:fldCharType="end"/>
      </w:r>
      <w:r>
        <w:t xml:space="preserve"> adaptations to cope with heat stress are likely less effective. </w:t>
      </w:r>
      <w:r w:rsidR="004304D5">
        <w:t>These</w:t>
      </w:r>
      <w:r>
        <w:t xml:space="preserve"> results offer insight into how rising temperatures due to climate change may impact species via changes </w:t>
      </w:r>
      <w:r w:rsidR="004E6623">
        <w:t>to the</w:t>
      </w:r>
      <w:r>
        <w:t xml:space="preserve"> </w:t>
      </w:r>
      <w:r w:rsidR="004E6623">
        <w:t xml:space="preserve">gut </w:t>
      </w:r>
      <w:r>
        <w:t xml:space="preserve">microbiome. </w:t>
      </w:r>
    </w:p>
    <w:p w14:paraId="77AFFBB7" w14:textId="77777777" w:rsidR="006F6005" w:rsidRDefault="006F6005" w:rsidP="004F7281">
      <w:pPr>
        <w:ind w:firstLine="720"/>
      </w:pPr>
    </w:p>
    <w:p w14:paraId="24AF6ADC" w14:textId="77777777" w:rsidR="006F6005" w:rsidRDefault="006F6005" w:rsidP="004F7281">
      <w:pPr>
        <w:ind w:firstLine="720"/>
      </w:pPr>
    </w:p>
    <w:p w14:paraId="212858CB" w14:textId="1450A3B6" w:rsidR="00DC1DC1" w:rsidRDefault="00DC1DC1" w:rsidP="00B63283">
      <w:r>
        <w:t>C</w:t>
      </w:r>
      <w:r w:rsidR="006F6005">
        <w:t xml:space="preserve">ommunity-level </w:t>
      </w:r>
      <w:r w:rsidR="00B63283">
        <w:t xml:space="preserve">analysis </w:t>
      </w:r>
      <w:r w:rsidR="006F6005">
        <w:t>indicate</w:t>
      </w:r>
      <w:r w:rsidR="00B63283">
        <w:t>s</w:t>
      </w:r>
      <w:r w:rsidR="006F6005">
        <w:t xml:space="preserve"> that high temperatures are associated with </w:t>
      </w:r>
      <w:r>
        <w:t>reduced</w:t>
      </w:r>
      <w:r w:rsidR="006F6005">
        <w:t xml:space="preserve"> taxonomic alpha diversity (Fig 2) which </w:t>
      </w:r>
      <w:r>
        <w:t>could</w:t>
      </w:r>
      <w:r w:rsidR="006F6005">
        <w:t xml:space="preserve"> affect the gut microbiome’s ability to confer colonization resistance— the ability to protect the host from exogenous pathogens. </w:t>
      </w:r>
      <w:r>
        <w:t xml:space="preserve">Colonization resistance is supported in part </w:t>
      </w:r>
      <w:r w:rsidR="006F6005">
        <w:t xml:space="preserve">by </w:t>
      </w:r>
      <w:r w:rsidR="005C411D">
        <w:t xml:space="preserve">maintaining diverse taxa that </w:t>
      </w:r>
      <w:r w:rsidR="006F6005">
        <w:t xml:space="preserve">directly </w:t>
      </w:r>
      <w:r w:rsidR="005C411D">
        <w:t xml:space="preserve">compete with pathogens </w:t>
      </w:r>
      <w:r w:rsidR="006F6005">
        <w:t xml:space="preserve">for resources </w:t>
      </w:r>
      <w:r w:rsidR="006F6005">
        <w:fldChar w:fldCharType="begin"/>
      </w:r>
      <w:r w:rsidR="00B63283">
        <w:instrText xml:space="preserve"> ADDIN ZOTERO_ITEM CSL_CITATION {"citationID":"RmEPOMPD","properties":{"formattedCitation":"(Caballero-Flores et al., 2023; Spragge et al., 2023)","plainCitation":"(Caballero-Flores et al., 2023; Spragge et al., 2023)","noteIndex":0},"citationItems":[{"id":1527,"uris":["http://zotero.org/users/13901503/items/2LNX23SB"],"itemData":{"id":1527,"type":"article-journal","abstract":"A dense and diverse microbial community inhabits the gut and many epithelial surfaces. Referred to as the microbiota, it co-evolved with the host and is beneficial for many host physiological processes. A major function of these symbiotic microorganisms is protection against pathogen colonization and overgrowth of indigenous pathobionts. Dysbiosis of the normal microbial community increases the risk of pathogen infection and overgrowth of harmful pathobionts. The protective mechanisms conferred by the microbiota are complex and include competitive microbial–microbial interactions and induction of host immune responses. Pathogens, in turn, have evolved multiple strategies to subvert colonization resistance conferred by the microbiota. Understanding the mechanisms by which microbial symbionts limit pathogen colonization should guide the development of new therapeutic approaches to prevent or treat disease.","container-title":"Nature Reviews Microbiology","DOI":"10.1038/s41579-022-00833-7","ISSN":"1740-1534","issue":"6","journalAbbreviation":"Nat Rev Microbiol","language":"en","license":"2022 Springer Nature Limited","note":"publisher: Nature Publishing Group","page":"347-360","source":"www.nature.com","title":"Microbiota-mediated colonization resistance: mechanisms and regulation","title-short":"Microbiota-mediated colonization resistance","volume":"21","author":[{"family":"Caballero-Flores","given":"Gustavo"},{"family":"Pickard","given":"Joseph M."},{"family":"Núñez","given":"Gabriel"}],"issued":{"date-parts":[["2023",6]]}}},{"id":1008,"uris":["http://zotero.org/users/13901503/items/5W73TYRF"],"itemData":{"id":1008,"type":"article-journal","abstract":"The human gut microbiome plays an important role in resisting colonization of the host by pathogens, but we lack the ability to predict which communities will be protective. We studied how human gut bacteria influence colonization of two major bacterial pathogens, both in vitro and in gnotobiotic mice. Whereas single species alone had negligible effects, colonization resistance greatly increased with community diversity. Moreover, this community-level resistance rested critically upon certain species being present. We explained these ecological patterns through the collective ability of resistant communities to consume nutrients that overlap with those used by the pathogen. Furthermore, we applied our findings to successfully predict communities that resist a novel target strain. Our work provides a reason why microbiome diversity is beneficial and suggests a route for the rational design of pathogen-resistant communities.","container-title":"Science","DOI":"10.1126/science.adj3502","issue":"6676","note":"publisher: American Association for the Advancement of Science","page":"eadj3502","source":"science.org (Atypon)","title":"Microbiome diversity protects against pathogens by nutrient blocking","volume":"382","author":[{"family":"Spragge","given":"Frances"},{"family":"Bakkeren","given":"Erik"},{"family":"Jahn","given":"Martin T."},{"family":"B. N. Araujo","given":"Elizete"},{"family":"Pearson","given":"Claire F."},{"family":"Wang","given":"Xuedan"},{"family":"Pankhurst","given":"Louise"},{"family":"Cunrath","given":"Olivier"},{"family":"Foster","given":"Kevin R."}],"issued":{"date-parts":[["2023",12,15]]}}}],"schema":"https://github.com/citation-style-language/schema/raw/master/csl-citation.json"} </w:instrText>
      </w:r>
      <w:r w:rsidR="006F6005">
        <w:fldChar w:fldCharType="separate"/>
      </w:r>
      <w:r w:rsidR="00B63283">
        <w:rPr>
          <w:noProof/>
        </w:rPr>
        <w:t>(Caballero-Flores et al., 2023; Spragge et al., 2023)</w:t>
      </w:r>
      <w:r w:rsidR="006F6005">
        <w:fldChar w:fldCharType="end"/>
      </w:r>
      <w:r w:rsidR="006F6005">
        <w:t>.</w:t>
      </w:r>
      <w:r w:rsidR="005C411D">
        <w:t xml:space="preserve"> </w:t>
      </w:r>
      <w:r w:rsidR="006F6005">
        <w:t>However,</w:t>
      </w:r>
      <w:r w:rsidR="005C411D">
        <w:t xml:space="preserve"> </w:t>
      </w:r>
      <w:r w:rsidR="006F6005">
        <w:t>functional alpha diversity appears to be less</w:t>
      </w:r>
      <w:r>
        <w:t xml:space="preserve"> sensitive to high </w:t>
      </w:r>
      <w:r w:rsidR="006F6005">
        <w:t>temperature</w:t>
      </w:r>
      <w:r>
        <w:t>s</w:t>
      </w:r>
      <w:r w:rsidR="006F6005">
        <w:t xml:space="preserve"> (Fig 1)</w:t>
      </w:r>
      <w:r w:rsidR="005C411D">
        <w:t xml:space="preserve">, </w:t>
      </w:r>
      <w:r>
        <w:t xml:space="preserve">likely due to </w:t>
      </w:r>
      <w:r w:rsidR="00B63283">
        <w:t xml:space="preserve">functional redundancy, </w:t>
      </w:r>
      <w:r w:rsidR="005C411D">
        <w:t>where</w:t>
      </w:r>
      <w:r w:rsidR="00B63283">
        <w:t xml:space="preserve"> taxonomically distinct bacteria perform similar functional roles </w:t>
      </w:r>
      <w:r w:rsidR="00B63283">
        <w:fldChar w:fldCharType="begin"/>
      </w:r>
      <w:r w:rsidR="00B63283">
        <w:instrText xml:space="preserve"> ADDIN ZOTERO_ITEM CSL_CITATION {"citationID":"hwQmyei2","properties":{"formattedCitation":"(Louca et al., 2018)","plainCitation":"(Louca et al., 2018)","noteIndex":0},"citationItems":[{"id":3181,"uris":["http://zotero.org/users/13901503/items/N5RMCRXY"],"itemData":{"id":3181,"type":"article-journal","abstract":"Microbial communities often exhibit incredible taxonomic diversity, raising questions regarding the mechanisms enabling species coexistence and the role of this diversity in community functioning. On the one hand, many coexisting but taxonomically distinct microorganisms can encode the same energy-yielding metabolic functions, and this functional redundancy contrasts with the expectation that species should occupy distinct metabolic niches. On the other hand, the identity of taxa encoding each function can vary substantially across space or time with little effect on the function, and this taxonomic variability is frequently thought to result from ecological drift between equivalent organisms. Here, we synthesize the powerful paradigm emerging from these two patterns, connecting the roles of function, functional redundancy and taxonomy in microbial systems. We conclude that both patterns are unlikely to be the result of ecological drift, but are inevitable emergent properties of open microbial systems resulting mainly from biotic interactions and environmental and spatial processes.","container-title":"Nature Ecology &amp; Evolution","DOI":"10.1038/s41559-018-0519-1","ISSN":"2397-334X","issue":"6","journalAbbreviation":"Nat Ecol Evol","language":"en","license":"2018 The Author(s)","note":"publisher: Nature Publishing Group","page":"936-943","source":"www-nature-com.proxy.lib.umich.edu","title":"Function and functional redundancy in microbial systems","volume":"2","author":[{"family":"Louca","given":"Stilianos"},{"family":"Polz","given":"Martin F."},{"family":"Mazel","given":"Florent"},{"family":"Albright","given":"Michaeline B. N."},{"family":"Huber","given":"Julie A."},{"family":"O’Connor","given":"Mary I."},{"family":"Ackermann","given":"Martin"},{"family":"Hahn","given":"Aria S."},{"family":"Srivastava","given":"Diane S."},{"family":"Crowe","given":"Sean A."},{"family":"Doebeli","given":"Michael"},{"family":"Parfrey","given":"Laura Wegener"}],"issued":{"date-parts":[["2018",6]]}}}],"schema":"https://github.com/citation-style-language/schema/raw/master/csl-citation.json"} </w:instrText>
      </w:r>
      <w:r w:rsidR="00B63283">
        <w:fldChar w:fldCharType="separate"/>
      </w:r>
      <w:r w:rsidR="00B63283">
        <w:rPr>
          <w:noProof/>
        </w:rPr>
        <w:t>(Louca et al., 2018)</w:t>
      </w:r>
      <w:r w:rsidR="00B63283">
        <w:fldChar w:fldCharType="end"/>
      </w:r>
      <w:r w:rsidR="00B63283">
        <w:t xml:space="preserve">. </w:t>
      </w:r>
      <w:r w:rsidR="005C411D">
        <w:t xml:space="preserve">Therefore, </w:t>
      </w:r>
      <w:r>
        <w:t xml:space="preserve">despite a loss of taxonomic diversity, this functional redundancy may preserve the microbiome’s ability to confer colonization resistance at high temperatures because the taxa likely fill enough functional niches to outcompete pathogens. </w:t>
      </w:r>
    </w:p>
    <w:p w14:paraId="7ED33992" w14:textId="77777777" w:rsidR="00DC1DC1" w:rsidRDefault="00DC1DC1" w:rsidP="00B63283"/>
    <w:p w14:paraId="067C70EC" w14:textId="77777777" w:rsidR="005C411D" w:rsidRDefault="005C411D" w:rsidP="00B63283"/>
    <w:p w14:paraId="5C2725E0" w14:textId="6F8A2EF6" w:rsidR="004304D5" w:rsidRDefault="00771072" w:rsidP="00771072">
      <w:r>
        <w:t xml:space="preserve">Our data suggests that high temperatures may be associated with heat stress as evidenced by </w:t>
      </w:r>
      <w:proofErr w:type="spellStart"/>
      <w:r>
        <w:t>compostion</w:t>
      </w:r>
      <w:proofErr w:type="spellEnd"/>
      <w:r>
        <w:t xml:space="preserve"> and functional changes in the gut microbiome. </w:t>
      </w:r>
    </w:p>
    <w:p w14:paraId="6688C05B" w14:textId="32E7224F" w:rsidR="00225441" w:rsidRDefault="004304D5" w:rsidP="00225441">
      <w:r>
        <w:t xml:space="preserve">High temperatures are associated with a decrease in </w:t>
      </w:r>
      <w:r w:rsidR="00E60E41">
        <w:t xml:space="preserve">the </w:t>
      </w:r>
      <w:r>
        <w:t xml:space="preserve">abundance </w:t>
      </w:r>
      <w:r w:rsidR="00E60E41">
        <w:t>of genera from</w:t>
      </w:r>
      <w:r>
        <w:t xml:space="preserve"> </w:t>
      </w:r>
      <w:r w:rsidR="000C23E6">
        <w:t>the</w:t>
      </w:r>
      <w:r>
        <w:t xml:space="preserve"> phyla</w:t>
      </w:r>
      <w:r w:rsidR="00E60E41" w:rsidRPr="00E60E41">
        <w:t xml:space="preserve"> </w:t>
      </w:r>
      <w:proofErr w:type="spellStart"/>
      <w:r w:rsidR="00E60E41">
        <w:t>Bacteroidota</w:t>
      </w:r>
      <w:proofErr w:type="spellEnd"/>
      <w:r w:rsidR="00E60E41">
        <w:t xml:space="preserve"> and Firmicutes (Fig 3), </w:t>
      </w:r>
      <w:r w:rsidR="000C23E6">
        <w:t>which</w:t>
      </w:r>
      <w:r w:rsidR="00E60E41">
        <w:t xml:space="preserve"> play key roles in</w:t>
      </w:r>
      <w:r w:rsidR="000C23E6">
        <w:t xml:space="preserve"> the</w:t>
      </w:r>
      <w:r w:rsidR="00E60E41">
        <w:t xml:space="preserve"> fermentation of complex polysaccharides </w:t>
      </w:r>
      <w:r w:rsidR="00E60E41">
        <w:fldChar w:fldCharType="begin"/>
      </w:r>
      <w:r w:rsidR="00E60E41">
        <w:instrText xml:space="preserve"> ADDIN ZOTERO_ITEM CSL_CITATION {"citationID":"yVsNuJf2","properties":{"formattedCitation":"(Flint et al., 2012; Hooper et al., 2002)","plainCitation":"(Flint et al., 2012; Hooper et al., 2002)","noteIndex":0},"citationItems":[{"id":3409,"uris":["http://zotero.org/users/13901503/items/73VRZX5M"],"itemData":{"id":3409,"type":"article-journal","abstract":"Bacteria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,Petra"},{"family":"Forano","given":"Evelyne","non-dropping-particle":"and"}],"issued":{"date-parts":[["2012",7,14]]}}},{"id":2223,"uris":["http://zotero.org/users/13901503/items/JD6FMNMK"],"itemData":{"id":2223,"type":"article-journal","abstract":"▪ Abstract Humans and other mammals are colonized by a vast, complex, and dynamic consortium of microorganisms. One evolutionary driving force for maintaining this metabolically active microbial society is to salvage energy from nutrients, particularly carbohydrates, that are otherwise nondigestible by the host. Much of our understanding of the molecular mechanisms by which members of the intestinal microbiota degrade complex polysaccharides comes from studies of Bacteroides thetaiotaomicron, a prominent and genetically manipulatable component of the normal human and mouse gut. Colonization of germ-free mice with B. thetaiotaomicron has shown how this anaerobe modifies many aspects of intestinal cellular differentiation/gene expression to benefit both host and microbe. These and other studies underscore the importance of understanding precisely how nutrient metabolism serves to establish and sustain symbiotic relationships between mammals and their bacterial partners.","container-title":"Annual Review of Nutrition","DOI":"10.1146/annurev.nutr.22.011602.092259","ISSN":"0199-9885, 1545-4312","issue":"Volume 22, 2002","language":"en","note":"publisher: Annual Reviews","page":"283-307","source":"www-annualreviews-org.proxy.lib.umich.edu","title":"HOW HOST-MICROBIAL INTERACTIONS SHAPE THE NUTRIENT ENVIRONMENT OF THE MAMMALIAN INTESTINE","volume":"22","author":[{"family":"Hooper","given":"Lora V."},{"family":"Midtvedt","given":"Tore"},{"family":"Gordon","given":"Jeffrey I."}],"issued":{"date-parts":[["2002",7,1]]}}}],"schema":"https://github.com/citation-style-language/schema/raw/master/csl-citation.json"} </w:instrText>
      </w:r>
      <w:r w:rsidR="00E60E41">
        <w:fldChar w:fldCharType="separate"/>
      </w:r>
      <w:r w:rsidR="00E60E41">
        <w:rPr>
          <w:noProof/>
        </w:rPr>
        <w:t>(Flint et al., 2012; Hooper et al., 2002)</w:t>
      </w:r>
      <w:r w:rsidR="00E60E41">
        <w:fldChar w:fldCharType="end"/>
      </w:r>
      <w:r w:rsidR="00E60E41">
        <w:t xml:space="preserve"> and </w:t>
      </w:r>
      <w:r w:rsidR="000C23E6">
        <w:t>help maintain</w:t>
      </w:r>
      <w:r w:rsidR="00E60E41">
        <w:t xml:space="preserve"> microbiome-host immune homeostasis </w:t>
      </w:r>
      <w:r w:rsidR="00E60E41">
        <w:fldChar w:fldCharType="begin"/>
      </w:r>
      <w:r w:rsidR="00E60E41">
        <w:instrText xml:space="preserve"> ADDIN ZOTERO_ITEM CSL_CITATION {"citationID":"d3rqb4rM","properties":{"formattedCitation":"(Maier et al., 2014)","plainCitation":"(Maier et al., 2014)","noteIndex":0},"citationItems":[{"id":3537,"uris":["http://zotero.org/users/13901503/items/L2DTM48E"],"itemData":{"id":3537,"type":"article-journal","abstract":"The human gastrointestinal tract is colonised by trillions of commensal bacteria, most of which are obligate anaerobes residing in the large intestine. Appropriate bacterial colonisation is generally known to be critical for human health. In particular, the development and function of the immune system depends on microbial colonisation, and a regulated cross-talk between commensal bacteria, intestinal epithelial cells and immune cells is required to maintain mucosal immune homeostasis. This homeostasis is disturbed in various inflammatory disorders, such as inflammatory bowel diseases. Several in vitro and in vivo studies indicate a role for Faecalibacterium prausnitzii, Bacteroides thetaiotaomicron, Bacteroides fragilis, Akkermansia muciniphila and segmented filamentous bacteria in maintaining intestinal immune homeostasis. These obligate anaerobes are abundant in the healthy intestine but reduced in several inflammatory diseases, suggesting an association with protective effects on human health. However, knowledge of the mechanisms underlying the effects of obligate anaerobic intestinal bacteria remains limited, in part due to the difficulty of co-culturing obligate anaerobes together with oxygen-requiring human epithelial cells. By using novel dual-environment co-culture models, it will be possible to investigate the effects of the unstudied majority of intestinal microorganisms on the human epithelia. This knowledge will provide opportunities for improving human health and reducing the risk of inflammatory diseases.","container-title":"Nutrients","DOI":"10.3390/nu7010045","ISSN":"2072-6643","issue":"1","journalAbbreviation":"Nutrients","note":"PMID: 25545102\nPMCID: PMC4303826","page":"45-73","source":"PubMed Central","title":"Understanding How Commensal Obligate Anaerobic Bacteria Regulate Immune Functions in the Large Intestine","volume":"7","author":[{"family":"Maier","given":"Eva"},{"family":"Anderson","given":"Rachel C."},{"family":"Roy","given":"Nicole C."}],"issued":{"date-parts":[["2014",12,24]]}}}],"schema":"https://github.com/citation-style-language/schema/raw/master/csl-citation.json"} </w:instrText>
      </w:r>
      <w:r w:rsidR="00E60E41">
        <w:fldChar w:fldCharType="separate"/>
      </w:r>
      <w:r w:rsidR="00E60E41">
        <w:rPr>
          <w:noProof/>
        </w:rPr>
        <w:t>(Maier et al., 2014)</w:t>
      </w:r>
      <w:r w:rsidR="00E60E41">
        <w:fldChar w:fldCharType="end"/>
      </w:r>
      <w:r w:rsidR="00E60E41">
        <w:t xml:space="preserve">. </w:t>
      </w:r>
      <w:r w:rsidR="000C23E6">
        <w:t xml:space="preserve">This pattern mirrors finding from experimental studies across vertebrates where heat stress can lead to a reduction in Firmicutes and, in some cases, </w:t>
      </w:r>
      <w:proofErr w:type="spellStart"/>
      <w:r w:rsidR="000C23E6">
        <w:t>Bacteroidota</w:t>
      </w:r>
      <w:proofErr w:type="spellEnd"/>
      <w:r w:rsidR="000C23E6">
        <w:t xml:space="preserve"> </w:t>
      </w:r>
      <w:r w:rsidR="00225441">
        <w:t>[</w:t>
      </w:r>
      <w:r w:rsidR="000C23E6">
        <w:t xml:space="preserve">e.g., reptiles </w:t>
      </w:r>
      <w:r w:rsidR="000C23E6">
        <w:fldChar w:fldCharType="begin"/>
      </w:r>
      <w:r w:rsidR="000C23E6">
        <w:instrText xml:space="preserve"> ADDIN ZOTERO_ITEM CSL_CITATION {"citationID":"XZMcVBqo","properties":{"formattedCitation":"(Bestion et al., 2017; Moeller et al., 2020)","plainCitation":"(Bestion et al., 2017; Moeller et al., 2020)","noteIndex":0},"citationItems":[{"id":1961,"uris":["http://zotero.org/users/13901503/items/UL2CLBKR"],"itemData":{"id":1961,"type":"article-journal","abstract":"Climate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 °C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id":1022,"uris":["http://zotero.org/users/13901503/items/BYK4NQF8"],"itemData":{"id":1022,"type":"article-journal","abstract":"Vertebrates harbor trillions of microorganisms in the gut, collectively termed the gut microbiota, which affect a wide range of host functions. Recent experiments in lab-reared vertebrates have shown that changes in environmental temperature can induce shifts in the gut microbiota, and in some cases these shifts have been shown to affect host thermal physiology. However, there is a lack of information about the effects of temperature on the gut microbiota of wild-caught vertebrates. Moreover, in ectotherms, which are particularly vulnerable to changing temperature regimens, the extent to which microbiota composition is shaped by temperature and associated with host thermal tolerance has not been investigated. To address these issues, we monitored the gut microbiota composition of wild-caught western fence lizards (Sceloporus occidentalis) experimentally exposed to a cool-to-warm temperature transition. Comparing experimentally exposed and control lizards indicated that warm temperatures altered and destabilized the composition of the S. occidentalis gut microbiota. Warming drove a significant reduction in the relative abundances of a clade of Firmicutes, a significant increase in the rate of compositional turnover in the gut microbiota within individual lizards, and increases in the abundances of bacteria from predicted pathogenic clades. In addition, the composition of the microbiota was significantly associated with the thermal tolerance of lizards measured at the end of the experiment. These results suggest that temperature can alter the lizard gut microbiota, with potential implications for the physiological performance and fitness of natural populations.IMPORTANCE Gut microbial communities affect their animal hosts in numerous ways, motivating investigations of the factors that shape the gut microbiota and the consequences of gut microbiota variation for host traits. In this study, we tested the effects of increases in environmental temperatures on the gut microbiota of fence lizards, a vertebrate ectotherm threatened by warming climates. By monitoring lizards and their gut microbes during an experimental temperature treatment, we showed that the warming altered and destabilized the lizard gut microbiota. Moreover, measuring thermal performance of lizard hosts at the end of the experiment indicated that the composition of the gut microbiota was associated with host thermal tolerance. These results indicate that warming temperatures can alter the gut microbiota of vertebrate ectotherms and suggest relationships between variation in the gut microbiota and the thermal physiology of natural host populations.","container-title":"Applied and Environmental Microbiology","DOI":"10.1128/AEM.01181-20","issue":"17","note":"publisher: American Society for Microbiology","page":"e01181-20","source":"journals.asm.org (Atypon)","title":"The Lizard Gut Microbiome Changes with Temperature and Is Associated with Heat Tolerance","volume":"86","author":[{"family":"Moeller","given":"Andrew H."},{"family":"Ivey","given":"Kathleen"},{"family":"Cornwall","given":"Margaret B."},{"family":"Herr","given":"Kathryn"},{"family":"Rede","given":"Jordan"},{"family":"Taylor","given":"Emily N."},{"family":"Gunderson","given":"Alex R."}],"issued":{"date-parts":[["2020",8,18]]}}}],"schema":"https://github.com/citation-style-language/schema/raw/master/csl-citation.json"} </w:instrText>
      </w:r>
      <w:r w:rsidR="000C23E6">
        <w:fldChar w:fldCharType="separate"/>
      </w:r>
      <w:r w:rsidR="000C23E6">
        <w:rPr>
          <w:noProof/>
        </w:rPr>
        <w:t>(Bestion et al., 2017; Moeller et al., 2020)</w:t>
      </w:r>
      <w:r w:rsidR="000C23E6">
        <w:fldChar w:fldCharType="end"/>
      </w:r>
      <w:r w:rsidR="000C23E6">
        <w:t xml:space="preserve">, amphibians </w:t>
      </w:r>
      <w:r w:rsidR="000C23E6">
        <w:fldChar w:fldCharType="begin"/>
      </w:r>
      <w:r w:rsidR="000C23E6">
        <w:instrText xml:space="preserve"> ADDIN ZOTERO_ITEM CSL_CITATION {"citationID":"QftC6azE","properties":{"formattedCitation":"(Kohl &amp; Yahn, 2016)","plainCitation":"(Kohl &amp; Yahn, 2016)","noteIndex":0},"citationItems":[{"id":1959,"uris":["http://zotero.org/users/13901503/items/ZXQ5TW3X"],"itemData":{"id":1959,"type":"article-journal","abstract":"Summary Numerous studies have investigated the effects of diet, phylogeny and immune status on the gut microbial communities of animals. Most of these studies are conducted on endotherms, especially mammals, which maintain constant body temperature in the face of environmental temperature variability. However, the majority of animals and vertebrates are ectotherms, which often experience fluctuations in body temperature as a result of their environment. While there have been several studies investigating the gut microbial diversity of ectotherms, we lack an understanding of how environmental temperature affects these communities. Here, we used high-throughput sequencing to inventory the gut microbial communities of tadpoles exposed to cool (18°C) or warm (28°C) temperature treatments. We found that temperature significantly impacted the community structure and membership of the tadpole gut. Specifically, tadpoles in the warm treatment exhibited higher abundances of the phylum Planctomycetes and the genus Mycobacterium. These results may be due to the direct effects of temperature, or mediated through changes in host physiology. Given that environmental temperatures are expected to increase due to global climate change, understanding the effects of temperature on the diversity and function of gut microbial communities is critical.","container-title":"Environmental Microbiology","DOI":"10.1111/1462-2920.13255","ISSN":"1462-2912","issue":"5","note":"publisher: John Wiley &amp; Sons, Ltd","page":"1561-1565","source":"enviromicro-journals-onlinelibrary-wiley-com.proxy.lib.umich.edu (Atypon)","title":"Effects of environmental temperature on the gut microbial communities of tadpoles","volume":"18","author":[{"family":"Kohl","given":"Kevin D."},{"family":"Yahn","given":"Jeremiah"}],"issued":{"date-parts":[["2016",5]]}}}],"schema":"https://github.com/citation-style-language/schema/raw/master/csl-citation.json"} </w:instrText>
      </w:r>
      <w:r w:rsidR="000C23E6">
        <w:fldChar w:fldCharType="separate"/>
      </w:r>
      <w:r w:rsidR="000C23E6">
        <w:rPr>
          <w:noProof/>
        </w:rPr>
        <w:t>(Kohl &amp; Yahn, 2016)</w:t>
      </w:r>
      <w:r w:rsidR="000C23E6">
        <w:fldChar w:fldCharType="end"/>
      </w:r>
      <w:r w:rsidR="000C23E6">
        <w:t xml:space="preserve">, mammals </w:t>
      </w:r>
      <w:r w:rsidR="000C23E6">
        <w:fldChar w:fldCharType="begin"/>
      </w:r>
      <w:r w:rsidR="000C23E6">
        <w:instrText xml:space="preserve"> ADDIN ZOTERO_ITEM CSL_CITATION {"citationID":"Li5YwQ3H","properties":{"formattedCitation":"(Bai et al., 2022; Tajima et al., 2007)","plainCitation":"(Bai et al., 2022; Tajima et al., 2007)","noteIndex":0},"citationItems":[{"id":3042,"uris":["http://zotero.org/users/13901503/items/AZMFVA5Z"],"itemData":{"id":3042,"type":"article-journal","abstract":"Heat stress can impair the rabbit immune system, induce oxidative stress, and cause many complications. These diseases are characterized by metabolic disorders, but the underlying mechanism is unknown. As a result, the current research determines the effects of HS on intestinal microorganisms in rabbits and the metabolic pathway disorders caused by HS. Twelve rabbits were randomly assigned to one of two groups: CON (22–24°C) and HS (30°C–32°C). Both the groups were treated for 15 days. Blood and fecal samples were collected on day 15. Serum immune oxidation indices were determined using a commercial ELISA kit, and the microbiome of rabbit feces was studied using 16S rRNA gene sequencing. Non-targeted metabolomics was analyzed using ultra-high-performance liquid chromatography-mass spectrometry (UHPC MS/MS). The findings revealed that HS significantly increased IgG and T-AOC levels in serum, whereas it decreased TNF-α and IL-10. NMDS analysis revealed a substantial difference in bacterial community composition between HS and CON groups. At the phylum level, the abundance of Firmicutes, Protobacteria, and Verrucomicrobiota was significantly higher in the HS group, whereas the abundance of Bacteriodota was reduced in the CON group. V9D2013 group, Haloplasma, Comamonas, Clostridium sensu stricto 1, Ruminiclostridium, Syntrophus Lutispora, at the genus level Syntrophorhabdus, Paeniclostridium, Clostridium sensu stricto 6, Candidatus Caldatribacterium, Spirochaeta Synergistaceae, Syner-01, [Eubacterium] xylanophilum group, Cellulosilyticum, ADurb.Bin120, and Devosia were significantly upregulated in the HS group. The metabolism of the HS group was considerably upregulated compared with the metabolism of the CON group, according to principal component analysis (PCA) and least-squares discriminant analysis (PLS-DA). HS increased the concentrations of 4-pyridoxic acid, kynurenine, 20-OH-leukotriene B4, and dopamine and decreased the concentration of pyridoxal. In the rabbit gut, these compounds primarily impact the metabolic pathways of vitamin B6, tryptophan, neutrophil activation, and prolactin. 4-Pyridoxic acid, pyridoxal, kynurenine, 20-OH-leukotriene B4, and dopamine are essential inflammatory response markers and oxidative stress.","container-title":"Frontiers in Microbiology","DOI":"10.3389/fmicb.2021.817615","ISSN":"1664-302X","journalAbbreviation":"Front. Microbiol.","language":"English","note":"publisher: Frontiers","source":"Frontiers","title":"Heat Stress Affects Faecal Microbial and Metabolic Alterations of Rabbits","URL":"https://www.frontiersin.orghttps//www.frontiersin.org/journals/microbiology/articles/10.3389/fmicb.2021.817615/full","volume":"12","author":[{"family":"Bai","given":"Xue"},{"family":"Shi","given":"Yu"},{"family":"Tang","given":"Lipeng"},{"family":"Chen","given":"Li"},{"family":"Fan","given":"Huimei"},{"family":"Wang","given":"Haoding"},{"family":"Wang","given":"Jie"},{"family":"Jia","given":"Xianbo"},{"family":"Chen","given":"Shiyi"},{"family":"Lai","given":"Songjia"}],"accessed":{"date-parts":[["2025",5,1]]},"issued":{"date-parts":[["2022",2,28]]}}},{"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I."}],"issued":{"date-parts":[["2007",4,1]]}}}],"schema":"https://github.com/citation-style-language/schema/raw/master/csl-citation.json"} </w:instrText>
      </w:r>
      <w:r w:rsidR="000C23E6">
        <w:fldChar w:fldCharType="separate"/>
      </w:r>
      <w:r w:rsidR="000C23E6">
        <w:rPr>
          <w:noProof/>
        </w:rPr>
        <w:t>(Bai et al., 2022; Tajima et al., 2007)</w:t>
      </w:r>
      <w:r w:rsidR="000C23E6">
        <w:fldChar w:fldCharType="end"/>
      </w:r>
      <w:r w:rsidR="000C23E6">
        <w:t xml:space="preserve">, and birds </w:t>
      </w:r>
      <w:r w:rsidR="000C23E6">
        <w:fldChar w:fldCharType="begin"/>
      </w:r>
      <w:r w:rsidR="000C23E6">
        <w:instrText xml:space="preserve"> ADDIN ZOTERO_ITEM CSL_CITATION {"citationID":"mZcxo5Qi","properties":{"formattedCitation":"(Zhu et al., 2019)","plainCitation":"(Zhu et al., 2019)","noteIndex":0},"citationItems":[{"id":1972,"uris":["http://zotero.org/users/13901503/items/Z3WTZJPU"],"itemData":{"id":1972,"type":"article-journal","abstract":"Chicken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rsidR="000C23E6">
        <w:fldChar w:fldCharType="separate"/>
      </w:r>
      <w:r w:rsidR="000C23E6">
        <w:rPr>
          <w:noProof/>
        </w:rPr>
        <w:t>(Zhu et al., 2019)</w:t>
      </w:r>
      <w:r w:rsidR="000C23E6">
        <w:fldChar w:fldCharType="end"/>
      </w:r>
      <w:r w:rsidR="00225441">
        <w:t>]</w:t>
      </w:r>
      <w:r w:rsidR="000C23E6">
        <w:t xml:space="preserve">. In contrast, </w:t>
      </w:r>
      <w:r w:rsidR="00225441">
        <w:t>proteobacteria appear relatively stable with rising temperatures</w:t>
      </w:r>
      <w:r w:rsidR="00225441">
        <w:t xml:space="preserve">, which is also consistent with experimental findings that show a relative increase in this phylum under heat stress </w:t>
      </w:r>
      <w:r w:rsidR="00225441">
        <w:fldChar w:fldCharType="begin"/>
      </w:r>
      <w:r w:rsidR="00225441">
        <w:instrText xml:space="preserve"> ADDIN ZOTERO_ITEM CSL_CITATION {"citationID":"nPfzqyF6","properties":{"formattedCitation":"(Neuman et al., 2016; Sepulveda &amp; Moeller, 2020; Soriano et al., 2018)","plainCitation":"(Neuman et al., 2016; Sepulveda &amp; Moeller, 2020; Soriano et al., 2018)","noteIndex":0},"citationItems":[{"id":2229,"uris":["http://zotero.org/users/13901503/items/J3568CMW"],"itemData":{"id":2229,"type":"article-journal","abstract":"We investigated the changes in the faecal microbial population of the hindgut of farmed Atlantic salmon fed two commercial diets (A and B) over a 10-month period. At each sampling round, hindgut contents of 40 fish (20 per diet) were pooled according to diet and cultivated on selective agar. The functional status of all microbiota was assessed against 48 substrates using the PhPlate generalized microplate, which also yielded a metabolic capacity (MC) value for each microbiota. Virulence gene profiles of each microbiota were also investigated. The number of different bacterial groups between two diets varied slightly and increased as water temperature peaked at 18.5°C during summer. This however, was associated with an increase in Vibrio numbers and a decrease in lactic acid bacterial numbers. A shift in the functional status of gut microbiota was observed as temperature increased, which was coupled with a decrease in the MC-value of the microbiota in both diets. Of the 35 virulence genes tested from total DNA extract of the microbiota, only cdt and east1 were detected. Results indicate that temperature is the main driver of changes to the gut microbiota in farmed Tasmanian Atlantic salmon receiving these two diets.","container-title":"Aquaculture Research","DOI":"10.1111/are.12522","ISSN":"1365-2109","issue":"2","language":"en","license":"© 2014 John Wiley &amp; Sons Ltd","note":"_eprint: https://onlinelibrary.wiley.com/doi/pdf/10.1111/are.12522","page":"660-672","source":"Wiley Online Library","title":"The effect of diet and environmental temperature on the faecal microbiota of farmed Tasmanian Atlantic Salmon (almo salar L.)","volume":"47","author":[{"family":"Neuman","given":"Christina"},{"family":"Hatje","given":"Eva"},{"family":"Zarkasi","given":"Kamarul Z"},{"family":"Smullen","given":"Richard"},{"family":"Bowman","given":"John P"},{"family":"Katouli","given":"Mohammad"}],"issued":{"date-parts":[["2016"]]}}},{"id":960,"uris":["http://zotero.org/users/13901503/items/KQS25QFF"],"itemData":{"id":960,"type":"article-journal","abstract":"Temperature is a prominent abiotic environmental variable that drives the adaptive trajectories of animal lineages and structures the composition of animal communities. Global temperature regimes are expected to undergo rapid shifts in the next century, yet for many animal taxa we lack an understanding of the consequences of these predicted shifts for animal populations. In this review, we synthesize recent evidence that temperature variation shapes the composition and function of animal gut microbiomes, key regulators of host physiology, with potential consequences for host population responses to climate change. Several recent studies spanning a range of animal taxa, including Chordata, Arthropoda, and Mollusca, have reported repeatable associations between temperature and the community composition and function of the gut microbiome. In several cases, the same microbiome responses to temperature have been observed across distantly related animal taxa, suggesting the existence of conserved mechanisms underlying temperature-induced microbiome plasticity. Extreme temperatures can disrupt the stability of alpha-diversity within the gut microbiomes individual hosts and generate beta-diversity among microbiomes within host populations. Microbiome states resulting from extreme temperatures have been associated, and in some cases causally linked, with both beneﬁcial and deleterious effects on host phenotypes. We propose routes by which temperature-induced changes in the gut microbiome may impact host ﬁtness, including effects on colonization resistance in the gut, on host energy and nutrient assimilation, and on host life history traits. Cumulatively, available data indicate that disruption of the gut microbiome may be a mechanism by which changing temperatures will impact animal ﬁtness in wild-living populations.","container-title":"Frontiers in Microbiology","DOI":"10.3389/fmicb.2020.00384","ISSN":"1664-302X","journalAbbreviation":"Front. Microbiol.","language":"en","page":"384","source":"DOI.org (Crossref)","title":"The Effects of Temperature on Animal Gut Microbiomes","volume":"11","author":[{"family":"Sepulveda","given":"Juan"},{"family":"Moeller","given":"Andrew H."}],"issued":{"date-parts":[["2020",3,10]]}}},{"id":2232,"uris":["http://zotero.org/users/13901503/items/TL348YX4"],"itemData":{"id":2232,"type":"article-journal","abstract":"Gut microbiota plays a determining role in the health status of the host. In general, a beneficial bacterial community, associated with a greater metabolic capacity and wellbeing, shows high values of species richness and relative abundance. Because environmental temperature is a regulating factor in fish physiological and metabolic processes, it is very important to understand the effect of environmental temperature on diversity and richness of gut microbiota in poikilothermic organisms. This study analysed the reciprocal diet-temperature correlations in the faecal microbiota diversity in Seriola lalandi. Juveniles were acclimated at 20 °C and 26 °C for 30 days; in addition, the fish were fed three diets with three levels of lipid inclusion (7%, 14% and 21%). Faecal microbiota in S. lalandi was characterized using the high-throughput sequencing approach based on the V3 region of the 16S rRNA gene. The most abundant phyla identified in this study were Proteobacteria, Actinobacteria, Bacteroidetes and Firmicutes. A significant change was observed in faecal microbiota in relation to acclimation temperature. The results indicated that species richness was modified in relation to the environmental temperatures; the Operational Taxonomic Units (OTUs) identified in fish acclimated at 26 °C belonged to the families Pseudomonadacea, Alcaligenaceae and Microbacteriaceae whereas those identified at 20 °C were Micavibrio, Comamonadaceae and Saprospiraceae. Furthermore, significant differences were observed between the OTUs identified in the dietary treatments, in which Actinobacteria (7% lipid), Gammaproteobacteria (14% lipid), Betaproteobacteria (21% lipid), and Flavobacteria (skretting diet) were the phyla preferentially identified from each treatment. The results obtained in this study demonstrated the importance of environmental temperature to maintain a balance in intestinal microbiota, as well as the effects of diet composition on proliferation of different microbial groups with respect to thermal induction.","container-title":"Aquaculture","DOI":"10.1016/j.aquaculture.2018.07.065","ISSN":"0044-8486","journalAbbreviation":"Aquaculture","page":"269-277","source":"ScienceDirect","title":"Effect of temperature and dietary lipid proportion on gut microbiota in yellowtail kingfish &lt;i&gt;Seriola lalandi&lt;/i&gt; juveniles","volume":"497","author":[{"family":"Soriano","given":"Ernesto Larios"},{"family":"Ramírez","given":"Dariel Tovar"},{"family":"Araujo","given":"Denise Re"},{"family":"Gómez-Gil","given":"Bruno"},{"family":"Castro","given":"Leonardo Ibarra"},{"family":"Sánchez","given":"Clara Galindo"}],"issued":{"date-parts":[["2018",12,1]]}}}],"schema":"https://github.com/citation-style-language/schema/raw/master/csl-citation.json"} </w:instrText>
      </w:r>
      <w:r w:rsidR="00225441">
        <w:fldChar w:fldCharType="separate"/>
      </w:r>
      <w:r w:rsidR="00225441">
        <w:rPr>
          <w:noProof/>
        </w:rPr>
        <w:t>(Neuman et al., 2016; Sepulveda &amp; Moeller, 2020; Soriano et al., 2018)</w:t>
      </w:r>
      <w:r w:rsidR="00225441">
        <w:fldChar w:fldCharType="end"/>
      </w:r>
      <w:r w:rsidR="00225441">
        <w:t>.</w:t>
      </w:r>
      <w:r w:rsidR="00225441">
        <w:t xml:space="preserve"> </w:t>
      </w:r>
      <w:r w:rsidR="00225441">
        <w:t>Our ancestral state reconstruction</w:t>
      </w:r>
      <w:r w:rsidR="00225441">
        <w:t xml:space="preserve"> suggest</w:t>
      </w:r>
      <w:r w:rsidR="006D45F9">
        <w:t>s</w:t>
      </w:r>
      <w:r w:rsidR="00225441">
        <w:t xml:space="preserve"> that this may be a </w:t>
      </w:r>
      <w:r w:rsidR="00225441">
        <w:t xml:space="preserve">derived trait in Proteobacteria, potentially reflecting evolved adaptations for persistence under </w:t>
      </w:r>
      <w:r w:rsidR="00225441">
        <w:t>at high temperatures</w:t>
      </w:r>
      <w:r w:rsidR="00225441">
        <w:t>. Together, these taxonomic shifts</w:t>
      </w:r>
      <w:r w:rsidR="00225441">
        <w:t xml:space="preserve"> resemble those of vertebrates under heat stress, indicating that the capuchins may be experiencing periods of heat stress at the upper end of the observed temperature range.</w:t>
      </w:r>
      <w:r w:rsidR="00B82C35">
        <w:t xml:space="preserve"> </w:t>
      </w:r>
      <w:r w:rsidR="00225441">
        <w:t xml:space="preserve">Importantly, declines in </w:t>
      </w:r>
      <w:proofErr w:type="spellStart"/>
      <w:r w:rsidR="00225441">
        <w:t>Bacteroidota</w:t>
      </w:r>
      <w:proofErr w:type="spellEnd"/>
      <w:r w:rsidR="00225441">
        <w:t xml:space="preserve"> and Firmicutes and high abundances of Proteobacteria have been linked to inflammatory bowel disorders and other disease states in humans, therefore these changes may have detrimental health consequences for the hosts. This may be due to reduced capacity for complex polysaccharide degradation, a process largely mediated by </w:t>
      </w:r>
      <w:proofErr w:type="spellStart"/>
      <w:r w:rsidR="00225441">
        <w:t>Bacteroidota</w:t>
      </w:r>
      <w:proofErr w:type="spellEnd"/>
      <w:r w:rsidR="00225441">
        <w:t xml:space="preserve"> and Firmicutes and essential for short-chain fatty acid (SCFA) production. Consistent with this, our pathway analysis indicates that starch degradation III pathway, as well as pathways responsible for butyrate and propionate synthesis decline with rising temperatures. Since these </w:t>
      </w:r>
      <w:r w:rsidR="00225441">
        <w:lastRenderedPageBreak/>
        <w:t xml:space="preserve">SCFAs are key immunomodulators that promote anti-inflammatory signaling and support microbiome-host tolerance, their reduction may compromise gut-immune homeostasis.  </w:t>
      </w:r>
    </w:p>
    <w:p w14:paraId="57DFA397" w14:textId="77777777" w:rsidR="00D965C3" w:rsidRDefault="00D965C3" w:rsidP="00FF57DA"/>
    <w:p w14:paraId="660F0F59" w14:textId="6E145FA5" w:rsidR="00771072" w:rsidRDefault="00D965C3" w:rsidP="00FF57DA">
      <w:proofErr w:type="spellStart"/>
      <w:r>
        <w:t>Bacteroidota</w:t>
      </w:r>
      <w:proofErr w:type="spellEnd"/>
      <w:r>
        <w:t xml:space="preserve"> and Firmicutes may be particularly vulnerable to high temperatures because they include many obligate anaerobes (e.g., </w:t>
      </w:r>
      <w:r>
        <w:rPr>
          <w:rStyle w:val="Emphasis"/>
          <w:rFonts w:eastAsiaTheme="majorEastAsia"/>
        </w:rPr>
        <w:t>Bacteroides</w:t>
      </w:r>
      <w:r>
        <w:t xml:space="preserve">, </w:t>
      </w:r>
      <w:r>
        <w:rPr>
          <w:rStyle w:val="Emphasis"/>
          <w:rFonts w:eastAsiaTheme="majorEastAsia"/>
        </w:rPr>
        <w:t>Clostridium</w:t>
      </w:r>
      <w:r>
        <w:t xml:space="preserve">, </w:t>
      </w:r>
      <w:proofErr w:type="spellStart"/>
      <w:r>
        <w:rPr>
          <w:rStyle w:val="Emphasis"/>
          <w:rFonts w:eastAsiaTheme="majorEastAsia"/>
        </w:rPr>
        <w:t>Ruminococcus</w:t>
      </w:r>
      <w:proofErr w:type="spellEnd"/>
      <w:r>
        <w:t xml:space="preserve">, </w:t>
      </w:r>
      <w:r>
        <w:rPr>
          <w:rStyle w:val="Emphasis"/>
          <w:rFonts w:eastAsiaTheme="majorEastAsia"/>
        </w:rPr>
        <w:t>Eubacterium</w:t>
      </w:r>
      <w:r>
        <w:t>), which are less equipped</w:t>
      </w:r>
      <w:r>
        <w:t xml:space="preserve"> to neutralize </w:t>
      </w:r>
      <w:r>
        <w:t>reactive oxygen species (ROS)</w:t>
      </w:r>
      <w:r>
        <w:t xml:space="preserve">, making them more susceptible to redox imbalance </w:t>
      </w:r>
      <w:r>
        <w:fldChar w:fldCharType="begin"/>
      </w:r>
      <w:r>
        <w:instrText xml:space="preserve"> ADDIN ZOTERO_ITEM CSL_CITATION {"citationID":"li75gYnN","properties":{"formattedCitation":"(Z. Lu et al., 2018; McCord et al., 1971)","plainCitation":"(Z. Lu et al., 2018; McCord et al., 1971)","noteIndex":0},"citationItems":[{"id":3598,"uris":["http://zotero.org/users/13901503/items/AT42KT3B"],"itemData":{"id":3598,"type":"article-journal","abstract":"It has been unclear whether superoxide and/or hydrogen peroxide play important roles in the phenomenon of obligate anaerobiosis. This question was explored using Bacteroides thetaiotaomicron, a major fermentative bacterium in the human gastrointestinal tract. Aeration inactivated two enzyme families—[4Fe-4S] dehydratases and nonredox mononuclear iron enzymes—whose homologs, in contrast, remain active in aerobic Escherichia coli. Inactivation-rate measurements of one such enzyme, B. thetaiotaomicron fumarase, showed that it is no more intrinsically sensitive to oxidants than is an E. coli fumarase. Indeed, when the E. coli enzymes were expressed in B. thetaiotaomicron, they no longer could tolerate aeration; conversely, the B. thetaiotaomicron enzymes maintained full activity when expressed in aerobic E. coli. Thus, the aerobic inactivation of the B. thetaiotaomicron enzymes is a feature of their intracellular environment rather than of the enzymes themselves. B. thetaiotaomicron possesses superoxide dismutase and peroxidases, and it can repair damaged enzymes. However, measurements confirmed that the rate of reactive oxygen species production inside aerated B. thetaiotaomicron is far higher than in E. coli. Analysis of the damaged enzymes recovered from aerated B. thetaiotaomicron suggested that they had been inactivated by superoxide rather than by hydrogen peroxide. Accordingly, overproduction of superoxide dismutase substantially protected the enzymes from aeration. We conclude that when this anaerobe encounters oxygen, its internal superoxide levels rise high enough to inactivate key catabolic and biosynthetic enzymes. Superoxide thus comprises a major element of the oxygen sensitivity of this anaerobe. The extent to which molecular oxygen exerts additional direct effects remains to be determined.","container-title":"Proceedings of the National Academy of Sciences","DOI":"10.1073/pnas.1800120115","issue":"14","note":"publisher: Proceedings of the National Academy of Sciences","page":"E3266-E3275","source":"www-pnas-org.proxy.lib.umich.edu (Atypon)","title":"Endogenous superoxide is a key effector of the oxygen sensitivity of a model obligate anaerobe","volume":"115","author":[{"family":"Lu","given":"Zheng"},{"family":"Sethu","given":"Ramakrishnan"},{"family":"Imlay","given":"James A."}],"issued":{"date-parts":[["2018",4,3]]}}},{"id":3602,"uris":["http://zotero.org/users/13901503/items/XVIRKXQ2"],"itemData":{"id":3602,"type":"article-journal","abstract":"The distribution of catalase and superoxide dismutase has been examined in various micro-organisms. Strict anaerobes exhibited no superoxide dismutase and, generally, no catalase activity. All aerobic organisms containing cytochrome systems were found to contain both superoxide dismutase and catalase. Aerotolerant anaerobes, which survive exposure to air and metabolize oxygen to a limited extent but do not contain cytochrome systems, were found to be devoid of catalase activity but did exhibit superoxide dismutase activity. This distribution is consistent with the proposal that the prime physiological function of superoxide dismutase is protection of oxygen-metabolizing organisms against the potentially detrimental effects of the superoxide free radical, a biologically produced intermediate resulting from the univalent reduction of molecular oxygen.","container-title":"Proceedings of the National Academy of Sciences","DOI":"10.1073/pnas.68.5.1024","issue":"5","note":"publisher: Proceedings of the National Academy of Sciences","page":"1024-1027","source":"www-pnas-org.proxy.lib.umich.edu (Atypon)","title":"An Enzyme-Based Theory of Obligate Anaerobiosis: The Physiological Function of Superoxide Dismutase","title-short":"An Enzyme-Based Theory of Obligate Anaerobiosis","volume":"68","author":[{"family":"McCord","given":"Joe M."},{"family":"Keele","given":"Bernard B."},{"family":"Fridovich","given":"Irwin"}],"issued":{"date-parts":[["1971",5]]}}}],"schema":"https://github.com/citation-style-language/schema/raw/master/csl-citation.json"} </w:instrText>
      </w:r>
      <w:r>
        <w:fldChar w:fldCharType="separate"/>
      </w:r>
      <w:r>
        <w:rPr>
          <w:noProof/>
        </w:rPr>
        <w:t>(Z. Lu et al., 2018; McCord et al., 1971)</w:t>
      </w:r>
      <w:r>
        <w:fldChar w:fldCharType="end"/>
      </w:r>
      <w:r>
        <w:t xml:space="preserve">. Redox imbalance, </w:t>
      </w:r>
      <w:r w:rsidR="006840D7">
        <w:t>characterized by an imbalance between the production of reactive oxygen species (ROS) and the</w:t>
      </w:r>
      <w:r w:rsidR="006840D7">
        <w:t xml:space="preserve"> </w:t>
      </w:r>
      <w:r w:rsidR="006840D7">
        <w:t xml:space="preserve">ability to </w:t>
      </w:r>
      <w:r w:rsidR="006840D7">
        <w:t>neutralize</w:t>
      </w:r>
      <w:r w:rsidR="006840D7">
        <w:t xml:space="preserve"> them</w:t>
      </w:r>
      <w:r w:rsidR="006840D7">
        <w:t xml:space="preserve">, is a trademark of heat stress () and can influence gut microbiome composition </w:t>
      </w:r>
      <w:r w:rsidR="006840D7">
        <w:fldChar w:fldCharType="begin"/>
      </w:r>
      <w:r w:rsidR="006840D7">
        <w:instrText xml:space="preserve"> ADDIN ZOTERO_ITEM CSL_CITATION {"citationID":"3KdRrJae","properties":{"formattedCitation":"(Ballard &amp; Towarnicki, 2020; Yardeni et al., 2019)","plainCitation":"(Ballard &amp; Towarnicki, 2020; Yardeni et al., 2019)","noteIndex":0},"citationItems":[{"id":3494,"uris":["http://zotero.org/users/13901503/items/EE4WVDAC"],"itemData":{"id":3494,"type":"article-journal","abstract":"In this review, we discuss the connections between mitochondria and the gut microbiome provided by reactive oxygen species (ROS). We examine the mitochondrion as an endosymbiotic organelle that is a hub for energy production, signaling, and cell homeostasis. Maintaining a diverse gut microbiome is generally associated with organismal fitness, intestinal health and resistance to environmental stress. In contrast, gut microbiome imbalance, termed dysbiosis, is linked to a reduction in organismal well-being. ROS are essential signaling molecules but can be damaging when present in excess. Increasing ROS levels have been shown to influence human health, homeostasis of gut cells, and the gastrointestinal microbial community's biodiversity. Reciprocally, gut microbes can affect ROS levels, mitochondrial homeostasis, and host health. We propose that mechanistic understanding of the suite of bi-directional interactions between mitochondria and the gut microbiome will facilitate innovative interdisciplinary studies examining evolutionary divergence and provide novel treatments and therapeutics for disease.\nGloss\nIn this review, we focus on the nexus between mitochondria and the gut microbiome provided by reactive oxygen species (ROS). Mitochondria are a cell organelle that is derived from an ancestral alpha-proteobacteria. They generate around 80% of the adenosine triphosphate that an organism needs to function and release a range of signaling molecules essential for cellular homeostasis. The gut microbiome is a suite of microorganisms that are commensal, symbiotic and pathogenic to their host. ROS are one predominant group of essential signaling molecules that can be harmful in excess. We suggest that the mitochondria- microbiome nexus is a frontier of research that has cross-disciplinary benefits in understanding genetic divergence and human well-being.","container-title":"Cellular Signalling","DOI":"10.1016/j.cellsig.2020.109737","ISSN":"0898-6568","journalAbbreviation":"Cellular Signalling","page":"109737","source":"ScienceDirect","title":"Mitochondria, the gut microbiome and ROS","volume":"75","author":[{"family":"Ballard","given":"J. William O."},{"family":"Towarnicki","given":"Samuel G."}],"issued":{"date-parts":[["2020",11,1]]}}},{"id":3328,"uris":["http://zotero.org/users/13901503/items/R2W8Z2FT"],"itemData":{"id":3328,"type":"article-journal","abstract":"Changes in the gut microbiota and the mitochondrial genome are both linked with the development of disease. To investigate why, we examined the gut microbiota of mice harboring various mutations in genes that alter mitochondrial function. These studies revealed that mitochondrial genetic variations altered the composition of the gut microbiota community. In cross-fostering studies, we found that although the initial microbiota community of newborn mice was that obtained from the nursing mother, the microbiota community progressed toward that characteristic of the microbiome of unfostered pups of the same genotype within 2 months. Analysis of the mitochondrial DNA variants associated with altered gut microbiota suggested that microbiome species diversity correlated with host reactive oxygen species (ROS) production. To determine whether the abundance of ROS could alter the gut microbiota, mice were aged, treated with N-acetylcysteine, or engineered to express the ROS scavenger catalase specifically within the mitochondria. All three conditions altered the microbiota from that initially established. Thus, these data suggest that the mitochondrial genotype modulates both ROS production and the species diversity of the gut microbiome, implying that the connection between the gut microbiome and common disease phenotypes might be due to underlying changes in mitochondrial function.","container-title":"Science Signaling","DOI":"10.1126/scisignal.aaw3159","issue":"588","note":"publisher: American Association for the Advancement of Science","page":"eaaw3159","source":"www-science-org.proxy.lib.umich.edu (Atypon)","title":"Host mitochondria influence gut microbiome diversity: A role for ROS","title-short":"Host mitochondria influence gut microbiome diversity","volume":"12","author":[{"family":"Yardeni","given":"Tal"},{"family":"Tanes","given":"Ceylan E."},{"family":"Bittinger","given":"Kyle"},{"family":"Mattei","given":"Lisa M."},{"family":"Schaefer","given":"Patrick M."},{"family":"Singh","given":"Larry N."},{"family":"Wu","given":"Gary D."},{"family":"Murdock","given":"Deborah G."},{"family":"Wallace","given":"Douglas C."}],"issued":{"date-parts":[["2019",7,2]]}}}],"schema":"https://github.com/citation-style-language/schema/raw/master/csl-citation.json"} </w:instrText>
      </w:r>
      <w:r w:rsidR="006840D7">
        <w:fldChar w:fldCharType="separate"/>
      </w:r>
      <w:r w:rsidR="006840D7">
        <w:rPr>
          <w:noProof/>
        </w:rPr>
        <w:t>(Ballard &amp; Towarnicki, 2020; Yardeni et al., 2019)</w:t>
      </w:r>
      <w:r w:rsidR="006840D7">
        <w:fldChar w:fldCharType="end"/>
      </w:r>
      <w:r w:rsidR="006840D7">
        <w:t xml:space="preserve">. </w:t>
      </w:r>
      <w:r w:rsidR="00771072">
        <w:t xml:space="preserve">The loss of </w:t>
      </w:r>
      <w:proofErr w:type="spellStart"/>
      <w:r w:rsidR="00771072">
        <w:t>Bacteroidota</w:t>
      </w:r>
      <w:proofErr w:type="spellEnd"/>
      <w:r w:rsidR="00771072">
        <w:t xml:space="preserve"> </w:t>
      </w:r>
      <w:r w:rsidR="00771072">
        <w:t>and Firmicutes</w:t>
      </w:r>
      <w:r w:rsidR="00771072">
        <w:t xml:space="preserve"> coupled with some of the broad metabolic shifts indicated by our pathway data are evidence that</w:t>
      </w:r>
      <w:r w:rsidR="00771072">
        <w:t xml:space="preserve"> high temperatures may trigger a negative feedback loop</w:t>
      </w:r>
      <w:r w:rsidR="00771072">
        <w:t xml:space="preserve"> initiated by redox imbalance that disrupts the abundances of obligate anaerobes, which then contributes to the breakdown of gut-immune homeostasis that continues to promotes the redox imbalance (Fig 4). This mechanism mirrors known relationships between the gut microbiome, redox homeostasis, and host immune function </w:t>
      </w:r>
      <w:r w:rsidR="00771072">
        <w:fldChar w:fldCharType="begin"/>
      </w:r>
      <w:r w:rsidR="00771072">
        <w:instrText xml:space="preserve"> ADDIN ZOTERO_ITEM CSL_CITATION {"citationID":"ZVo4Iuph","properties":{"formattedCitation":"(L. Li et al., 2023; Mostafavi Abdolmaleky &amp; Zhou, 2024)","plainCitation":"(L. Li et al., 2023; Mostafavi Abdolmaleky &amp; Zhou, 2024)","noteIndex":0},"citationItems":[{"id":3497,"uris":["http://zotero.org/users/13901503/items/RMY7RJ4R"],"itemData":{"id":3497,"type":"article-journal","abstract":"Inflammatory bowel disease (IBD) is a long-term, progressive, and recurrent intestinal inflammatory disorder. The pathogenic mechanisms of IBD are multifaceted and associated with oxidative stress, unbalanced gut microbiota, and aberrant immune response. Indeed, oxidative stress can affect the progression and development of IBD by regulating the homeostasis of the gut microbiota and immune response. Therefore, redox-targeted therapy is a promising treatment option for IBD. Recent evidence has verified that Chinese herbal medicine (CHM)-derived polyphenols, natural antioxidants, are able to maintain redox equilibrium in the intestinal tract to prevent abnormal gut microbiota and radical inflammatory responses. Here, we provide a comprehensive perspective for implementing natural antioxidants as potential IBD candidate medications. In addition, we demonstrate novel technologies and stratagems for promoting the antioxidative properties of CHM-derived polyphenols, including novel delivery systems, chemical modifications, and combination strategies.","container-title":"Antioxidants","DOI":"10.3390/antiox12040967","ISSN":"2076-3921","issue":"4","language":"en","license":"http://creativecommons.org/licenses/by/3.0/","note":"number: 4\npublisher: Multidisciplinary Digital Publishing Institute","page":"967","source":"www-mdpi-com.proxy.lib.umich.edu","title":"Oxidative Stress, Inflammation, Gut Dysbiosis: What Can Polyphenols Do in Inflammatory Bowel Disease?","title-short":"Oxidative Stress, Inflammation, Gut Dysbiosis","volume":"12","author":[{"family":"Li","given":"Lei"},{"family":"Peng","given":"Peilan"},{"family":"Ding","given":"Ning"},{"family":"Jia","given":"Wenhui"},{"family":"Huang","given":"Canhua"},{"family":"Tang","given":"Yong"}],"issued":{"date-parts":[["2023",4]]}}},{"id":3251,"uris":["http://zotero.org/users/13901503/items/RA2W4N37"],"itemData":{"id":3251,"type":"article-journal","abstract":"Gut dysbiosis, resulting from an imbalance in the gut microbiome, can induce excessive production of reactive oxygen species (ROS), leading to inflammation, DNA damage, activation of the immune system, and epigenetic alterations of critical genes involved in the metabolic pathways. Gut dysbiosis-induced inflammation can also disrupt the gut barrier integrity and increase intestinal permeability, which allows gut-derived toxic products to enter the liver and systemic circulation, further triggering oxidative stress, inflammation, and epigenetic alterations associated with metabolic diseases. However, specific gut-derived metabolites, such as short-chain fatty acids (SCFAs), lactate, and vitamins, can modulate oxidative stress and the immune system through epigenetic mechanisms, thereby improving metabolic function. Gut microbiota and diet-induced metabolic diseases, such as obesity, insulin resistance, dyslipidemia, and hypertension, can transfer to the next generation, involving epigenetic mechanisms. In this review, we will introduce the key epigenetic alterations that, along with gut dysbiosis and ROS, are engaged in developing metabolic diseases. Finally, we will discuss potential therapeutic interventions such as dietary modifications, prebiotics, probiotics, postbiotics, and fecal microbiota transplantation, which may reduce oxidative stress and inflammation associated with metabolic syndrome by altering gut microbiota and epigenetic alterations. In summary, this review highlights the crucial role of gut microbiota dysbiosis, oxidative stress, and inflammation in the pathogenesis of metabolic diseases, with a particular focus on epigenetic alterations (including histone modifications, DNA methylomics, and RNA interference) and potential interventions that may prevent or improve metabolic diseases.","container-title":"Antioxidants","DOI":"10.3390/antiox13080985","ISSN":"2076-3921","issue":"8","language":"en","license":"http://creativecommons.org/licenses/by/3.0/","note":"number: 8\npublisher: Multidisciplinary Digital Publishing Institute","page":"985","source":"www-mdpi-com.proxy.lib.umich.edu","title":"Gut Microbiota Dysbiosis, Oxidative Stress, Inflammation, and Epigenetic Alterations in Metabolic Diseases","volume":"13","author":[{"family":"Mostafavi Abdolmaleky","given":"Hamid"},{"family":"Zhou","given":"Jin-Rong"}],"issued":{"date-parts":[["2024",8]]}}}],"schema":"https://github.com/citation-style-language/schema/raw/master/csl-citation.json"} </w:instrText>
      </w:r>
      <w:r w:rsidR="00771072">
        <w:fldChar w:fldCharType="separate"/>
      </w:r>
      <w:r w:rsidR="00771072">
        <w:rPr>
          <w:noProof/>
        </w:rPr>
        <w:t>(L. Li et al., 2023; Mostafavi Abdolmaleky &amp; Zhou, 2024)</w:t>
      </w:r>
      <w:r w:rsidR="00771072">
        <w:fldChar w:fldCharType="end"/>
      </w:r>
      <w:r w:rsidR="00771072">
        <w:t>, but has never been observed in a wild species in response to environmental change. Our data offer evidence that redox imbalance is associated with high temperatures due to the decrease in pathways implicated in redox homeostasis and the increase in nucleotide mobilization which is a likely indicator of repair to DNA caused by overabundant reactive oxygen species. We also observe a decrease</w:t>
      </w:r>
      <w:r w:rsidR="000B623F">
        <w:t xml:space="preserve"> pathways involved in</w:t>
      </w:r>
      <w:r w:rsidR="00771072">
        <w:t xml:space="preserve"> </w:t>
      </w:r>
      <w:r w:rsidR="000B623F">
        <w:t xml:space="preserve">complex polysaccharide degradation and microbiome anti-inflammatory </w:t>
      </w:r>
      <w:proofErr w:type="spellStart"/>
      <w:r w:rsidR="000B623F">
        <w:t>siganling</w:t>
      </w:r>
      <w:proofErr w:type="spellEnd"/>
      <w:r w:rsidR="000B623F">
        <w:t xml:space="preserve">, which is likely a result of the loss of </w:t>
      </w:r>
      <w:proofErr w:type="spellStart"/>
      <w:r w:rsidR="000B623F">
        <w:t>Bacteroidota</w:t>
      </w:r>
      <w:proofErr w:type="spellEnd"/>
      <w:r w:rsidR="000B623F">
        <w:t xml:space="preserve"> and Firmicutes</w:t>
      </w:r>
      <w:r w:rsidR="000B623F">
        <w:t xml:space="preserve"> given that these are their main jobs. Long-term exposure to heat stress will likely result in a breakdown of microbiome-host immune homeostasis because key pathways that support </w:t>
      </w:r>
      <w:proofErr w:type="spellStart"/>
      <w:r w:rsidR="000B623F">
        <w:t>support</w:t>
      </w:r>
      <w:proofErr w:type="spellEnd"/>
      <w:r w:rsidR="000B623F">
        <w:t xml:space="preserve"> microbiome-host tolerance</w:t>
      </w:r>
      <w:r w:rsidR="000B623F">
        <w:t xml:space="preserve"> are depleted. Inflammatory responses then trigger  </w:t>
      </w:r>
    </w:p>
    <w:p w14:paraId="49E14688" w14:textId="77777777" w:rsidR="00771072" w:rsidRDefault="00771072" w:rsidP="00FF57DA"/>
    <w:p w14:paraId="7322146A" w14:textId="77777777" w:rsidR="00771072" w:rsidRDefault="00771072" w:rsidP="00FF57DA"/>
    <w:p w14:paraId="3E7C805C" w14:textId="2F75AD13" w:rsidR="00771072" w:rsidRDefault="00C32F16" w:rsidP="00FF57DA">
      <w:r>
        <w:t xml:space="preserve">The loss of </w:t>
      </w:r>
      <w:proofErr w:type="spellStart"/>
      <w:r>
        <w:t>Bacteroidota</w:t>
      </w:r>
      <w:proofErr w:type="spellEnd"/>
      <w:r>
        <w:t xml:space="preserve"> and Firmicutes coupled with some of the broad metabolic shifts indicated by our pathway data are evidence that high temperatures may trigger a negative feedback loop initiated by redox imbalance that disrupts the abundances of obligate anaerobes, which then contributes to the breakdown of gut-immune homeostasis that continues to promotes the redox imbalance (Fig 4).</w:t>
      </w:r>
    </w:p>
    <w:p w14:paraId="0BDD96A2" w14:textId="77777777" w:rsidR="00D965C3" w:rsidRDefault="00D965C3" w:rsidP="00FF57DA"/>
    <w:p w14:paraId="2C8EB775" w14:textId="77777777" w:rsidR="00D965C3" w:rsidRDefault="00D965C3" w:rsidP="00FF57DA"/>
    <w:p w14:paraId="03C3E261" w14:textId="77777777" w:rsidR="006840D7" w:rsidRDefault="006840D7" w:rsidP="006840D7">
      <w:proofErr w:type="spellStart"/>
      <w:r>
        <w:t>Bacteroidota</w:t>
      </w:r>
      <w:proofErr w:type="spellEnd"/>
      <w:r>
        <w:t xml:space="preserve"> and Firmicutes are likely more vulnerable to high temperatures because they are comprised of taxa that are considered obligate anaerobes (e.g. </w:t>
      </w:r>
      <w:r w:rsidRPr="003A0112">
        <w:rPr>
          <w:i/>
          <w:iCs/>
        </w:rPr>
        <w:t xml:space="preserve">Bacteroides, Clostridium, </w:t>
      </w:r>
      <w:proofErr w:type="spellStart"/>
      <w:r w:rsidRPr="003A0112">
        <w:rPr>
          <w:i/>
          <w:iCs/>
        </w:rPr>
        <w:t>Ruminococcus</w:t>
      </w:r>
      <w:proofErr w:type="spellEnd"/>
      <w:r w:rsidRPr="003A0112">
        <w:rPr>
          <w:i/>
          <w:iCs/>
        </w:rPr>
        <w:t>, Eubacterium</w:t>
      </w:r>
      <w:r>
        <w:t xml:space="preserve">), meaning they are more vulnerable to extended periods of oxygen exposure than facultative anaerobes or aerobes because their enzymatic defense capable of reactive oxygen species may be less robust or neutralized upon contact with an oxygenated environment () </w:t>
      </w:r>
    </w:p>
    <w:p w14:paraId="566E71F4" w14:textId="77777777" w:rsidR="00D965C3" w:rsidRDefault="00D965C3" w:rsidP="00FF57DA"/>
    <w:p w14:paraId="343F8063" w14:textId="0CD052BF" w:rsidR="00A95D9F" w:rsidRDefault="00B82C35" w:rsidP="00FF57DA">
      <w:r>
        <w:t>Heat stress is often associated with redox imbalance, where the elimination of reactive oxygen species is not balance</w:t>
      </w:r>
      <w:r w:rsidR="00FF57DA">
        <w:t>d</w:t>
      </w:r>
      <w:r>
        <w:t xml:space="preserve"> with the generation of oxygen species. An increase in the abundance of ROS is bad because they go around causing damage and can be particularly back to obligate anaerobes because of the total lack of defense against them.</w:t>
      </w:r>
      <w:r w:rsidR="00FF57DA">
        <w:t xml:space="preserve"> Therefore, we think that</w:t>
      </w:r>
      <w:r w:rsidR="000C3113">
        <w:t xml:space="preserve"> the taxonomic shifts coupled with our pathway results are </w:t>
      </w:r>
      <w:r w:rsidR="000825D4">
        <w:t xml:space="preserve">evidence that </w:t>
      </w:r>
      <w:r w:rsidR="00FF57DA">
        <w:t xml:space="preserve">high temperatures may </w:t>
      </w:r>
      <w:r w:rsidR="000C3113">
        <w:lastRenderedPageBreak/>
        <w:t>trigger a negative feedback loops caused by a</w:t>
      </w:r>
      <w:r w:rsidR="00FF57DA">
        <w:t xml:space="preserve"> redox imbalance that triggers a negative feedback loop in the gut environment, disrupting the abundances of obligate anaerobes, which then causes a breakdown of gut-immune homeostasis, which continues to feed the redox imbalance (Fig 4). </w:t>
      </w:r>
      <w:r w:rsidR="00A95D9F">
        <w:t xml:space="preserve">Follows known interactions between redox balance, gut microbiome composition/function, and inflammatory pathways (). </w:t>
      </w:r>
    </w:p>
    <w:p w14:paraId="74EF21C4" w14:textId="77777777" w:rsidR="00A95D9F" w:rsidRDefault="00A95D9F" w:rsidP="00FF57DA"/>
    <w:p w14:paraId="6379490C" w14:textId="032D1E46" w:rsidR="00FF57DA" w:rsidRDefault="00FF57DA" w:rsidP="00FF57DA">
      <w:r>
        <w:t xml:space="preserve">We see evidence of a probable redox </w:t>
      </w:r>
      <w:proofErr w:type="spellStart"/>
      <w:r>
        <w:t>imbalcne</w:t>
      </w:r>
      <w:proofErr w:type="spellEnd"/>
      <w:r>
        <w:t xml:space="preserve"> at high temps because of the decrease in redox neutralizing paths and the increase in nucleotide mobilization which is likely a response to DNA damage caused by the ROS imbalance</w:t>
      </w:r>
      <w:r w:rsidR="003A0ACA">
        <w:t xml:space="preserve"> which then triggers the decline in abundance of </w:t>
      </w:r>
      <w:proofErr w:type="spellStart"/>
      <w:r w:rsidR="003A0ACA">
        <w:t>Bacteroidota</w:t>
      </w:r>
      <w:proofErr w:type="spellEnd"/>
      <w:r w:rsidR="003A0ACA">
        <w:t xml:space="preserve"> and Firmicutes</w:t>
      </w:r>
      <w:r w:rsidR="003A0ACA">
        <w:t xml:space="preserve"> this then affects gut-immune homeostasis evidence by the pathways. It’s well known that immune cells also increase ROS which will contribute to the redox imbalance and continue the cycle. After exposure to high temperatures for a long period of time, this may eventually result in chronic inflammation, epithetical damage, which can result in disease and negative effects on long-term health outcomes. </w:t>
      </w:r>
      <w:r w:rsidR="00B60141">
        <w:t xml:space="preserve">Or could result in less metabolic assistance from the gut to the host which then may affect energy balance which the host depends on in times of energy deficiency. Could provide a mechanism by which climate change contributes to bad species outcomes. </w:t>
      </w:r>
    </w:p>
    <w:p w14:paraId="5F8BEC70" w14:textId="3EF4456C" w:rsidR="00FF57DA" w:rsidRDefault="00FF57DA" w:rsidP="00FF57DA"/>
    <w:p w14:paraId="43AF9432" w14:textId="56C8CCF2" w:rsidR="00FF57DA" w:rsidRDefault="000825D4" w:rsidP="00FF57DA">
      <w:r>
        <w:t xml:space="preserve">Temp affects redox balance -&gt; changes in </w:t>
      </w:r>
      <w:proofErr w:type="spellStart"/>
      <w:r>
        <w:t>anerobes</w:t>
      </w:r>
      <w:proofErr w:type="spellEnd"/>
      <w:r>
        <w:t xml:space="preserve"> -&gt; host immune tolerance -&gt; redox balance</w:t>
      </w:r>
    </w:p>
    <w:p w14:paraId="5BB61CBE" w14:textId="77777777" w:rsidR="000825D4" w:rsidRDefault="000825D4" w:rsidP="00FF57DA"/>
    <w:p w14:paraId="7585E4A0" w14:textId="47BC9EE5" w:rsidR="000825D4" w:rsidRDefault="000825D4" w:rsidP="00FF57DA">
      <w:r>
        <w:t>Importantly all of these functions are bidirectionally, as it is shown that blah blah blah</w:t>
      </w:r>
    </w:p>
    <w:p w14:paraId="447E4679" w14:textId="4BF44160" w:rsidR="00FF57DA" w:rsidRDefault="00FF57DA"/>
    <w:p w14:paraId="48FA6EDC" w14:textId="0379DE95" w:rsidR="00FF57DA" w:rsidRDefault="000825D4">
      <w:r>
        <w:t xml:space="preserve">First time something like this would be observed in a natural population, </w:t>
      </w:r>
      <w:proofErr w:type="spellStart"/>
      <w:r>
        <w:t>lost</w:t>
      </w:r>
      <w:proofErr w:type="spellEnd"/>
      <w:r>
        <w:t xml:space="preserve"> of </w:t>
      </w:r>
      <w:proofErr w:type="spellStart"/>
      <w:r>
        <w:t>experiemtnal</w:t>
      </w:r>
      <w:proofErr w:type="spellEnd"/>
      <w:r>
        <w:t xml:space="preserve"> evidence looking at the </w:t>
      </w:r>
      <w:proofErr w:type="spellStart"/>
      <w:r>
        <w:t>relaitoship</w:t>
      </w:r>
      <w:proofErr w:type="spellEnd"/>
      <w:r>
        <w:t xml:space="preserve"> between the gut and redox () but essentially no work looking at how this system functions in </w:t>
      </w:r>
      <w:proofErr w:type="spellStart"/>
      <w:r>
        <w:t>respons</w:t>
      </w:r>
      <w:proofErr w:type="spellEnd"/>
      <w:r>
        <w:t xml:space="preserve"> to environmental change</w:t>
      </w:r>
    </w:p>
    <w:p w14:paraId="09E1F30F" w14:textId="77777777" w:rsidR="00FF57DA" w:rsidRDefault="00FF57DA"/>
    <w:p w14:paraId="070B6E44" w14:textId="77777777" w:rsidR="00FF57DA" w:rsidRDefault="00FF57DA"/>
    <w:p w14:paraId="4790C504" w14:textId="77777777" w:rsidR="000C23E6" w:rsidRDefault="000C23E6"/>
    <w:p w14:paraId="3FE5D85A" w14:textId="77777777" w:rsidR="00B76DE6" w:rsidRDefault="00B76DE6"/>
    <w:p w14:paraId="5F35D722" w14:textId="77777777" w:rsidR="00302166" w:rsidRDefault="00302166"/>
    <w:p w14:paraId="135FFED3" w14:textId="77777777" w:rsidR="004304D5" w:rsidRDefault="004304D5"/>
    <w:p w14:paraId="32416F5D" w14:textId="77777777" w:rsidR="004E6623" w:rsidRDefault="004E6623"/>
    <w:p w14:paraId="7E884BA7" w14:textId="77777777" w:rsidR="004E6623" w:rsidRDefault="004E6623"/>
    <w:p w14:paraId="0AA3296B" w14:textId="77777777" w:rsidR="004E6623" w:rsidRDefault="004E6623"/>
    <w:p w14:paraId="215F27A6" w14:textId="77777777" w:rsidR="004E6623" w:rsidRDefault="004E6623"/>
    <w:p w14:paraId="1B9C085E" w14:textId="77777777" w:rsidR="004E6623" w:rsidRDefault="004E6623"/>
    <w:p w14:paraId="49B20429" w14:textId="77777777" w:rsidR="004E6623" w:rsidRDefault="004E6623"/>
    <w:p w14:paraId="0D5DD95F" w14:textId="77777777" w:rsidR="00B82C35" w:rsidRDefault="00B82C35"/>
    <w:p w14:paraId="25596D0E" w14:textId="77777777" w:rsidR="00B82C35" w:rsidRDefault="00B82C35"/>
    <w:p w14:paraId="4F3D62AE" w14:textId="77777777" w:rsidR="00B82C35" w:rsidRDefault="00B82C35"/>
    <w:p w14:paraId="66A4C71E" w14:textId="77777777" w:rsidR="00B82C35" w:rsidRDefault="00B82C35"/>
    <w:p w14:paraId="3B781F4C" w14:textId="77777777" w:rsidR="00B82C35" w:rsidRDefault="00B82C35"/>
    <w:p w14:paraId="0A958B54" w14:textId="77777777" w:rsidR="00B82C35" w:rsidRDefault="00B82C35"/>
    <w:p w14:paraId="1F1F3702" w14:textId="77777777" w:rsidR="00B82C35" w:rsidRDefault="00B82C35"/>
    <w:p w14:paraId="65BBF414" w14:textId="77777777" w:rsidR="00B82C35" w:rsidRDefault="00B82C35"/>
    <w:p w14:paraId="7B58BB47" w14:textId="4107C00E" w:rsidR="002A13F0" w:rsidRDefault="002A13F0"/>
    <w:p w14:paraId="56198259" w14:textId="77777777" w:rsidR="002A13F0" w:rsidRDefault="002A13F0"/>
    <w:p w14:paraId="1BF82582" w14:textId="77777777" w:rsidR="004F7281" w:rsidRDefault="004F7281"/>
    <w:p w14:paraId="2B67BD84" w14:textId="77777777" w:rsidR="004F7281" w:rsidRDefault="004F7281"/>
    <w:sectPr w:rsidR="004F7281" w:rsidSect="000365B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ore, Jordan" w:date="2025-05-23T15:21:00Z" w:initials="JL">
    <w:p w14:paraId="20105C51" w14:textId="77777777" w:rsidR="00E32D92" w:rsidRDefault="00E32D92" w:rsidP="00E32D92">
      <w:r>
        <w:rPr>
          <w:rStyle w:val="CommentReference"/>
        </w:rPr>
        <w:annotationRef/>
      </w:r>
      <w:r>
        <w:rPr>
          <w:color w:val="000000"/>
          <w:sz w:val="20"/>
          <w:szCs w:val="20"/>
        </w:rPr>
        <w:t>at this discutino of the loss of obligate anerobes and the persistance of facultative anerobes</w:t>
      </w:r>
    </w:p>
  </w:comment>
  <w:comment w:id="1" w:author="Lucore, Jordan" w:date="2025-05-23T15:17:00Z" w:initials="JL">
    <w:p w14:paraId="3DF6E163" w14:textId="5E0B0805" w:rsidR="007B4762" w:rsidRDefault="007B4762" w:rsidP="007B4762">
      <w:r>
        <w:rPr>
          <w:rStyle w:val="CommentReference"/>
        </w:rPr>
        <w:annotationRef/>
      </w:r>
      <w:r>
        <w:rPr>
          <w:color w:val="000000"/>
          <w:sz w:val="20"/>
          <w:szCs w:val="20"/>
        </w:rPr>
        <w:t xml:space="preserve">this needs to be changed, take out the atp stuff and set up the discussion for facultative versus pbigate anerobes and that this shift is tards fermentation but of simple carb NOT complex carbs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105C51" w15:done="0"/>
  <w15:commentEx w15:paraId="3DF6E16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0092CA" w16cex:dateUtc="2025-05-23T19:21:00Z"/>
  <w16cex:commentExtensible w16cex:durableId="6B9788F7" w16cex:dateUtc="2025-05-23T19: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105C51" w16cid:durableId="350092CA"/>
  <w16cid:commentId w16cid:paraId="3DF6E163" w16cid:durableId="6B9788F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22A22"/>
    <w:multiLevelType w:val="hybridMultilevel"/>
    <w:tmpl w:val="B450E9F4"/>
    <w:lvl w:ilvl="0" w:tplc="84345F0A">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4581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ore, Jordan">
    <w15:presenceInfo w15:providerId="AD" w15:userId="S::jlucore@umich.edu::2b7f0ac7-c137-4b2e-b3ae-7bee2b60824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781"/>
    <w:rsid w:val="0001699A"/>
    <w:rsid w:val="000365B2"/>
    <w:rsid w:val="00062C3C"/>
    <w:rsid w:val="00074A66"/>
    <w:rsid w:val="000825D4"/>
    <w:rsid w:val="00090B03"/>
    <w:rsid w:val="000B623F"/>
    <w:rsid w:val="000C23E6"/>
    <w:rsid w:val="000C3113"/>
    <w:rsid w:val="000D54E5"/>
    <w:rsid w:val="000F15EF"/>
    <w:rsid w:val="0012426A"/>
    <w:rsid w:val="001974B5"/>
    <w:rsid w:val="00222C53"/>
    <w:rsid w:val="00225441"/>
    <w:rsid w:val="0023582B"/>
    <w:rsid w:val="00242713"/>
    <w:rsid w:val="0028550C"/>
    <w:rsid w:val="002A13F0"/>
    <w:rsid w:val="002B4F37"/>
    <w:rsid w:val="002E1BAD"/>
    <w:rsid w:val="002E4FB2"/>
    <w:rsid w:val="00302166"/>
    <w:rsid w:val="003059AC"/>
    <w:rsid w:val="00311C62"/>
    <w:rsid w:val="003139C7"/>
    <w:rsid w:val="00322CC2"/>
    <w:rsid w:val="00325313"/>
    <w:rsid w:val="00337EBD"/>
    <w:rsid w:val="003563E7"/>
    <w:rsid w:val="00383541"/>
    <w:rsid w:val="003A0112"/>
    <w:rsid w:val="003A0ACA"/>
    <w:rsid w:val="003B6781"/>
    <w:rsid w:val="003E3D7B"/>
    <w:rsid w:val="00401087"/>
    <w:rsid w:val="004304D5"/>
    <w:rsid w:val="00430CC0"/>
    <w:rsid w:val="00455D9E"/>
    <w:rsid w:val="00462FEB"/>
    <w:rsid w:val="0047195C"/>
    <w:rsid w:val="00484692"/>
    <w:rsid w:val="004A63B5"/>
    <w:rsid w:val="004B03C9"/>
    <w:rsid w:val="004B07F8"/>
    <w:rsid w:val="004B5CD5"/>
    <w:rsid w:val="004C3E8B"/>
    <w:rsid w:val="004E6623"/>
    <w:rsid w:val="004F7281"/>
    <w:rsid w:val="00506A58"/>
    <w:rsid w:val="00517773"/>
    <w:rsid w:val="00527CA4"/>
    <w:rsid w:val="005551F2"/>
    <w:rsid w:val="00573A64"/>
    <w:rsid w:val="00576C66"/>
    <w:rsid w:val="0058658D"/>
    <w:rsid w:val="005B379B"/>
    <w:rsid w:val="005C14CA"/>
    <w:rsid w:val="005C411D"/>
    <w:rsid w:val="005D04F7"/>
    <w:rsid w:val="005D39FA"/>
    <w:rsid w:val="005D6455"/>
    <w:rsid w:val="005D6502"/>
    <w:rsid w:val="00617EEE"/>
    <w:rsid w:val="00641874"/>
    <w:rsid w:val="006540E8"/>
    <w:rsid w:val="006556ED"/>
    <w:rsid w:val="006840D7"/>
    <w:rsid w:val="006B2153"/>
    <w:rsid w:val="006D36CA"/>
    <w:rsid w:val="006D45F9"/>
    <w:rsid w:val="006F6005"/>
    <w:rsid w:val="007055F2"/>
    <w:rsid w:val="00752B2B"/>
    <w:rsid w:val="00756D1C"/>
    <w:rsid w:val="00771072"/>
    <w:rsid w:val="007B4762"/>
    <w:rsid w:val="007D3307"/>
    <w:rsid w:val="00802D9E"/>
    <w:rsid w:val="0084773A"/>
    <w:rsid w:val="00862412"/>
    <w:rsid w:val="008631EB"/>
    <w:rsid w:val="008F34C4"/>
    <w:rsid w:val="0093678B"/>
    <w:rsid w:val="009420D9"/>
    <w:rsid w:val="00991E79"/>
    <w:rsid w:val="009C44B9"/>
    <w:rsid w:val="009E06BB"/>
    <w:rsid w:val="00A32986"/>
    <w:rsid w:val="00A675D3"/>
    <w:rsid w:val="00A95D9F"/>
    <w:rsid w:val="00AE5F8C"/>
    <w:rsid w:val="00B11CE1"/>
    <w:rsid w:val="00B1242C"/>
    <w:rsid w:val="00B15F52"/>
    <w:rsid w:val="00B241CA"/>
    <w:rsid w:val="00B509AB"/>
    <w:rsid w:val="00B528F0"/>
    <w:rsid w:val="00B60141"/>
    <w:rsid w:val="00B63283"/>
    <w:rsid w:val="00B76DE6"/>
    <w:rsid w:val="00B82C35"/>
    <w:rsid w:val="00BD3DA7"/>
    <w:rsid w:val="00C32F16"/>
    <w:rsid w:val="00C33EE4"/>
    <w:rsid w:val="00C35D9C"/>
    <w:rsid w:val="00C74C48"/>
    <w:rsid w:val="00C90107"/>
    <w:rsid w:val="00CA047A"/>
    <w:rsid w:val="00CA1908"/>
    <w:rsid w:val="00CB1BD3"/>
    <w:rsid w:val="00CE7583"/>
    <w:rsid w:val="00D2313B"/>
    <w:rsid w:val="00D46890"/>
    <w:rsid w:val="00D55F44"/>
    <w:rsid w:val="00D83C4E"/>
    <w:rsid w:val="00D84451"/>
    <w:rsid w:val="00D8746A"/>
    <w:rsid w:val="00D965C3"/>
    <w:rsid w:val="00DC1D89"/>
    <w:rsid w:val="00DC1DC1"/>
    <w:rsid w:val="00E13664"/>
    <w:rsid w:val="00E16F31"/>
    <w:rsid w:val="00E270BC"/>
    <w:rsid w:val="00E32D92"/>
    <w:rsid w:val="00E356F2"/>
    <w:rsid w:val="00E50346"/>
    <w:rsid w:val="00E60E41"/>
    <w:rsid w:val="00E71737"/>
    <w:rsid w:val="00E74CF9"/>
    <w:rsid w:val="00E8719D"/>
    <w:rsid w:val="00ED42FB"/>
    <w:rsid w:val="00F07948"/>
    <w:rsid w:val="00F20A32"/>
    <w:rsid w:val="00F40438"/>
    <w:rsid w:val="00F45F95"/>
    <w:rsid w:val="00F72674"/>
    <w:rsid w:val="00F74175"/>
    <w:rsid w:val="00F9086D"/>
    <w:rsid w:val="00F9376B"/>
    <w:rsid w:val="00FF11AA"/>
    <w:rsid w:val="00FF57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BC0FDD3"/>
  <w15:chartTrackingRefBased/>
  <w15:docId w15:val="{74A2E660-DD68-9446-88D5-23B77EDA1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3B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B67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67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67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67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67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678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678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678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678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7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67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67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7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7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7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7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7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781"/>
    <w:rPr>
      <w:rFonts w:eastAsiaTheme="majorEastAsia" w:cstheme="majorBidi"/>
      <w:color w:val="272727" w:themeColor="text1" w:themeTint="D8"/>
    </w:rPr>
  </w:style>
  <w:style w:type="paragraph" w:styleId="Title">
    <w:name w:val="Title"/>
    <w:basedOn w:val="Normal"/>
    <w:next w:val="Normal"/>
    <w:link w:val="TitleChar"/>
    <w:uiPriority w:val="10"/>
    <w:qFormat/>
    <w:rsid w:val="003B678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7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7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7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781"/>
    <w:pPr>
      <w:spacing w:before="160"/>
      <w:jc w:val="center"/>
    </w:pPr>
    <w:rPr>
      <w:i/>
      <w:iCs/>
      <w:color w:val="404040" w:themeColor="text1" w:themeTint="BF"/>
    </w:rPr>
  </w:style>
  <w:style w:type="character" w:customStyle="1" w:styleId="QuoteChar">
    <w:name w:val="Quote Char"/>
    <w:basedOn w:val="DefaultParagraphFont"/>
    <w:link w:val="Quote"/>
    <w:uiPriority w:val="29"/>
    <w:rsid w:val="003B6781"/>
    <w:rPr>
      <w:i/>
      <w:iCs/>
      <w:color w:val="404040" w:themeColor="text1" w:themeTint="BF"/>
    </w:rPr>
  </w:style>
  <w:style w:type="paragraph" w:styleId="ListParagraph">
    <w:name w:val="List Paragraph"/>
    <w:basedOn w:val="Normal"/>
    <w:uiPriority w:val="34"/>
    <w:qFormat/>
    <w:rsid w:val="003B6781"/>
    <w:pPr>
      <w:ind w:left="720"/>
      <w:contextualSpacing/>
    </w:pPr>
  </w:style>
  <w:style w:type="character" w:styleId="IntenseEmphasis">
    <w:name w:val="Intense Emphasis"/>
    <w:basedOn w:val="DefaultParagraphFont"/>
    <w:uiPriority w:val="21"/>
    <w:qFormat/>
    <w:rsid w:val="003B6781"/>
    <w:rPr>
      <w:i/>
      <w:iCs/>
      <w:color w:val="0F4761" w:themeColor="accent1" w:themeShade="BF"/>
    </w:rPr>
  </w:style>
  <w:style w:type="paragraph" w:styleId="IntenseQuote">
    <w:name w:val="Intense Quote"/>
    <w:basedOn w:val="Normal"/>
    <w:next w:val="Normal"/>
    <w:link w:val="IntenseQuoteChar"/>
    <w:uiPriority w:val="30"/>
    <w:qFormat/>
    <w:rsid w:val="003B67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781"/>
    <w:rPr>
      <w:i/>
      <w:iCs/>
      <w:color w:val="0F4761" w:themeColor="accent1" w:themeShade="BF"/>
    </w:rPr>
  </w:style>
  <w:style w:type="character" w:styleId="IntenseReference">
    <w:name w:val="Intense Reference"/>
    <w:basedOn w:val="DefaultParagraphFont"/>
    <w:uiPriority w:val="32"/>
    <w:qFormat/>
    <w:rsid w:val="003B6781"/>
    <w:rPr>
      <w:b/>
      <w:bCs/>
      <w:smallCaps/>
      <w:color w:val="0F4761" w:themeColor="accent1" w:themeShade="BF"/>
      <w:spacing w:val="5"/>
    </w:rPr>
  </w:style>
  <w:style w:type="character" w:styleId="CommentReference">
    <w:name w:val="annotation reference"/>
    <w:basedOn w:val="DefaultParagraphFont"/>
    <w:uiPriority w:val="99"/>
    <w:semiHidden/>
    <w:unhideWhenUsed/>
    <w:rsid w:val="006540E8"/>
    <w:rPr>
      <w:sz w:val="16"/>
      <w:szCs w:val="16"/>
    </w:rPr>
  </w:style>
  <w:style w:type="character" w:styleId="Emphasis">
    <w:name w:val="Emphasis"/>
    <w:basedOn w:val="DefaultParagraphFont"/>
    <w:uiPriority w:val="20"/>
    <w:qFormat/>
    <w:rsid w:val="00CB1BD3"/>
    <w:rPr>
      <w:i/>
      <w:iCs/>
    </w:rPr>
  </w:style>
  <w:style w:type="paragraph" w:styleId="CommentText">
    <w:name w:val="annotation text"/>
    <w:basedOn w:val="Normal"/>
    <w:link w:val="CommentTextChar"/>
    <w:uiPriority w:val="99"/>
    <w:semiHidden/>
    <w:unhideWhenUsed/>
    <w:rsid w:val="007B4762"/>
    <w:rPr>
      <w:sz w:val="20"/>
      <w:szCs w:val="20"/>
    </w:rPr>
  </w:style>
  <w:style w:type="character" w:customStyle="1" w:styleId="CommentTextChar">
    <w:name w:val="Comment Text Char"/>
    <w:basedOn w:val="DefaultParagraphFont"/>
    <w:link w:val="CommentText"/>
    <w:uiPriority w:val="99"/>
    <w:semiHidden/>
    <w:rsid w:val="007B476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7B4762"/>
    <w:rPr>
      <w:b/>
      <w:bCs/>
    </w:rPr>
  </w:style>
  <w:style w:type="character" w:customStyle="1" w:styleId="CommentSubjectChar">
    <w:name w:val="Comment Subject Char"/>
    <w:basedOn w:val="CommentTextChar"/>
    <w:link w:val="CommentSubject"/>
    <w:uiPriority w:val="99"/>
    <w:semiHidden/>
    <w:rsid w:val="007B4762"/>
    <w:rPr>
      <w:rFonts w:ascii="Times New Roman" w:eastAsia="Times New Roman" w:hAnsi="Times New Roman"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758</TotalTime>
  <Pages>7</Pages>
  <Words>25911</Words>
  <Characters>147699</Characters>
  <Application>Microsoft Office Word</Application>
  <DocSecurity>0</DocSecurity>
  <Lines>1230</Lines>
  <Paragraphs>346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44</cp:revision>
  <dcterms:created xsi:type="dcterms:W3CDTF">2025-05-20T11:31:00Z</dcterms:created>
  <dcterms:modified xsi:type="dcterms:W3CDTF">2025-05-23T20:22:00Z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id="cIYoMK78"/&gt;&lt;style id="http://www.zotero.org/styles/apa" locale="en-US" hasBibliography="1" bibliographyStyleHasBeenSet="0"/&gt;&lt;prefs&gt;&lt;pref name="fieldType" value="Field"/&gt;&lt;/prefs&gt;&lt;/data&gt;</vt:lpwstr>
  </property>
</Properties>
</file>