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9FF98" w14:textId="77777777" w:rsidR="001E334D" w:rsidRDefault="001E334D" w:rsidP="001E334D">
      <w:pPr>
        <w:rPr>
          <w:i/>
          <w:iCs/>
        </w:rPr>
      </w:pPr>
      <w:r>
        <w:rPr>
          <w:i/>
          <w:iCs/>
        </w:rPr>
        <w:t>Taxonomic and metabolic pathway results</w:t>
      </w:r>
    </w:p>
    <w:p w14:paraId="495A5CDE" w14:textId="594DA18F" w:rsidR="001E334D" w:rsidRDefault="001E334D" w:rsidP="001E334D">
      <w:r>
        <w:t>Neopterin concentration is also associated with the relationship between</w:t>
      </w:r>
      <w:r w:rsidRPr="008852E2">
        <w:t xml:space="preserve"> </w:t>
      </w:r>
      <w:r>
        <w:t>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abundance and temperature across three discrete ranges of neopterin values (Fig 4). These results indicate two distinct effects: (1) the relationship between temperature and abundance becomes more negative (i.e. the slopes decrease) at higher neopterin concentrations (Fig 4A), and (2)</w:t>
      </w:r>
      <w:r w:rsidRPr="009C62EC">
        <w:t xml:space="preserve"> </w:t>
      </w:r>
      <w:r>
        <w:t>the relationship between temperature and abundance becomes more</w:t>
      </w:r>
      <w:r w:rsidRPr="009C62EC">
        <w:t xml:space="preserve"> </w:t>
      </w:r>
      <w:r>
        <w:t>positive (i.e. the slopes increase) at higher neopterin concentrations (Fig 4B &amp; C).</w:t>
      </w:r>
      <w:r w:rsidRPr="007246CF">
        <w:t xml:space="preserve"> </w:t>
      </w:r>
      <w:r>
        <w:t>The majority of taxa (12 out of 20) exhibit decreasing slopes at higher neopterin</w:t>
      </w:r>
      <w:r w:rsidR="007D3406">
        <w:t xml:space="preserve">. </w:t>
      </w:r>
      <w:r>
        <w:t xml:space="preserve">These taxa are </w:t>
      </w:r>
      <w:r w:rsidR="007D3406">
        <w:t>almost exclusively</w:t>
      </w:r>
      <w:r>
        <w:t xml:space="preserve"> from the</w:t>
      </w:r>
      <w:r w:rsidR="007D3406">
        <w:t xml:space="preserve"> phyla</w:t>
      </w:r>
      <w:r>
        <w:t xml:space="preserve"> </w:t>
      </w:r>
      <w:proofErr w:type="spellStart"/>
      <w:r w:rsidRPr="00B24088">
        <w:t>Bacteroidota</w:t>
      </w:r>
      <w:proofErr w:type="spellEnd"/>
      <w:r>
        <w:t xml:space="preserve"> (</w:t>
      </w:r>
      <w:r w:rsidR="006618B1">
        <w:t>5</w:t>
      </w:r>
      <w:r>
        <w:t xml:space="preserve"> taxa)</w:t>
      </w:r>
      <w:r w:rsidRPr="00B24088">
        <w:t xml:space="preserve"> and Firmicutes</w:t>
      </w:r>
      <w:r>
        <w:t xml:space="preserve"> (</w:t>
      </w:r>
      <w:r w:rsidR="006618B1">
        <w:t xml:space="preserve">6 </w:t>
      </w:r>
      <w:r>
        <w:t>taxa)</w:t>
      </w:r>
      <w:r w:rsidR="007D3406">
        <w:t xml:space="preserve">, </w:t>
      </w:r>
      <w:r>
        <w:t>includ</w:t>
      </w:r>
      <w:r w:rsidR="007D3406">
        <w:t>ing</w:t>
      </w:r>
      <w:r>
        <w:t xml:space="preserve"> two known SCFA producers</w:t>
      </w:r>
      <w:r w:rsidR="007D3406">
        <w:t>,</w:t>
      </w:r>
      <w:r>
        <w:t xml:space="preserve"> </w:t>
      </w:r>
      <w:r w:rsidRPr="007D3406">
        <w:rPr>
          <w:i/>
          <w:iCs/>
        </w:rPr>
        <w:t>Parabacteroides</w:t>
      </w:r>
      <w:r>
        <w:t xml:space="preserve"> and </w:t>
      </w:r>
      <w:proofErr w:type="spellStart"/>
      <w:r w:rsidRPr="007D3406">
        <w:rPr>
          <w:i/>
          <w:iCs/>
        </w:rPr>
        <w:t>Alistipes</w:t>
      </w:r>
      <w:proofErr w:type="spellEnd"/>
      <w:r w:rsidR="007D3406">
        <w:rPr>
          <w:rStyle w:val="Emphasis"/>
          <w:rFonts w:eastAsiaTheme="majorEastAsia"/>
        </w:rPr>
        <w:t xml:space="preserve"> </w:t>
      </w:r>
      <w:r w:rsidR="007D3406">
        <w:fldChar w:fldCharType="begin"/>
      </w:r>
      <w:r w:rsidR="007D3406">
        <w:instrText xml:space="preserve"> ADDIN ZOTERO_ITEM CSL_CITATION {"citationID":"wESsU6it","properties":{"formattedCitation":"(Hiippala et al., 2020; Parker et al., 2020)","plainCitation":"(Hiippala et al., 2020; Parker et al., 2020)","noteIndex":0},"citationItems":[{"id":2193,"uris":["http://zotero.org/users/13901503/items/TK9QBJNS"],"itemData":{"id":2193,"type":"article-journal","abstract":"Altered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7D3406">
        <w:fldChar w:fldCharType="separate"/>
      </w:r>
      <w:r w:rsidR="007D3406">
        <w:rPr>
          <w:noProof/>
        </w:rPr>
        <w:t>(Hiippala et al., 2020; Parker et al., 2020)</w:t>
      </w:r>
      <w:r w:rsidR="007D3406">
        <w:fldChar w:fldCharType="end"/>
      </w:r>
      <w:r>
        <w:t>. The taxa that exhibit increasing slopes</w:t>
      </w:r>
      <w:r w:rsidR="00A11133">
        <w:t xml:space="preserve"> </w:t>
      </w:r>
      <w:r>
        <w:t>show two distinct patterns: one where a positive slope becomes steeper when neopterin is high, and another where a negative slope changes to positive when neopterin is high.</w:t>
      </w:r>
      <w:r w:rsidRPr="00367C74">
        <w:t xml:space="preserve"> </w:t>
      </w:r>
      <w:r>
        <w:t xml:space="preserve">These taxa </w:t>
      </w:r>
      <w:r w:rsidR="00A11133">
        <w:t xml:space="preserve">are primarily comprised of </w:t>
      </w:r>
      <w:r w:rsidR="00A11133" w:rsidRPr="00B24088">
        <w:t>Firmicutes</w:t>
      </w:r>
      <w:r w:rsidR="00A11133">
        <w:t xml:space="preserve"> (6 taxa), including </w:t>
      </w:r>
      <w:r w:rsidR="007D3406">
        <w:t>two</w:t>
      </w:r>
      <w:r>
        <w:t xml:space="preserve"> </w:t>
      </w:r>
      <w:r w:rsidR="007D3406">
        <w:t>SCFA</w:t>
      </w:r>
      <w:r>
        <w:t xml:space="preserve"> producers</w:t>
      </w:r>
      <w:r w:rsidR="00A11133">
        <w:t xml:space="preserve">, </w:t>
      </w:r>
      <w:proofErr w:type="spellStart"/>
      <w:r w:rsidR="007D3406">
        <w:rPr>
          <w:rStyle w:val="Emphasis"/>
          <w:rFonts w:eastAsiaTheme="majorEastAsia"/>
        </w:rPr>
        <w:t>Phascolarctobacterium</w:t>
      </w:r>
      <w:proofErr w:type="spellEnd"/>
      <w:r>
        <w:t xml:space="preserve"> and </w:t>
      </w:r>
      <w:r w:rsidR="007D3406" w:rsidRPr="006841BE">
        <w:rPr>
          <w:rStyle w:val="Emphasis"/>
          <w:rFonts w:eastAsiaTheme="majorEastAsia"/>
        </w:rPr>
        <w:t>Eubacterium</w:t>
      </w:r>
      <w:r>
        <w:t xml:space="preserve"> </w:t>
      </w:r>
      <w:r w:rsidR="00A11133">
        <w:t xml:space="preserve"> </w:t>
      </w:r>
      <w:r w:rsidR="00A11133">
        <w:fldChar w:fldCharType="begin"/>
      </w:r>
      <w:r w:rsidR="00A11133">
        <w:instrText xml:space="preserve"> ADDIN ZOTERO_ITEM CSL_CITATION {"citationID":"nc5nFo7O","properties":{"formattedCitation":"(Louis &amp; Flint, 2017; Wu et al., 2017)","plainCitation":"(Louis &amp; Flint, 2017; Wu et al., 2017)","noteIndex":0},"citationItems":[{"id":3715,"uris":["http://zotero.org/users/13901503/items/6SAKEANZ"],"itemData":{"id":3715,"type":"article-journal","abstract":"Summary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rsidR="00A11133">
        <w:fldChar w:fldCharType="separate"/>
      </w:r>
      <w:r w:rsidR="00A11133">
        <w:rPr>
          <w:noProof/>
        </w:rPr>
        <w:t>(Louis &amp; Flint, 2017; Wu et al., 2017)</w:t>
      </w:r>
      <w:r w:rsidR="00A11133">
        <w:fldChar w:fldCharType="end"/>
      </w:r>
      <w:r w:rsidR="00A11133">
        <w:t xml:space="preserve">. This group also include the family </w:t>
      </w:r>
      <w:proofErr w:type="spellStart"/>
      <w:r w:rsidR="00A11133" w:rsidRPr="00516686">
        <w:rPr>
          <w:rStyle w:val="Strong"/>
          <w:rFonts w:eastAsiaTheme="majorEastAsia"/>
          <w:b w:val="0"/>
          <w:bCs w:val="0"/>
          <w:i/>
          <w:iCs/>
        </w:rPr>
        <w:t>Helicobacteraceae</w:t>
      </w:r>
      <w:proofErr w:type="spellEnd"/>
      <w:r w:rsidR="00A11133">
        <w:rPr>
          <w:rStyle w:val="Strong"/>
          <w:rFonts w:eastAsiaTheme="majorEastAsia"/>
          <w:b w:val="0"/>
          <w:bCs w:val="0"/>
          <w:i/>
          <w:iCs/>
        </w:rPr>
        <w:t xml:space="preserve">, </w:t>
      </w:r>
      <w:r w:rsidR="00A11133">
        <w:rPr>
          <w:rStyle w:val="Strong"/>
          <w:rFonts w:eastAsiaTheme="majorEastAsia"/>
          <w:b w:val="0"/>
          <w:bCs w:val="0"/>
        </w:rPr>
        <w:t xml:space="preserve">which commonly includes facultative anaerobes </w:t>
      </w:r>
      <w:r w:rsidR="00A11133">
        <w:rPr>
          <w:rStyle w:val="Strong"/>
          <w:rFonts w:eastAsiaTheme="majorEastAsia"/>
          <w:b w:val="0"/>
          <w:bCs w:val="0"/>
        </w:rPr>
        <w:fldChar w:fldCharType="begin"/>
      </w:r>
      <w:r w:rsidR="00A11133">
        <w:rPr>
          <w:rStyle w:val="Strong"/>
          <w:rFonts w:eastAsiaTheme="majorEastAsia"/>
          <w:b w:val="0"/>
          <w:bCs w:val="0"/>
        </w:rPr>
        <w:instrText xml:space="preserve"> ADDIN ZOTERO_ITEM CSL_CITATION {"citationID":"o9UAt3dv","properties":{"formattedCitation":"(Alfarouk et al., 2019)","plainCitation":"(Alfarouk et al., 2019)","noteIndex":0},"citationItems":[{"id":3984,"uris":["http://zotero.org/users/13901503/items/PFZ9P5R3"],"itemData":{"id":3984,"type":"article-journal","abstract":"Helicobacter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sidR="00A11133">
        <w:rPr>
          <w:rStyle w:val="Strong"/>
          <w:rFonts w:eastAsiaTheme="majorEastAsia"/>
          <w:b w:val="0"/>
          <w:bCs w:val="0"/>
        </w:rPr>
        <w:fldChar w:fldCharType="separate"/>
      </w:r>
      <w:r w:rsidR="00A11133">
        <w:rPr>
          <w:rStyle w:val="Strong"/>
          <w:rFonts w:eastAsiaTheme="majorEastAsia"/>
          <w:b w:val="0"/>
          <w:bCs w:val="0"/>
          <w:noProof/>
        </w:rPr>
        <w:t>(Alfarouk et al., 2019)</w:t>
      </w:r>
      <w:r w:rsidR="00A11133">
        <w:rPr>
          <w:rStyle w:val="Strong"/>
          <w:rFonts w:eastAsiaTheme="majorEastAsia"/>
          <w:b w:val="0"/>
          <w:bCs w:val="0"/>
        </w:rPr>
        <w:fldChar w:fldCharType="end"/>
      </w:r>
      <w:r w:rsidR="00A11133">
        <w:rPr>
          <w:rStyle w:val="Strong"/>
          <w:rFonts w:eastAsiaTheme="majorEastAsia"/>
          <w:b w:val="0"/>
          <w:bCs w:val="0"/>
        </w:rPr>
        <w:t>.</w:t>
      </w:r>
      <w:r w:rsidR="00A11133">
        <w:t xml:space="preserve"> </w:t>
      </w:r>
      <w:r>
        <w:t>Together, these results likely reflect how the taxonomic response to rising temperatures influences intestinal macrophage activity, while intestinal immunity simultaneously shapes the taxonomic response to temperature.</w:t>
      </w:r>
    </w:p>
    <w:p w14:paraId="429817F5" w14:textId="30354A57" w:rsidR="004A49D8" w:rsidRDefault="001E334D" w:rsidP="00AD7F54">
      <w:pPr>
        <w:ind w:firstLine="720"/>
      </w:pPr>
      <w:r>
        <w:t>Neopterin concentration is also associated with the relationship between</w:t>
      </w:r>
      <w:r w:rsidRPr="008852E2">
        <w:t xml:space="preserve"> </w:t>
      </w:r>
      <w:r>
        <w:t>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These results indicate the same two effects as the taxonomic analysis (1) where slopes increase at higher neopterin (Fig 5A &amp; B), and (2) where slopes decrease at higher neopterin (Fig 5C-E). The majority of pathways (37 out of 65) exhibit increasing slopes at higher neopterin. There are two patterns of increasing slopes: one where a positive slope becomes steeper when neopterin is high, and another where a negative slope changes to positive when neopterin is high.</w:t>
      </w:r>
      <w:r w:rsidR="001261A1">
        <w:t xml:space="preserve"> Th</w:t>
      </w:r>
      <w:r w:rsidR="00AD7F54">
        <w:t>ese</w:t>
      </w:r>
      <w:r w:rsidR="001261A1">
        <w:t xml:space="preserve"> </w:t>
      </w:r>
      <w:r w:rsidR="004A49D8">
        <w:t xml:space="preserve">groups </w:t>
      </w:r>
      <w:r w:rsidR="001261A1">
        <w:t>include pathways commonly associated with facultative anaerobes</w:t>
      </w:r>
      <w:r w:rsidR="00AD7F54">
        <w:t>,</w:t>
      </w:r>
      <w:r w:rsidR="004A49D8">
        <w:t xml:space="preserve"> </w:t>
      </w:r>
      <w:r w:rsidR="001261A1">
        <w:t xml:space="preserve">including the </w:t>
      </w:r>
      <w:r w:rsidR="001261A1" w:rsidRPr="001261A1">
        <w:t>glyoxylate cycle</w:t>
      </w:r>
      <w:r w:rsidR="001261A1">
        <w:t xml:space="preserve"> </w:t>
      </w:r>
      <w:r w:rsidR="001261A1">
        <w:fldChar w:fldCharType="begin"/>
      </w:r>
      <w:r w:rsidR="001261A1">
        <w:instrText xml:space="preserve"> ADDIN ZOTERO_ITEM CSL_CITATION {"citationID":"MREWhKrM","properties":{"formattedCitation":"(Ahn et al., 2016)","plainCitation":"(Ahn et al., 2016)","noteIndex":0},"citationItems":[{"id":3666,"uris":["http://zotero.org/users/13901503/items/787C6UND"],"itemData":{"id":3666,"type":"article-journal","abstract":"&lt;p&gt;The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rsidR="001261A1">
        <w:fldChar w:fldCharType="separate"/>
      </w:r>
      <w:r w:rsidR="001261A1">
        <w:rPr>
          <w:noProof/>
        </w:rPr>
        <w:t>(Ahn et al., 2016)</w:t>
      </w:r>
      <w:r w:rsidR="001261A1">
        <w:fldChar w:fldCharType="end"/>
      </w:r>
      <w:r w:rsidR="001261A1">
        <w:t xml:space="preserve">, </w:t>
      </w:r>
      <w:r w:rsidR="001261A1" w:rsidRPr="001261A1">
        <w:t>Rubisco shunt</w:t>
      </w:r>
      <w:r w:rsidR="001261A1">
        <w:t xml:space="preserve"> </w:t>
      </w:r>
      <w:r w:rsidR="001261A1">
        <w:fldChar w:fldCharType="begin"/>
      </w:r>
      <w:r w:rsidR="001261A1">
        <w:instrText xml:space="preserve"> ADDIN ZOTERO_ITEM CSL_CITATION {"citationID":"8lsfxZT8","properties":{"formattedCitation":"(Badger &amp; Bek, 2008)","plainCitation":"(Badger &amp; Bek, 2008)","noteIndex":0},"citationItems":[{"id":3661,"uris":["http://zotero.org/users/13901503/items/7EH7QSRX"],"itemData":{"id":3661,"type":"article-journal","abstract":"Rubisco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1261A1">
        <w:fldChar w:fldCharType="separate"/>
      </w:r>
      <w:r w:rsidR="001261A1">
        <w:rPr>
          <w:noProof/>
        </w:rPr>
        <w:t>(Badger &amp; Bek, 2008)</w:t>
      </w:r>
      <w:r w:rsidR="001261A1">
        <w:fldChar w:fldCharType="end"/>
      </w:r>
      <w:r w:rsidR="001261A1">
        <w:t xml:space="preserve">, ubiquinone biosynthesis </w:t>
      </w:r>
      <w:r w:rsidR="001261A1">
        <w:fldChar w:fldCharType="begin"/>
      </w:r>
      <w:r w:rsidR="001261A1">
        <w:instrText xml:space="preserve"> ADDIN ZOTERO_ITEM CSL_CITATION {"citationID":"hub5pdYU","properties":{"formattedCitation":"(Bekker et al., 2007)","plainCitation":"(Bekker et al., 2007)","noteIndex":0},"citationItems":[{"id":3665,"uris":["http://zotero.org/users/13901503/items/NVUGIX64"],"itemData":{"id":3665,"type":"article-journal","container-title":"Microbiology","DOI":"10.1099/mic.0.2007/006098-0","ISSN":"1350-0872,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1261A1">
        <w:fldChar w:fldCharType="separate"/>
      </w:r>
      <w:r w:rsidR="001261A1">
        <w:rPr>
          <w:noProof/>
        </w:rPr>
        <w:t>(Bekker et al., 2007)</w:t>
      </w:r>
      <w:r w:rsidR="001261A1">
        <w:fldChar w:fldCharType="end"/>
      </w:r>
      <w:r w:rsidR="001261A1">
        <w:t xml:space="preserve">, </w:t>
      </w:r>
      <w:r w:rsidR="001261A1" w:rsidRPr="001261A1">
        <w:t>enterobacterial common antigen biosynthesis</w:t>
      </w:r>
      <w:r w:rsidR="001261A1">
        <w:t xml:space="preserve"> </w:t>
      </w:r>
      <w:r w:rsidR="001261A1">
        <w:fldChar w:fldCharType="begin"/>
      </w:r>
      <w:r w:rsidR="001261A1">
        <w:instrText xml:space="preserve"> ADDIN ZOTERO_ITEM CSL_CITATION {"citationID":"FvN60f2B","properties":{"formattedCitation":"(Kuhn et al., 1988)","plainCitation":"(Kuhn et al., 1988)","noteIndex":0},"citationItems":[{"id":3712,"uris":["http://zotero.org/users/13901503/items/S8VNSY7N"],"itemData":{"id":3712,"type":"article-journal","abstract":"Enterobacterial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1261A1">
        <w:fldChar w:fldCharType="separate"/>
      </w:r>
      <w:r w:rsidR="001261A1">
        <w:rPr>
          <w:noProof/>
        </w:rPr>
        <w:t>(Kuhn et al., 1988)</w:t>
      </w:r>
      <w:r w:rsidR="001261A1">
        <w:fldChar w:fldCharType="end"/>
      </w:r>
      <w:r w:rsidR="001261A1">
        <w:t xml:space="preserve">, and Lipid A biosynthesis </w:t>
      </w:r>
      <w:r w:rsidR="001261A1">
        <w:fldChar w:fldCharType="begin"/>
      </w:r>
      <w:r w:rsidR="001261A1">
        <w:instrText xml:space="preserve"> ADDIN ZOTERO_ITEM CSL_CITATION {"citationID":"XLDjRCPa","properties":{"formattedCitation":"(Raetz &amp; Whitfield, 2002)","plainCitation":"(Raetz &amp; Whitfield, 2002)","noteIndex":0},"citationItems":[{"id":3710,"uris":["http://zotero.org/users/13901503/items/7XBTXUWV"],"itemData":{"id":3710,"type":"article-journal","abstract":"Bacterial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1261A1">
        <w:fldChar w:fldCharType="separate"/>
      </w:r>
      <w:r w:rsidR="001261A1">
        <w:rPr>
          <w:noProof/>
        </w:rPr>
        <w:t>(Raetz &amp; Whitfield, 2002)</w:t>
      </w:r>
      <w:r w:rsidR="001261A1">
        <w:fldChar w:fldCharType="end"/>
      </w:r>
      <w:r w:rsidR="001261A1">
        <w:t>. They also include pathways involved in redox maintenance</w:t>
      </w:r>
      <w:r w:rsidR="004A49D8">
        <w:t>,</w:t>
      </w:r>
      <w:r w:rsidR="001261A1">
        <w:t xml:space="preserve"> including </w:t>
      </w:r>
      <w:r w:rsidR="00AD7F54">
        <w:t xml:space="preserve">the </w:t>
      </w:r>
      <w:r w:rsidR="001261A1">
        <w:t xml:space="preserve">synthesis of B vitamins </w:t>
      </w:r>
      <w:r w:rsidR="001261A1">
        <w:fldChar w:fldCharType="begin"/>
      </w:r>
      <w:r w:rsidR="001261A1">
        <w:instrText xml:space="preserve"> ADDIN ZOTERO_ITEM CSL_CITATION {"citationID":"UqKOmPfK","properties":{"formattedCitation":"(Hellmann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1261A1">
        <w:fldChar w:fldCharType="separate"/>
      </w:r>
      <w:r w:rsidR="001261A1">
        <w:rPr>
          <w:noProof/>
        </w:rPr>
        <w:t>(Hellmann &amp; Mooney, 2010; Powers, 2003)</w:t>
      </w:r>
      <w:r w:rsidR="001261A1">
        <w:fldChar w:fldCharType="end"/>
      </w:r>
      <w:r w:rsidR="001261A1">
        <w:t xml:space="preserve">, </w:t>
      </w:r>
      <w:proofErr w:type="spellStart"/>
      <w:r w:rsidR="001261A1">
        <w:t>menaquinol</w:t>
      </w:r>
      <w:proofErr w:type="spellEnd"/>
      <w:r w:rsidR="001261A1">
        <w:t xml:space="preserve"> </w:t>
      </w:r>
      <w:r w:rsidR="001261A1">
        <w:fldChar w:fldCharType="begin"/>
      </w:r>
      <w:r w:rsidR="001261A1">
        <w:instrText xml:space="preserve"> ADDIN ZOTERO_ITEM CSL_CITATION {"citationID":"DQoEAwSK","properties":{"formattedCitation":"(Gout,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rsidR="001261A1">
        <w:fldChar w:fldCharType="separate"/>
      </w:r>
      <w:r w:rsidR="001261A1">
        <w:rPr>
          <w:noProof/>
        </w:rPr>
        <w:t>(Gout, 2018)</w:t>
      </w:r>
      <w:r w:rsidR="001261A1">
        <w:fldChar w:fldCharType="end"/>
      </w:r>
      <w:r w:rsidR="001261A1">
        <w:t xml:space="preserve">, and NADPH </w:t>
      </w:r>
      <w:r w:rsidR="001261A1">
        <w:fldChar w:fldCharType="begin"/>
      </w:r>
      <w:r w:rsidR="001261A1">
        <w:instrText xml:space="preserve"> ADDIN ZOTERO_ITEM CSL_CITATION {"citationID":"ie0Y7lhz","properties":{"formattedCitation":"(Ying, 2008)","plainCitation":"(Ying, 2008)","noteIndex":0},"citationItems":[{"id":3239,"uris":["http://zotero.org/users/13901503/items/F8CEHMIS"],"itemData":{"id":3239,"type":"article-journal","abstract":"Accumulating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1261A1">
        <w:fldChar w:fldCharType="separate"/>
      </w:r>
      <w:r w:rsidR="001261A1">
        <w:rPr>
          <w:noProof/>
        </w:rPr>
        <w:t>(Ying, 2008)</w:t>
      </w:r>
      <w:r w:rsidR="001261A1">
        <w:fldChar w:fldCharType="end"/>
      </w:r>
      <w:r w:rsidR="004A49D8">
        <w:t xml:space="preserve">. </w:t>
      </w:r>
      <w:r>
        <w:t xml:space="preserve">The </w:t>
      </w:r>
      <w:r w:rsidR="004A49D8">
        <w:t>pathways</w:t>
      </w:r>
      <w:r>
        <w:t xml:space="preserve"> that exhibit decreasing slopes show three distinct patterns: one where a negative slope becomes steeper, another where a positive slope changes to negative, and one where a positive slope becomes less positive. </w:t>
      </w:r>
      <w:r w:rsidR="00AD7F54">
        <w:t>This group includes</w:t>
      </w:r>
      <w:r w:rsidR="00AD7F54">
        <w:t xml:space="preserve"> </w:t>
      </w:r>
      <w:r w:rsidR="00AD7F54">
        <w:t>pathways</w:t>
      </w:r>
      <w:r w:rsidR="00AD7F54">
        <w:t xml:space="preserve"> involved in anti-inflammatory signaling, including synthesis of </w:t>
      </w:r>
      <w:r w:rsidR="00AD7F54">
        <w:t xml:space="preserve">monounsaturated fatty acids </w:t>
      </w:r>
      <w:r w:rsidR="00AD7F54">
        <w:fldChar w:fldCharType="begin"/>
      </w:r>
      <w:r w:rsidR="00AD7F54">
        <w:instrText xml:space="preserve"> ADDIN ZOTERO_ITEM CSL_CITATION {"citationID":"Yyg97aqJ","properties":{"formattedCitation":"(Hung et al., 2023)","plainCitation":"(Hung et al., 2023)","noteIndex":0},"citationItems":[{"id":3176,"uris":["http://zotero.org/users/13901503/items/HTMPX6GE"],"itemData":{"id":3176,"type":"article-journal","abstract":"Monocytes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AD7F54">
        <w:fldChar w:fldCharType="separate"/>
      </w:r>
      <w:r w:rsidR="00AD7F54">
        <w:rPr>
          <w:noProof/>
        </w:rPr>
        <w:t>(Hung et al., 2023)</w:t>
      </w:r>
      <w:r w:rsidR="00AD7F54">
        <w:fldChar w:fldCharType="end"/>
      </w:r>
      <w:r w:rsidR="00AD7F54">
        <w:t xml:space="preserve"> and tryptophan</w:t>
      </w:r>
      <w:r w:rsidR="00AD7F54">
        <w:t xml:space="preserve">, as well as those </w:t>
      </w:r>
      <w:r w:rsidR="004A49D8">
        <w:t>typically associated with obligate anaerobes</w:t>
      </w:r>
      <w:r w:rsidR="00AD7F54">
        <w:t>,</w:t>
      </w:r>
      <w:r w:rsidR="004A49D8">
        <w:t xml:space="preserve"> including </w:t>
      </w:r>
      <w:r w:rsidR="00AD7F54">
        <w:t xml:space="preserve">complex carb fermentation </w:t>
      </w:r>
      <w:r w:rsidR="00AD7F54" w:rsidRPr="00AD7F54">
        <w:t>(Flint et al., 2012) and Gram-positive cell wall biosynthesis</w:t>
      </w:r>
      <w:r w:rsidR="00AD7F54">
        <w:t xml:space="preserve"> characteristic of </w:t>
      </w:r>
      <w:r w:rsidR="00AD7F54" w:rsidRPr="00AD7F54">
        <w:t>obligates from the Firmicutes phylum</w:t>
      </w:r>
      <w:r w:rsidR="00AD7F54">
        <w:t xml:space="preserve"> </w:t>
      </w:r>
      <w:r w:rsidR="00AD7F54">
        <w:rPr>
          <w:rStyle w:val="Strong"/>
          <w:rFonts w:eastAsiaTheme="majorEastAsia"/>
          <w:b w:val="0"/>
          <w:bCs w:val="0"/>
        </w:rPr>
        <w:fldChar w:fldCharType="begin"/>
      </w:r>
      <w:r w:rsidR="00AD7F54">
        <w:rPr>
          <w:rStyle w:val="Strong"/>
          <w:rFonts w:eastAsiaTheme="majorEastAsia"/>
        </w:rPr>
        <w:instrText xml:space="preserve"> ADDIN ZOTERO_ITEM CSL_CITATION {"citationID":"yCxgcM3a","properties":{"formattedCitation":"(Rajili\\uc0\\u263{}-Stojanovi\\uc0\\u263{} &amp; de Vos, 2014)","plainCitation":"(Rajilić-Stojanović &amp; de Vos, 2014)","noteIndex":0},"citationItems":[{"id":3707,"uris":["http://zotero.org/users/13901503/items/DINXISI6"],"itemData":{"id":3707,"type":"article-journal","abstract":"The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AD7F54">
        <w:rPr>
          <w:rStyle w:val="Strong"/>
          <w:rFonts w:eastAsiaTheme="majorEastAsia"/>
          <w:b w:val="0"/>
          <w:bCs w:val="0"/>
        </w:rPr>
        <w:fldChar w:fldCharType="separate"/>
      </w:r>
      <w:r w:rsidR="00AD7F54" w:rsidRPr="00487066">
        <w:t>(</w:t>
      </w:r>
      <w:proofErr w:type="spellStart"/>
      <w:r w:rsidR="00AD7F54" w:rsidRPr="00487066">
        <w:t>Rajilić</w:t>
      </w:r>
      <w:proofErr w:type="spellEnd"/>
      <w:r w:rsidR="00AD7F54" w:rsidRPr="00487066">
        <w:t>-Stojanović &amp; de Vos, 2014)</w:t>
      </w:r>
      <w:r w:rsidR="00AD7F54">
        <w:rPr>
          <w:rStyle w:val="Strong"/>
          <w:rFonts w:eastAsiaTheme="majorEastAsia"/>
          <w:b w:val="0"/>
          <w:bCs w:val="0"/>
        </w:rPr>
        <w:fldChar w:fldCharType="end"/>
      </w:r>
      <w:r w:rsidR="00AD7F54">
        <w:t xml:space="preserve">. </w:t>
      </w:r>
    </w:p>
    <w:p w14:paraId="471DF05D" w14:textId="192DAB6D" w:rsidR="009400FC" w:rsidRDefault="004A49D8" w:rsidP="004A49D8">
      <w:r>
        <w:t xml:space="preserve"> </w:t>
      </w:r>
    </w:p>
    <w:p w14:paraId="70EB23D3" w14:textId="77777777" w:rsidR="009400FC" w:rsidRDefault="009400FC" w:rsidP="001E334D">
      <w:pPr>
        <w:ind w:firstLine="720"/>
      </w:pPr>
    </w:p>
    <w:p w14:paraId="48630A5A" w14:textId="77777777" w:rsidR="001E334D" w:rsidRDefault="001E334D" w:rsidP="001E334D"/>
    <w:p w14:paraId="6B730AB1" w14:textId="77777777" w:rsidR="009400FC" w:rsidRDefault="009400FC" w:rsidP="001E334D"/>
    <w:p w14:paraId="133DC647" w14:textId="77777777" w:rsidR="009400FC" w:rsidRDefault="009400FC" w:rsidP="001E334D"/>
    <w:p w14:paraId="1A910AF8" w14:textId="35934A59" w:rsidR="001E334D" w:rsidRDefault="001E334D" w:rsidP="001E334D">
      <w:r>
        <w:t xml:space="preserve">Declines: </w:t>
      </w:r>
    </w:p>
    <w:p w14:paraId="495E91A1" w14:textId="77777777" w:rsidR="001E334D" w:rsidRDefault="001E334D" w:rsidP="001E334D">
      <w:pPr>
        <w:rPr>
          <w:rStyle w:val="Emphasis"/>
          <w:rFonts w:eastAsiaTheme="majorEastAsia"/>
          <w:i w:val="0"/>
          <w:iCs w:val="0"/>
        </w:rPr>
      </w:pPr>
      <w:r w:rsidRPr="00D1426F">
        <w:rPr>
          <w:rStyle w:val="Emphasis"/>
          <w:rFonts w:eastAsiaTheme="majorEastAsia"/>
          <w:i w:val="0"/>
          <w:iCs w:val="0"/>
        </w:rPr>
        <w:t>anti-inflammatory immunomodulators</w:t>
      </w:r>
    </w:p>
    <w:p w14:paraId="4C05968B" w14:textId="77777777" w:rsidR="001E334D" w:rsidRDefault="001E334D" w:rsidP="001E334D">
      <w:r w:rsidRPr="00B24088">
        <w:t xml:space="preserve">in pathways commonly associated with obligate </w:t>
      </w:r>
      <w:r>
        <w:t>anaerobes</w:t>
      </w:r>
    </w:p>
    <w:p w14:paraId="733A37E0" w14:textId="77777777" w:rsidR="008631EB" w:rsidRDefault="008631EB"/>
    <w:sectPr w:rsidR="008631EB"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34D"/>
    <w:rsid w:val="000365B2"/>
    <w:rsid w:val="00074A66"/>
    <w:rsid w:val="001261A1"/>
    <w:rsid w:val="001E334D"/>
    <w:rsid w:val="00337EBD"/>
    <w:rsid w:val="003563E7"/>
    <w:rsid w:val="003B0C6C"/>
    <w:rsid w:val="004A49D8"/>
    <w:rsid w:val="004C5A8D"/>
    <w:rsid w:val="005551F2"/>
    <w:rsid w:val="006618B1"/>
    <w:rsid w:val="00752B2B"/>
    <w:rsid w:val="007D3406"/>
    <w:rsid w:val="00826090"/>
    <w:rsid w:val="008631EB"/>
    <w:rsid w:val="009400FC"/>
    <w:rsid w:val="00946E19"/>
    <w:rsid w:val="00A00722"/>
    <w:rsid w:val="00A11133"/>
    <w:rsid w:val="00AD7F54"/>
    <w:rsid w:val="00E35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AD6A77"/>
  <w15:chartTrackingRefBased/>
  <w15:docId w15:val="{CA8D2052-FAEB-9746-BFCF-1A480365C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34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E334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E334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E334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E334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E334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E334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E334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E334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E334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34D"/>
    <w:rPr>
      <w:rFonts w:eastAsiaTheme="majorEastAsia" w:cstheme="majorBidi"/>
      <w:color w:val="272727" w:themeColor="text1" w:themeTint="D8"/>
    </w:rPr>
  </w:style>
  <w:style w:type="paragraph" w:styleId="Title">
    <w:name w:val="Title"/>
    <w:basedOn w:val="Normal"/>
    <w:next w:val="Normal"/>
    <w:link w:val="TitleChar"/>
    <w:uiPriority w:val="10"/>
    <w:qFormat/>
    <w:rsid w:val="001E334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E3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34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E3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34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E334D"/>
    <w:rPr>
      <w:i/>
      <w:iCs/>
      <w:color w:val="404040" w:themeColor="text1" w:themeTint="BF"/>
    </w:rPr>
  </w:style>
  <w:style w:type="paragraph" w:styleId="ListParagraph">
    <w:name w:val="List Paragraph"/>
    <w:basedOn w:val="Normal"/>
    <w:uiPriority w:val="34"/>
    <w:qFormat/>
    <w:rsid w:val="001E334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E334D"/>
    <w:rPr>
      <w:i/>
      <w:iCs/>
      <w:color w:val="0F4761" w:themeColor="accent1" w:themeShade="BF"/>
    </w:rPr>
  </w:style>
  <w:style w:type="paragraph" w:styleId="IntenseQuote">
    <w:name w:val="Intense Quote"/>
    <w:basedOn w:val="Normal"/>
    <w:next w:val="Normal"/>
    <w:link w:val="IntenseQuoteChar"/>
    <w:uiPriority w:val="30"/>
    <w:qFormat/>
    <w:rsid w:val="001E334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E334D"/>
    <w:rPr>
      <w:i/>
      <w:iCs/>
      <w:color w:val="0F4761" w:themeColor="accent1" w:themeShade="BF"/>
    </w:rPr>
  </w:style>
  <w:style w:type="character" w:styleId="IntenseReference">
    <w:name w:val="Intense Reference"/>
    <w:basedOn w:val="DefaultParagraphFont"/>
    <w:uiPriority w:val="32"/>
    <w:qFormat/>
    <w:rsid w:val="001E334D"/>
    <w:rPr>
      <w:b/>
      <w:bCs/>
      <w:smallCaps/>
      <w:color w:val="0F4761" w:themeColor="accent1" w:themeShade="BF"/>
      <w:spacing w:val="5"/>
    </w:rPr>
  </w:style>
  <w:style w:type="character" w:styleId="Emphasis">
    <w:name w:val="Emphasis"/>
    <w:basedOn w:val="DefaultParagraphFont"/>
    <w:uiPriority w:val="20"/>
    <w:qFormat/>
    <w:rsid w:val="001E334D"/>
    <w:rPr>
      <w:i/>
      <w:iCs/>
    </w:rPr>
  </w:style>
  <w:style w:type="character" w:styleId="Strong">
    <w:name w:val="Strong"/>
    <w:basedOn w:val="DefaultParagraphFont"/>
    <w:uiPriority w:val="22"/>
    <w:qFormat/>
    <w:rsid w:val="001E33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5990</Words>
  <Characters>34143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2</cp:revision>
  <dcterms:created xsi:type="dcterms:W3CDTF">2025-07-02T18:38:00Z</dcterms:created>
  <dcterms:modified xsi:type="dcterms:W3CDTF">2025-07-08T18:22:00Z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id="rLEhHdXo"/&gt;&lt;style id="http://www.zotero.org/styles/apa" locale="en-US" hasBibliography="1" bibliographyStyleHasBeenSet="0"/&gt;&lt;prefs&gt;&lt;pref name="fieldType" value="Field"/&gt;&lt;/prefs&gt;&lt;/data&gt;</vt:lpwstr>
  </property>
</Properties>
</file>